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5507" w:rsidR="00837741" w:rsidP="005F5507" w:rsidRDefault="00837741" w14:paraId="2D407A5C" w14:textId="77777777">
      <w:pPr>
        <w:pStyle w:val="abbreviation"/>
      </w:pPr>
    </w:p>
    <w:p w:rsidRPr="00D43D39" w:rsidR="00E13CE3" w:rsidP="5E2F2DB1" w:rsidRDefault="538E3228" w14:paraId="5054B270" w14:textId="77777777">
      <w:pPr>
        <w:pStyle w:val="ListParagraph"/>
        <w:jc w:val="center"/>
        <w:rPr>
          <w:rFonts w:ascii="Times New Roman" w:hAnsi="Times New Roman"/>
          <w:b/>
          <w:bCs/>
          <w:color w:val="000000" w:themeColor="text1"/>
          <w:sz w:val="20"/>
          <w:szCs w:val="20"/>
        </w:rPr>
      </w:pPr>
      <w:r w:rsidRPr="00D43D39">
        <w:rPr>
          <w:rFonts w:ascii="Times New Roman" w:hAnsi="Times New Roman"/>
          <w:b/>
          <w:bCs/>
          <w:color w:val="000000" w:themeColor="text1"/>
          <w:sz w:val="20"/>
          <w:szCs w:val="20"/>
        </w:rPr>
        <w:t>Annex II</w:t>
      </w:r>
      <w:r w:rsidRPr="00D43D39" w:rsidR="614C35A2">
        <w:rPr>
          <w:rFonts w:ascii="Times New Roman" w:hAnsi="Times New Roman"/>
          <w:b/>
          <w:bCs/>
          <w:color w:val="000000" w:themeColor="text1"/>
          <w:sz w:val="20"/>
          <w:szCs w:val="20"/>
        </w:rPr>
        <w:t xml:space="preserve">: </w:t>
      </w:r>
      <w:r w:rsidRPr="00D43D39" w:rsidR="66277822">
        <w:rPr>
          <w:rFonts w:ascii="Times New Roman" w:hAnsi="Times New Roman"/>
          <w:b/>
          <w:bCs/>
          <w:color w:val="000000" w:themeColor="text1"/>
          <w:sz w:val="20"/>
          <w:szCs w:val="20"/>
        </w:rPr>
        <w:t>Instructions</w:t>
      </w:r>
    </w:p>
    <w:p w:rsidRPr="00D43D39" w:rsidR="001E5EDF" w:rsidP="001E5EDF" w:rsidRDefault="001E5EDF" w14:paraId="5C4E5E48" w14:textId="77777777">
      <w:pPr>
        <w:rPr>
          <w:rFonts w:ascii="Times New Roman" w:hAnsi="Times New Roman" w:cs="Times New Roman"/>
          <w:b/>
          <w:color w:val="000000" w:themeColor="text1"/>
          <w:sz w:val="20"/>
          <w:szCs w:val="20"/>
          <w:lang w:val="en-GB"/>
        </w:rPr>
      </w:pPr>
    </w:p>
    <w:p w:rsidRPr="00D43D39" w:rsidR="001E5EDF" w:rsidP="00385C06" w:rsidRDefault="001E5EDF" w14:paraId="4583EA11" w14:textId="77777777">
      <w:pPr>
        <w:rPr>
          <w:rFonts w:ascii="Times New Roman" w:hAnsi="Times New Roman" w:cs="Times New Roman"/>
          <w:b/>
          <w:color w:val="000000" w:themeColor="text1"/>
          <w:sz w:val="20"/>
          <w:szCs w:val="20"/>
          <w:lang w:val="en-GB"/>
        </w:rPr>
      </w:pPr>
    </w:p>
    <w:p w:rsidR="005F5507" w:rsidRDefault="001D258F" w14:paraId="1E2C0FE1" w14:textId="41ADD20D">
      <w:pPr>
        <w:pStyle w:val="TOC2"/>
        <w:rPr>
          <w:lang w:val="en-GB" w:eastAsia="en-GB"/>
        </w:rPr>
      </w:pPr>
      <w:r w:rsidRPr="005D71E0">
        <w:rPr>
          <w:bCs/>
          <w:sz w:val="20"/>
          <w:szCs w:val="20"/>
          <w:lang w:val="en-GB"/>
        </w:rPr>
        <w:fldChar w:fldCharType="begin"/>
      </w:r>
      <w:r w:rsidRPr="00D43D39" w:rsidR="00C673AC">
        <w:rPr>
          <w:bCs/>
          <w:sz w:val="20"/>
          <w:szCs w:val="20"/>
          <w:lang w:val="en-GB"/>
        </w:rPr>
        <w:instrText xml:space="preserve"> TOC \o "1-3" \h \z \t "Numbered tile level 1,1,Numbered title level 2,2" </w:instrText>
      </w:r>
      <w:r w:rsidRPr="005D71E0">
        <w:rPr>
          <w:sz w:val="20"/>
          <w:szCs w:val="20"/>
          <w:lang w:val="en-GB"/>
        </w:rPr>
        <w:fldChar w:fldCharType="separate"/>
      </w:r>
      <w:hyperlink w:history="1" w:anchor="_Toc172732213">
        <w:r w:rsidRPr="00EF5874" w:rsidR="005F5507">
          <w:rPr>
            <w:rStyle w:val="Hyperlink"/>
            <w:rFonts w:ascii="Times New Roman" w:hAnsi="Times New Roman" w:cs="Times New Roman"/>
          </w:rPr>
          <w:t>I.</w:t>
        </w:r>
        <w:r w:rsidR="005F5507">
          <w:rPr>
            <w:lang w:val="en-GB" w:eastAsia="en-GB"/>
          </w:rPr>
          <w:tab/>
        </w:r>
        <w:r w:rsidRPr="00EF5874" w:rsidR="005F5507">
          <w:rPr>
            <w:rStyle w:val="Hyperlink"/>
            <w:rFonts w:ascii="Times New Roman" w:hAnsi="Times New Roman" w:cs="Times New Roman"/>
          </w:rPr>
          <w:t>General instructions</w:t>
        </w:r>
        <w:r w:rsidR="005F5507">
          <w:rPr>
            <w:webHidden/>
          </w:rPr>
          <w:tab/>
        </w:r>
        <w:r w:rsidR="005F5507">
          <w:rPr>
            <w:webHidden/>
          </w:rPr>
          <w:fldChar w:fldCharType="begin"/>
        </w:r>
        <w:r w:rsidR="005F5507">
          <w:rPr>
            <w:webHidden/>
          </w:rPr>
          <w:instrText xml:space="preserve"> PAGEREF _Toc172732213 \h </w:instrText>
        </w:r>
        <w:r w:rsidR="005F5507">
          <w:rPr>
            <w:webHidden/>
          </w:rPr>
        </w:r>
        <w:r w:rsidR="005F5507">
          <w:rPr>
            <w:webHidden/>
          </w:rPr>
          <w:fldChar w:fldCharType="separate"/>
        </w:r>
        <w:r w:rsidR="005F5507">
          <w:rPr>
            <w:webHidden/>
          </w:rPr>
          <w:t>3</w:t>
        </w:r>
        <w:r w:rsidR="005F5507">
          <w:rPr>
            <w:webHidden/>
          </w:rPr>
          <w:fldChar w:fldCharType="end"/>
        </w:r>
      </w:hyperlink>
    </w:p>
    <w:p w:rsidR="005F5507" w:rsidRDefault="005F5507" w14:paraId="1B69EAF4" w14:textId="2828301F">
      <w:pPr>
        <w:pStyle w:val="TOC2"/>
        <w:rPr>
          <w:lang w:val="en-GB" w:eastAsia="en-GB"/>
        </w:rPr>
      </w:pPr>
      <w:hyperlink w:history="1" w:anchor="_Toc172732214">
        <w:r w:rsidRPr="00EF5874">
          <w:rPr>
            <w:rStyle w:val="Hyperlink"/>
            <w:rFonts w:ascii="Times New Roman" w:hAnsi="Times New Roman" w:cs="Times New Roman"/>
          </w:rPr>
          <w:t>I.1</w:t>
        </w:r>
        <w:r>
          <w:rPr>
            <w:lang w:val="en-GB" w:eastAsia="en-GB"/>
          </w:rPr>
          <w:tab/>
        </w:r>
        <w:r w:rsidRPr="00EF5874">
          <w:rPr>
            <w:rStyle w:val="Hyperlink"/>
            <w:rFonts w:ascii="Times New Roman" w:hAnsi="Times New Roman" w:cs="Times New Roman"/>
          </w:rPr>
          <w:t>Structure</w:t>
        </w:r>
        <w:r>
          <w:rPr>
            <w:webHidden/>
          </w:rPr>
          <w:tab/>
        </w:r>
        <w:r>
          <w:rPr>
            <w:webHidden/>
          </w:rPr>
          <w:fldChar w:fldCharType="begin"/>
        </w:r>
        <w:r>
          <w:rPr>
            <w:webHidden/>
          </w:rPr>
          <w:instrText xml:space="preserve"> PAGEREF _Toc172732214 \h </w:instrText>
        </w:r>
        <w:r>
          <w:rPr>
            <w:webHidden/>
          </w:rPr>
        </w:r>
        <w:r>
          <w:rPr>
            <w:webHidden/>
          </w:rPr>
          <w:fldChar w:fldCharType="separate"/>
        </w:r>
        <w:r>
          <w:rPr>
            <w:webHidden/>
          </w:rPr>
          <w:t>3</w:t>
        </w:r>
        <w:r>
          <w:rPr>
            <w:webHidden/>
          </w:rPr>
          <w:fldChar w:fldCharType="end"/>
        </w:r>
      </w:hyperlink>
    </w:p>
    <w:p w:rsidR="005F5507" w:rsidRDefault="005F5507" w14:paraId="49675FAB" w14:textId="2B1AEC77">
      <w:pPr>
        <w:pStyle w:val="TOC2"/>
        <w:rPr>
          <w:lang w:val="en-GB" w:eastAsia="en-GB"/>
        </w:rPr>
      </w:pPr>
      <w:hyperlink w:history="1" w:anchor="_Toc172732215">
        <w:r w:rsidRPr="00EF5874">
          <w:rPr>
            <w:rStyle w:val="Hyperlink"/>
            <w:rFonts w:ascii="Times New Roman" w:hAnsi="Times New Roman" w:cs="Times New Roman"/>
          </w:rPr>
          <w:t>I.2</w:t>
        </w:r>
        <w:r>
          <w:rPr>
            <w:lang w:val="en-GB" w:eastAsia="en-GB"/>
          </w:rPr>
          <w:tab/>
        </w:r>
        <w:r w:rsidRPr="00EF5874">
          <w:rPr>
            <w:rStyle w:val="Hyperlink"/>
            <w:rFonts w:ascii="Times New Roman" w:hAnsi="Times New Roman" w:cs="Times New Roman"/>
          </w:rPr>
          <w:t>References</w:t>
        </w:r>
        <w:r>
          <w:rPr>
            <w:webHidden/>
          </w:rPr>
          <w:tab/>
        </w:r>
        <w:r>
          <w:rPr>
            <w:webHidden/>
          </w:rPr>
          <w:fldChar w:fldCharType="begin"/>
        </w:r>
        <w:r>
          <w:rPr>
            <w:webHidden/>
          </w:rPr>
          <w:instrText xml:space="preserve"> PAGEREF _Toc172732215 \h </w:instrText>
        </w:r>
        <w:r>
          <w:rPr>
            <w:webHidden/>
          </w:rPr>
        </w:r>
        <w:r>
          <w:rPr>
            <w:webHidden/>
          </w:rPr>
          <w:fldChar w:fldCharType="separate"/>
        </w:r>
        <w:r>
          <w:rPr>
            <w:webHidden/>
          </w:rPr>
          <w:t>4</w:t>
        </w:r>
        <w:r>
          <w:rPr>
            <w:webHidden/>
          </w:rPr>
          <w:fldChar w:fldCharType="end"/>
        </w:r>
      </w:hyperlink>
    </w:p>
    <w:p w:rsidR="005F5507" w:rsidRDefault="005F5507" w14:paraId="1DCDF279" w14:textId="508C6791">
      <w:pPr>
        <w:pStyle w:val="TOC2"/>
        <w:rPr>
          <w:lang w:val="en-GB" w:eastAsia="en-GB"/>
        </w:rPr>
      </w:pPr>
      <w:hyperlink w:history="1" w:anchor="_Toc172732216">
        <w:r w:rsidRPr="00EF5874">
          <w:rPr>
            <w:rStyle w:val="Hyperlink"/>
            <w:rFonts w:ascii="Times New Roman" w:hAnsi="Times New Roman" w:cs="Times New Roman"/>
          </w:rPr>
          <w:t>I.3</w:t>
        </w:r>
        <w:r>
          <w:rPr>
            <w:lang w:val="en-GB" w:eastAsia="en-GB"/>
          </w:rPr>
          <w:tab/>
        </w:r>
        <w:r w:rsidRPr="00EF5874">
          <w:rPr>
            <w:rStyle w:val="Hyperlink"/>
            <w:rFonts w:ascii="Times New Roman" w:hAnsi="Times New Roman" w:cs="Times New Roman"/>
          </w:rPr>
          <w:t>Accounting standards</w:t>
        </w:r>
        <w:r>
          <w:rPr>
            <w:webHidden/>
          </w:rPr>
          <w:tab/>
        </w:r>
        <w:r>
          <w:rPr>
            <w:webHidden/>
          </w:rPr>
          <w:fldChar w:fldCharType="begin"/>
        </w:r>
        <w:r>
          <w:rPr>
            <w:webHidden/>
          </w:rPr>
          <w:instrText xml:space="preserve"> PAGEREF _Toc172732216 \h </w:instrText>
        </w:r>
        <w:r>
          <w:rPr>
            <w:webHidden/>
          </w:rPr>
        </w:r>
        <w:r>
          <w:rPr>
            <w:webHidden/>
          </w:rPr>
          <w:fldChar w:fldCharType="separate"/>
        </w:r>
        <w:r>
          <w:rPr>
            <w:webHidden/>
          </w:rPr>
          <w:t>5</w:t>
        </w:r>
        <w:r>
          <w:rPr>
            <w:webHidden/>
          </w:rPr>
          <w:fldChar w:fldCharType="end"/>
        </w:r>
      </w:hyperlink>
    </w:p>
    <w:p w:rsidR="005F5507" w:rsidRDefault="005F5507" w14:paraId="00DBCD26" w14:textId="43284B40">
      <w:pPr>
        <w:pStyle w:val="TOC2"/>
        <w:rPr>
          <w:lang w:val="en-GB" w:eastAsia="en-GB"/>
        </w:rPr>
      </w:pPr>
      <w:hyperlink w:history="1" w:anchor="_Toc172732217">
        <w:r w:rsidRPr="00EF5874">
          <w:rPr>
            <w:rStyle w:val="Hyperlink"/>
            <w:rFonts w:ascii="Times New Roman" w:hAnsi="Times New Roman" w:cs="Times New Roman"/>
          </w:rPr>
          <w:t>I.4</w:t>
        </w:r>
        <w:r>
          <w:rPr>
            <w:lang w:val="en-GB" w:eastAsia="en-GB"/>
          </w:rPr>
          <w:tab/>
        </w:r>
        <w:r w:rsidRPr="00EF5874">
          <w:rPr>
            <w:rStyle w:val="Hyperlink"/>
            <w:rFonts w:ascii="Times New Roman" w:hAnsi="Times New Roman" w:cs="Times New Roman"/>
          </w:rPr>
          <w:t>Reporting of supervisory data</w:t>
        </w:r>
        <w:r>
          <w:rPr>
            <w:webHidden/>
          </w:rPr>
          <w:tab/>
        </w:r>
        <w:r>
          <w:rPr>
            <w:webHidden/>
          </w:rPr>
          <w:fldChar w:fldCharType="begin"/>
        </w:r>
        <w:r>
          <w:rPr>
            <w:webHidden/>
          </w:rPr>
          <w:instrText xml:space="preserve"> PAGEREF _Toc172732217 \h </w:instrText>
        </w:r>
        <w:r>
          <w:rPr>
            <w:webHidden/>
          </w:rPr>
        </w:r>
        <w:r>
          <w:rPr>
            <w:webHidden/>
          </w:rPr>
          <w:fldChar w:fldCharType="separate"/>
        </w:r>
        <w:r>
          <w:rPr>
            <w:webHidden/>
          </w:rPr>
          <w:t>5</w:t>
        </w:r>
        <w:r>
          <w:rPr>
            <w:webHidden/>
          </w:rPr>
          <w:fldChar w:fldCharType="end"/>
        </w:r>
      </w:hyperlink>
    </w:p>
    <w:p w:rsidR="005F5507" w:rsidRDefault="005F5507" w14:paraId="0B59DF55" w14:textId="4D2ADDF6">
      <w:pPr>
        <w:pStyle w:val="TOC2"/>
        <w:rPr>
          <w:lang w:val="en-GB" w:eastAsia="en-GB"/>
        </w:rPr>
      </w:pPr>
      <w:hyperlink w:history="1" w:anchor="_Toc172732218">
        <w:r w:rsidRPr="00EF5874">
          <w:rPr>
            <w:rStyle w:val="Hyperlink"/>
            <w:rFonts w:ascii="Times New Roman" w:hAnsi="Times New Roman" w:cs="Times New Roman"/>
          </w:rPr>
          <w:t>I.5</w:t>
        </w:r>
        <w:r>
          <w:rPr>
            <w:lang w:val="en-GB" w:eastAsia="en-GB"/>
          </w:rPr>
          <w:tab/>
        </w:r>
        <w:r w:rsidRPr="00EF5874">
          <w:rPr>
            <w:rStyle w:val="Hyperlink"/>
            <w:rFonts w:ascii="Times New Roman" w:hAnsi="Times New Roman" w:cs="Times New Roman"/>
          </w:rPr>
          <w:t>Scope of consolidation</w:t>
        </w:r>
        <w:r>
          <w:rPr>
            <w:webHidden/>
          </w:rPr>
          <w:tab/>
        </w:r>
        <w:r>
          <w:rPr>
            <w:webHidden/>
          </w:rPr>
          <w:fldChar w:fldCharType="begin"/>
        </w:r>
        <w:r>
          <w:rPr>
            <w:webHidden/>
          </w:rPr>
          <w:instrText xml:space="preserve"> PAGEREF _Toc172732218 \h </w:instrText>
        </w:r>
        <w:r>
          <w:rPr>
            <w:webHidden/>
          </w:rPr>
        </w:r>
        <w:r>
          <w:rPr>
            <w:webHidden/>
          </w:rPr>
          <w:fldChar w:fldCharType="separate"/>
        </w:r>
        <w:r>
          <w:rPr>
            <w:webHidden/>
          </w:rPr>
          <w:t>5</w:t>
        </w:r>
        <w:r>
          <w:rPr>
            <w:webHidden/>
          </w:rPr>
          <w:fldChar w:fldCharType="end"/>
        </w:r>
      </w:hyperlink>
    </w:p>
    <w:p w:rsidR="005F5507" w:rsidRDefault="005F5507" w14:paraId="11D98006" w14:textId="337C849A">
      <w:pPr>
        <w:pStyle w:val="TOC2"/>
        <w:rPr>
          <w:lang w:val="en-GB" w:eastAsia="en-GB"/>
        </w:rPr>
      </w:pPr>
      <w:hyperlink w:history="1" w:anchor="_Toc172732219">
        <w:r w:rsidRPr="00EF5874">
          <w:rPr>
            <w:rStyle w:val="Hyperlink"/>
            <w:rFonts w:ascii="Times New Roman" w:hAnsi="Times New Roman" w:cs="Times New Roman"/>
          </w:rPr>
          <w:t>I.6</w:t>
        </w:r>
        <w:r>
          <w:rPr>
            <w:lang w:val="en-GB" w:eastAsia="en-GB"/>
          </w:rPr>
          <w:tab/>
        </w:r>
        <w:r w:rsidRPr="00EF5874">
          <w:rPr>
            <w:rStyle w:val="Hyperlink"/>
            <w:rFonts w:ascii="Times New Roman" w:hAnsi="Times New Roman" w:cs="Times New Roman"/>
          </w:rPr>
          <w:t>Numbering and other conventions</w:t>
        </w:r>
        <w:r>
          <w:rPr>
            <w:webHidden/>
          </w:rPr>
          <w:tab/>
        </w:r>
        <w:r>
          <w:rPr>
            <w:webHidden/>
          </w:rPr>
          <w:fldChar w:fldCharType="begin"/>
        </w:r>
        <w:r>
          <w:rPr>
            <w:webHidden/>
          </w:rPr>
          <w:instrText xml:space="preserve"> PAGEREF _Toc172732219 \h </w:instrText>
        </w:r>
        <w:r>
          <w:rPr>
            <w:webHidden/>
          </w:rPr>
        </w:r>
        <w:r>
          <w:rPr>
            <w:webHidden/>
          </w:rPr>
          <w:fldChar w:fldCharType="separate"/>
        </w:r>
        <w:r>
          <w:rPr>
            <w:webHidden/>
          </w:rPr>
          <w:t>6</w:t>
        </w:r>
        <w:r>
          <w:rPr>
            <w:webHidden/>
          </w:rPr>
          <w:fldChar w:fldCharType="end"/>
        </w:r>
      </w:hyperlink>
    </w:p>
    <w:p w:rsidR="005F5507" w:rsidRDefault="005F5507" w14:paraId="60111160" w14:textId="4D51963F">
      <w:pPr>
        <w:pStyle w:val="TOC2"/>
        <w:rPr>
          <w:lang w:val="en-GB" w:eastAsia="en-GB"/>
        </w:rPr>
      </w:pPr>
      <w:hyperlink w:history="1" w:anchor="_Toc172732220">
        <w:r w:rsidRPr="00EF5874">
          <w:rPr>
            <w:rStyle w:val="Hyperlink"/>
            <w:rFonts w:ascii="Times New Roman" w:hAnsi="Times New Roman" w:cs="Times New Roman"/>
          </w:rPr>
          <w:t>II.</w:t>
        </w:r>
        <w:r>
          <w:rPr>
            <w:lang w:val="en-GB" w:eastAsia="en-GB"/>
          </w:rPr>
          <w:tab/>
        </w:r>
        <w:r w:rsidRPr="00EF5874">
          <w:rPr>
            <w:rStyle w:val="Hyperlink"/>
            <w:rFonts w:ascii="Times New Roman" w:hAnsi="Times New Roman" w:cs="Times New Roman"/>
          </w:rPr>
          <w:t>Template-related instructions</w:t>
        </w:r>
        <w:r>
          <w:rPr>
            <w:webHidden/>
          </w:rPr>
          <w:tab/>
        </w:r>
        <w:r>
          <w:rPr>
            <w:webHidden/>
          </w:rPr>
          <w:fldChar w:fldCharType="begin"/>
        </w:r>
        <w:r>
          <w:rPr>
            <w:webHidden/>
          </w:rPr>
          <w:instrText xml:space="preserve"> PAGEREF _Toc172732220 \h </w:instrText>
        </w:r>
        <w:r>
          <w:rPr>
            <w:webHidden/>
          </w:rPr>
        </w:r>
        <w:r>
          <w:rPr>
            <w:webHidden/>
          </w:rPr>
          <w:fldChar w:fldCharType="separate"/>
        </w:r>
        <w:r>
          <w:rPr>
            <w:webHidden/>
          </w:rPr>
          <w:t>6</w:t>
        </w:r>
        <w:r>
          <w:rPr>
            <w:webHidden/>
          </w:rPr>
          <w:fldChar w:fldCharType="end"/>
        </w:r>
      </w:hyperlink>
    </w:p>
    <w:p w:rsidR="005F5507" w:rsidRDefault="005F5507" w14:paraId="09D471FF" w14:textId="4DDA66C1">
      <w:pPr>
        <w:pStyle w:val="TOC2"/>
        <w:rPr>
          <w:lang w:val="en-GB" w:eastAsia="en-GB"/>
        </w:rPr>
      </w:pPr>
      <w:hyperlink w:history="1" w:anchor="_Toc172732221">
        <w:r w:rsidRPr="00EF5874">
          <w:rPr>
            <w:rStyle w:val="Hyperlink"/>
            <w:rFonts w:ascii="Times New Roman" w:hAnsi="Times New Roman" w:cs="Times New Roman"/>
          </w:rPr>
          <w:t>II.1</w:t>
        </w:r>
        <w:r>
          <w:rPr>
            <w:lang w:val="en-GB" w:eastAsia="en-GB"/>
          </w:rPr>
          <w:tab/>
        </w:r>
        <w:r w:rsidRPr="00EF5874">
          <w:rPr>
            <w:rStyle w:val="Hyperlink"/>
            <w:rFonts w:ascii="Times New Roman" w:hAnsi="Times New Roman" w:cs="Times New Roman"/>
          </w:rPr>
          <w:t>Z 01.01 – Legal entities (ORG 1)</w:t>
        </w:r>
        <w:r>
          <w:rPr>
            <w:webHidden/>
          </w:rPr>
          <w:tab/>
        </w:r>
        <w:r>
          <w:rPr>
            <w:webHidden/>
          </w:rPr>
          <w:fldChar w:fldCharType="begin"/>
        </w:r>
        <w:r>
          <w:rPr>
            <w:webHidden/>
          </w:rPr>
          <w:instrText xml:space="preserve"> PAGEREF _Toc172732221 \h </w:instrText>
        </w:r>
        <w:r>
          <w:rPr>
            <w:webHidden/>
          </w:rPr>
        </w:r>
        <w:r>
          <w:rPr>
            <w:webHidden/>
          </w:rPr>
          <w:fldChar w:fldCharType="separate"/>
        </w:r>
        <w:r>
          <w:rPr>
            <w:webHidden/>
          </w:rPr>
          <w:t>6</w:t>
        </w:r>
        <w:r>
          <w:rPr>
            <w:webHidden/>
          </w:rPr>
          <w:fldChar w:fldCharType="end"/>
        </w:r>
      </w:hyperlink>
    </w:p>
    <w:p w:rsidR="005F5507" w:rsidRDefault="005F5507" w14:paraId="362604D3" w14:textId="671AC237">
      <w:pPr>
        <w:pStyle w:val="TOC2"/>
        <w:rPr>
          <w:lang w:val="en-GB" w:eastAsia="en-GB"/>
        </w:rPr>
      </w:pPr>
      <w:hyperlink w:history="1" w:anchor="_Toc172732222">
        <w:r w:rsidRPr="00EF5874">
          <w:rPr>
            <w:rStyle w:val="Hyperlink"/>
            <w:rFonts w:ascii="Times New Roman" w:hAnsi="Times New Roman" w:cs="Times New Roman"/>
          </w:rPr>
          <w:t>II.2</w:t>
        </w:r>
        <w:r>
          <w:rPr>
            <w:lang w:val="en-GB" w:eastAsia="en-GB"/>
          </w:rPr>
          <w:tab/>
        </w:r>
        <w:r w:rsidRPr="00EF5874">
          <w:rPr>
            <w:rStyle w:val="Hyperlink"/>
            <w:rFonts w:ascii="Times New Roman" w:hAnsi="Times New Roman" w:cs="Times New Roman"/>
          </w:rPr>
          <w:t>Z 01.02 - Ownership structure (ORG 2)</w:t>
        </w:r>
        <w:r>
          <w:rPr>
            <w:webHidden/>
          </w:rPr>
          <w:tab/>
        </w:r>
        <w:r>
          <w:rPr>
            <w:webHidden/>
          </w:rPr>
          <w:fldChar w:fldCharType="begin"/>
        </w:r>
        <w:r>
          <w:rPr>
            <w:webHidden/>
          </w:rPr>
          <w:instrText xml:space="preserve"> PAGEREF _Toc172732222 \h </w:instrText>
        </w:r>
        <w:r>
          <w:rPr>
            <w:webHidden/>
          </w:rPr>
        </w:r>
        <w:r>
          <w:rPr>
            <w:webHidden/>
          </w:rPr>
          <w:fldChar w:fldCharType="separate"/>
        </w:r>
        <w:r>
          <w:rPr>
            <w:webHidden/>
          </w:rPr>
          <w:t>10</w:t>
        </w:r>
        <w:r>
          <w:rPr>
            <w:webHidden/>
          </w:rPr>
          <w:fldChar w:fldCharType="end"/>
        </w:r>
      </w:hyperlink>
    </w:p>
    <w:p w:rsidR="005F5507" w:rsidRDefault="005F5507" w14:paraId="6B93ED8A" w14:textId="5FC7FB07">
      <w:pPr>
        <w:pStyle w:val="TOC2"/>
        <w:rPr>
          <w:lang w:val="en-GB" w:eastAsia="en-GB"/>
        </w:rPr>
      </w:pPr>
      <w:hyperlink w:history="1" w:anchor="_Toc172732223">
        <w:r w:rsidRPr="00EF5874">
          <w:rPr>
            <w:rStyle w:val="Hyperlink"/>
            <w:rFonts w:ascii="Times New Roman" w:hAnsi="Times New Roman" w:cs="Times New Roman"/>
          </w:rPr>
          <w:t>II.3</w:t>
        </w:r>
        <w:r>
          <w:rPr>
            <w:lang w:val="en-GB" w:eastAsia="en-GB"/>
          </w:rPr>
          <w:tab/>
        </w:r>
        <w:r w:rsidRPr="00EF5874">
          <w:rPr>
            <w:rStyle w:val="Hyperlink"/>
            <w:rFonts w:ascii="Times New Roman" w:hAnsi="Times New Roman" w:cs="Times New Roman"/>
          </w:rPr>
          <w:t>Z 02.00 - Liability Structure (LIAB 1)</w:t>
        </w:r>
        <w:r>
          <w:rPr>
            <w:webHidden/>
          </w:rPr>
          <w:tab/>
        </w:r>
        <w:r>
          <w:rPr>
            <w:webHidden/>
          </w:rPr>
          <w:fldChar w:fldCharType="begin"/>
        </w:r>
        <w:r>
          <w:rPr>
            <w:webHidden/>
          </w:rPr>
          <w:instrText xml:space="preserve"> PAGEREF _Toc172732223 \h </w:instrText>
        </w:r>
        <w:r>
          <w:rPr>
            <w:webHidden/>
          </w:rPr>
        </w:r>
        <w:r>
          <w:rPr>
            <w:webHidden/>
          </w:rPr>
          <w:fldChar w:fldCharType="separate"/>
        </w:r>
        <w:r>
          <w:rPr>
            <w:webHidden/>
          </w:rPr>
          <w:t>11</w:t>
        </w:r>
        <w:r>
          <w:rPr>
            <w:webHidden/>
          </w:rPr>
          <w:fldChar w:fldCharType="end"/>
        </w:r>
      </w:hyperlink>
    </w:p>
    <w:p w:rsidR="005F5507" w:rsidRDefault="005F5507" w14:paraId="250CADA3" w14:textId="416E5F8F">
      <w:pPr>
        <w:pStyle w:val="TOC2"/>
        <w:rPr>
          <w:lang w:val="en-GB" w:eastAsia="en-GB"/>
        </w:rPr>
      </w:pPr>
      <w:hyperlink w:history="1" w:anchor="_Toc172732224">
        <w:r w:rsidRPr="00EF5874">
          <w:rPr>
            <w:rStyle w:val="Hyperlink"/>
            <w:rFonts w:ascii="Times New Roman" w:hAnsi="Times New Roman" w:cs="Times New Roman"/>
          </w:rPr>
          <w:t>II.4</w:t>
        </w:r>
        <w:r>
          <w:rPr>
            <w:lang w:val="en-GB" w:eastAsia="en-GB"/>
          </w:rPr>
          <w:tab/>
        </w:r>
        <w:r w:rsidRPr="00EF5874">
          <w:rPr>
            <w:rStyle w:val="Hyperlink"/>
            <w:rFonts w:ascii="Times New Roman" w:hAnsi="Times New Roman" w:cs="Times New Roman"/>
          </w:rPr>
          <w:t>Z 03.01 - Own funds requirements (LIAB 2)</w:t>
        </w:r>
        <w:r>
          <w:rPr>
            <w:webHidden/>
          </w:rPr>
          <w:tab/>
        </w:r>
        <w:r>
          <w:rPr>
            <w:webHidden/>
          </w:rPr>
          <w:fldChar w:fldCharType="begin"/>
        </w:r>
        <w:r>
          <w:rPr>
            <w:webHidden/>
          </w:rPr>
          <w:instrText xml:space="preserve"> PAGEREF _Toc172732224 \h </w:instrText>
        </w:r>
        <w:r>
          <w:rPr>
            <w:webHidden/>
          </w:rPr>
        </w:r>
        <w:r>
          <w:rPr>
            <w:webHidden/>
          </w:rPr>
          <w:fldChar w:fldCharType="separate"/>
        </w:r>
        <w:r>
          <w:rPr>
            <w:webHidden/>
          </w:rPr>
          <w:t>18</w:t>
        </w:r>
        <w:r>
          <w:rPr>
            <w:webHidden/>
          </w:rPr>
          <w:fldChar w:fldCharType="end"/>
        </w:r>
      </w:hyperlink>
    </w:p>
    <w:p w:rsidR="005F5507" w:rsidRDefault="005F5507" w14:paraId="726E0C45" w14:textId="1CF795ED">
      <w:pPr>
        <w:pStyle w:val="TOC2"/>
        <w:rPr>
          <w:lang w:val="en-GB" w:eastAsia="en-GB"/>
        </w:rPr>
      </w:pPr>
      <w:hyperlink w:history="1" w:anchor="_Toc172732225">
        <w:r w:rsidRPr="00EF5874">
          <w:rPr>
            <w:rStyle w:val="Hyperlink"/>
            <w:rFonts w:ascii="Times New Roman" w:hAnsi="Times New Roman" w:cs="Times New Roman"/>
          </w:rPr>
          <w:t>II.5</w:t>
        </w:r>
        <w:r>
          <w:rPr>
            <w:lang w:val="en-GB" w:eastAsia="en-GB"/>
          </w:rPr>
          <w:tab/>
        </w:r>
        <w:r w:rsidRPr="00EF5874">
          <w:rPr>
            <w:rStyle w:val="Hyperlink"/>
            <w:rFonts w:ascii="Times New Roman" w:hAnsi="Times New Roman" w:cs="Times New Roman"/>
          </w:rPr>
          <w:t>Z 03.02 - Own funds requirements (LIAB 3)</w:t>
        </w:r>
        <w:r>
          <w:rPr>
            <w:webHidden/>
          </w:rPr>
          <w:tab/>
        </w:r>
        <w:r>
          <w:rPr>
            <w:webHidden/>
          </w:rPr>
          <w:fldChar w:fldCharType="begin"/>
        </w:r>
        <w:r>
          <w:rPr>
            <w:webHidden/>
          </w:rPr>
          <w:instrText xml:space="preserve"> PAGEREF _Toc172732225 \h </w:instrText>
        </w:r>
        <w:r>
          <w:rPr>
            <w:webHidden/>
          </w:rPr>
        </w:r>
        <w:r>
          <w:rPr>
            <w:webHidden/>
          </w:rPr>
          <w:fldChar w:fldCharType="separate"/>
        </w:r>
        <w:r>
          <w:rPr>
            <w:webHidden/>
          </w:rPr>
          <w:t>21</w:t>
        </w:r>
        <w:r>
          <w:rPr>
            <w:webHidden/>
          </w:rPr>
          <w:fldChar w:fldCharType="end"/>
        </w:r>
      </w:hyperlink>
    </w:p>
    <w:p w:rsidR="005F5507" w:rsidRDefault="005F5507" w14:paraId="02D9ACE7" w14:textId="7D0C15C9">
      <w:pPr>
        <w:pStyle w:val="TOC2"/>
        <w:rPr>
          <w:lang w:val="en-GB" w:eastAsia="en-GB"/>
        </w:rPr>
      </w:pPr>
      <w:hyperlink w:history="1" w:anchor="_Toc172732226">
        <w:r w:rsidRPr="00EF5874">
          <w:rPr>
            <w:rStyle w:val="Hyperlink"/>
            <w:rFonts w:ascii="Times New Roman" w:hAnsi="Times New Roman" w:cs="Times New Roman"/>
            <w:lang w:val="fr-BE"/>
          </w:rPr>
          <w:t>II.6</w:t>
        </w:r>
        <w:r>
          <w:rPr>
            <w:lang w:val="en-GB" w:eastAsia="en-GB"/>
          </w:rPr>
          <w:tab/>
        </w:r>
        <w:r w:rsidRPr="00EF5874">
          <w:rPr>
            <w:rStyle w:val="Hyperlink"/>
            <w:rFonts w:ascii="Times New Roman" w:hAnsi="Times New Roman" w:cs="Times New Roman"/>
            <w:lang w:val="fr-BE"/>
          </w:rPr>
          <w:t>Z 04.00 - Intragroup financial interconnections (LIAB 4)</w:t>
        </w:r>
        <w:r>
          <w:rPr>
            <w:webHidden/>
          </w:rPr>
          <w:tab/>
        </w:r>
        <w:r>
          <w:rPr>
            <w:webHidden/>
          </w:rPr>
          <w:fldChar w:fldCharType="begin"/>
        </w:r>
        <w:r>
          <w:rPr>
            <w:webHidden/>
          </w:rPr>
          <w:instrText xml:space="preserve"> PAGEREF _Toc172732226 \h </w:instrText>
        </w:r>
        <w:r>
          <w:rPr>
            <w:webHidden/>
          </w:rPr>
        </w:r>
        <w:r>
          <w:rPr>
            <w:webHidden/>
          </w:rPr>
          <w:fldChar w:fldCharType="separate"/>
        </w:r>
        <w:r>
          <w:rPr>
            <w:webHidden/>
          </w:rPr>
          <w:t>22</w:t>
        </w:r>
        <w:r>
          <w:rPr>
            <w:webHidden/>
          </w:rPr>
          <w:fldChar w:fldCharType="end"/>
        </w:r>
      </w:hyperlink>
    </w:p>
    <w:p w:rsidR="005F5507" w:rsidRDefault="005F5507" w14:paraId="73CADAE1" w14:textId="3EC21CAB">
      <w:pPr>
        <w:pStyle w:val="TOC2"/>
        <w:rPr>
          <w:lang w:val="en-GB" w:eastAsia="en-GB"/>
        </w:rPr>
      </w:pPr>
      <w:hyperlink w:history="1" w:anchor="_Toc172732227">
        <w:r w:rsidRPr="00EF5874">
          <w:rPr>
            <w:rStyle w:val="Hyperlink"/>
            <w:rFonts w:ascii="Times New Roman" w:hAnsi="Times New Roman" w:cs="Times New Roman"/>
          </w:rPr>
          <w:t>II.7</w:t>
        </w:r>
        <w:r>
          <w:rPr>
            <w:lang w:val="en-GB" w:eastAsia="en-GB"/>
          </w:rPr>
          <w:tab/>
        </w:r>
        <w:r w:rsidRPr="00EF5874">
          <w:rPr>
            <w:rStyle w:val="Hyperlink"/>
            <w:rFonts w:ascii="Times New Roman" w:hAnsi="Times New Roman" w:cs="Times New Roman"/>
          </w:rPr>
          <w:t>Major Counterparties (LIAB 5 &amp; 6)</w:t>
        </w:r>
        <w:r>
          <w:rPr>
            <w:webHidden/>
          </w:rPr>
          <w:tab/>
        </w:r>
        <w:r>
          <w:rPr>
            <w:webHidden/>
          </w:rPr>
          <w:fldChar w:fldCharType="begin"/>
        </w:r>
        <w:r>
          <w:rPr>
            <w:webHidden/>
          </w:rPr>
          <w:instrText xml:space="preserve"> PAGEREF _Toc172732227 \h </w:instrText>
        </w:r>
        <w:r>
          <w:rPr>
            <w:webHidden/>
          </w:rPr>
        </w:r>
        <w:r>
          <w:rPr>
            <w:webHidden/>
          </w:rPr>
          <w:fldChar w:fldCharType="separate"/>
        </w:r>
        <w:r>
          <w:rPr>
            <w:webHidden/>
          </w:rPr>
          <w:t>25</w:t>
        </w:r>
        <w:r>
          <w:rPr>
            <w:webHidden/>
          </w:rPr>
          <w:fldChar w:fldCharType="end"/>
        </w:r>
      </w:hyperlink>
    </w:p>
    <w:p w:rsidR="005F5507" w:rsidRDefault="005F5507" w14:paraId="483BD616" w14:textId="035AA167">
      <w:pPr>
        <w:pStyle w:val="TOC2"/>
        <w:rPr>
          <w:lang w:val="en-GB" w:eastAsia="en-GB"/>
        </w:rPr>
      </w:pPr>
      <w:hyperlink w:history="1" w:anchor="_Toc172732228">
        <w:r w:rsidRPr="00EF5874">
          <w:rPr>
            <w:rStyle w:val="Hyperlink"/>
            <w:rFonts w:ascii="Times New Roman" w:hAnsi="Times New Roman" w:cs="Times New Roman"/>
          </w:rPr>
          <w:t>II.8</w:t>
        </w:r>
        <w:r>
          <w:rPr>
            <w:lang w:val="en-GB" w:eastAsia="en-GB"/>
          </w:rPr>
          <w:tab/>
        </w:r>
        <w:r w:rsidRPr="00EF5874">
          <w:rPr>
            <w:rStyle w:val="Hyperlink"/>
            <w:rFonts w:ascii="Times New Roman" w:hAnsi="Times New Roman" w:cs="Times New Roman"/>
          </w:rPr>
          <w:t>Z 05.01 – Major liabilities counterparties (LIAB 5)</w:t>
        </w:r>
        <w:r>
          <w:rPr>
            <w:webHidden/>
          </w:rPr>
          <w:tab/>
        </w:r>
        <w:r>
          <w:rPr>
            <w:webHidden/>
          </w:rPr>
          <w:fldChar w:fldCharType="begin"/>
        </w:r>
        <w:r>
          <w:rPr>
            <w:webHidden/>
          </w:rPr>
          <w:instrText xml:space="preserve"> PAGEREF _Toc172732228 \h </w:instrText>
        </w:r>
        <w:r>
          <w:rPr>
            <w:webHidden/>
          </w:rPr>
        </w:r>
        <w:r>
          <w:rPr>
            <w:webHidden/>
          </w:rPr>
          <w:fldChar w:fldCharType="separate"/>
        </w:r>
        <w:r>
          <w:rPr>
            <w:webHidden/>
          </w:rPr>
          <w:t>25</w:t>
        </w:r>
        <w:r>
          <w:rPr>
            <w:webHidden/>
          </w:rPr>
          <w:fldChar w:fldCharType="end"/>
        </w:r>
      </w:hyperlink>
    </w:p>
    <w:p w:rsidR="005F5507" w:rsidRDefault="005F5507" w14:paraId="3A90ED93" w14:textId="3D9340B4">
      <w:pPr>
        <w:pStyle w:val="TOC2"/>
        <w:rPr>
          <w:lang w:val="en-GB" w:eastAsia="en-GB"/>
        </w:rPr>
      </w:pPr>
      <w:hyperlink w:history="1" w:anchor="_Toc172732229">
        <w:r w:rsidRPr="00EF5874">
          <w:rPr>
            <w:rStyle w:val="Hyperlink"/>
            <w:rFonts w:ascii="Times New Roman" w:hAnsi="Times New Roman" w:cs="Times New Roman"/>
          </w:rPr>
          <w:t>II.9</w:t>
        </w:r>
        <w:r>
          <w:rPr>
            <w:lang w:val="en-GB" w:eastAsia="en-GB"/>
          </w:rPr>
          <w:tab/>
        </w:r>
        <w:r w:rsidRPr="00EF5874">
          <w:rPr>
            <w:rStyle w:val="Hyperlink"/>
            <w:rFonts w:ascii="Times New Roman" w:hAnsi="Times New Roman" w:cs="Times New Roman"/>
          </w:rPr>
          <w:t>Z 05.02 – Major off-balance sheet counterparties (LIAB 6)</w:t>
        </w:r>
        <w:r>
          <w:rPr>
            <w:webHidden/>
          </w:rPr>
          <w:tab/>
        </w:r>
        <w:r>
          <w:rPr>
            <w:webHidden/>
          </w:rPr>
          <w:fldChar w:fldCharType="begin"/>
        </w:r>
        <w:r>
          <w:rPr>
            <w:webHidden/>
          </w:rPr>
          <w:instrText xml:space="preserve"> PAGEREF _Toc172732229 \h </w:instrText>
        </w:r>
        <w:r>
          <w:rPr>
            <w:webHidden/>
          </w:rPr>
        </w:r>
        <w:r>
          <w:rPr>
            <w:webHidden/>
          </w:rPr>
          <w:fldChar w:fldCharType="separate"/>
        </w:r>
        <w:r>
          <w:rPr>
            <w:webHidden/>
          </w:rPr>
          <w:t>27</w:t>
        </w:r>
        <w:r>
          <w:rPr>
            <w:webHidden/>
          </w:rPr>
          <w:fldChar w:fldCharType="end"/>
        </w:r>
      </w:hyperlink>
    </w:p>
    <w:p w:rsidR="005F5507" w:rsidRDefault="005F5507" w14:paraId="64F6E33D" w14:textId="284AFBB1">
      <w:pPr>
        <w:pStyle w:val="TOC2"/>
        <w:rPr>
          <w:lang w:val="en-GB" w:eastAsia="en-GB"/>
        </w:rPr>
      </w:pPr>
      <w:hyperlink w:history="1" w:anchor="_Toc172732230">
        <w:r w:rsidRPr="00EF5874">
          <w:rPr>
            <w:rStyle w:val="Hyperlink"/>
            <w:rFonts w:ascii="Times New Roman" w:hAnsi="Times New Roman" w:cs="Times New Roman"/>
          </w:rPr>
          <w:t>II.10</w:t>
        </w:r>
        <w:r>
          <w:rPr>
            <w:lang w:val="en-GB" w:eastAsia="en-GB"/>
          </w:rPr>
          <w:tab/>
        </w:r>
        <w:r w:rsidRPr="00EF5874">
          <w:rPr>
            <w:rStyle w:val="Hyperlink"/>
            <w:rFonts w:ascii="Times New Roman" w:hAnsi="Times New Roman" w:cs="Times New Roman"/>
          </w:rPr>
          <w:t>Z 06.00 - Deposit insurance (LIAB 7)</w:t>
        </w:r>
        <w:r>
          <w:rPr>
            <w:webHidden/>
          </w:rPr>
          <w:tab/>
        </w:r>
        <w:r>
          <w:rPr>
            <w:webHidden/>
          </w:rPr>
          <w:fldChar w:fldCharType="begin"/>
        </w:r>
        <w:r>
          <w:rPr>
            <w:webHidden/>
          </w:rPr>
          <w:instrText xml:space="preserve"> PAGEREF _Toc172732230 \h </w:instrText>
        </w:r>
        <w:r>
          <w:rPr>
            <w:webHidden/>
          </w:rPr>
        </w:r>
        <w:r>
          <w:rPr>
            <w:webHidden/>
          </w:rPr>
          <w:fldChar w:fldCharType="separate"/>
        </w:r>
        <w:r>
          <w:rPr>
            <w:webHidden/>
          </w:rPr>
          <w:t>28</w:t>
        </w:r>
        <w:r>
          <w:rPr>
            <w:webHidden/>
          </w:rPr>
          <w:fldChar w:fldCharType="end"/>
        </w:r>
      </w:hyperlink>
    </w:p>
    <w:p w:rsidR="005F5507" w:rsidRDefault="005F5507" w14:paraId="6E7875E5" w14:textId="2DD61389">
      <w:pPr>
        <w:pStyle w:val="TOC2"/>
        <w:rPr>
          <w:lang w:val="en-GB" w:eastAsia="en-GB"/>
        </w:rPr>
      </w:pPr>
      <w:hyperlink w:history="1" w:anchor="_Toc172732231">
        <w:r w:rsidRPr="00EF5874">
          <w:rPr>
            <w:rStyle w:val="Hyperlink"/>
            <w:rFonts w:ascii="Times New Roman" w:hAnsi="Times New Roman" w:cs="Times New Roman"/>
          </w:rPr>
          <w:t>II.11</w:t>
        </w:r>
        <w:r>
          <w:rPr>
            <w:lang w:val="en-GB" w:eastAsia="en-GB"/>
          </w:rPr>
          <w:tab/>
        </w:r>
        <w:r w:rsidRPr="00EF5874">
          <w:rPr>
            <w:rStyle w:val="Hyperlink"/>
            <w:rFonts w:ascii="Times New Roman" w:hAnsi="Times New Roman" w:cs="Times New Roman"/>
          </w:rPr>
          <w:t>Critical functions and core business lines</w:t>
        </w:r>
        <w:r>
          <w:rPr>
            <w:webHidden/>
          </w:rPr>
          <w:tab/>
        </w:r>
        <w:r>
          <w:rPr>
            <w:webHidden/>
          </w:rPr>
          <w:fldChar w:fldCharType="begin"/>
        </w:r>
        <w:r>
          <w:rPr>
            <w:webHidden/>
          </w:rPr>
          <w:instrText xml:space="preserve"> PAGEREF _Toc172732231 \h </w:instrText>
        </w:r>
        <w:r>
          <w:rPr>
            <w:webHidden/>
          </w:rPr>
        </w:r>
        <w:r>
          <w:rPr>
            <w:webHidden/>
          </w:rPr>
          <w:fldChar w:fldCharType="separate"/>
        </w:r>
        <w:r>
          <w:rPr>
            <w:webHidden/>
          </w:rPr>
          <w:t>31</w:t>
        </w:r>
        <w:r>
          <w:rPr>
            <w:webHidden/>
          </w:rPr>
          <w:fldChar w:fldCharType="end"/>
        </w:r>
      </w:hyperlink>
    </w:p>
    <w:p w:rsidR="005F5507" w:rsidRDefault="005F5507" w14:paraId="1E4FD11F" w14:textId="6ACCCF4B">
      <w:pPr>
        <w:pStyle w:val="TOC2"/>
        <w:rPr>
          <w:lang w:val="en-GB" w:eastAsia="en-GB"/>
        </w:rPr>
      </w:pPr>
      <w:hyperlink w:history="1" w:anchor="_Toc172732232">
        <w:r w:rsidRPr="00EF5874">
          <w:rPr>
            <w:rStyle w:val="Hyperlink"/>
            <w:rFonts w:ascii="Times New Roman" w:hAnsi="Times New Roman" w:cs="Times New Roman"/>
          </w:rPr>
          <w:t>II.12</w:t>
        </w:r>
        <w:r>
          <w:rPr>
            <w:lang w:val="en-GB" w:eastAsia="en-GB"/>
          </w:rPr>
          <w:tab/>
        </w:r>
        <w:r w:rsidRPr="00EF5874">
          <w:rPr>
            <w:rStyle w:val="Hyperlink"/>
            <w:rFonts w:ascii="Times New Roman" w:hAnsi="Times New Roman" w:cs="Times New Roman"/>
          </w:rPr>
          <w:t>Z 07.01 – Criticality assessment of economic functions (FUNC 1)</w:t>
        </w:r>
        <w:r>
          <w:rPr>
            <w:webHidden/>
          </w:rPr>
          <w:tab/>
        </w:r>
        <w:r>
          <w:rPr>
            <w:webHidden/>
          </w:rPr>
          <w:fldChar w:fldCharType="begin"/>
        </w:r>
        <w:r>
          <w:rPr>
            <w:webHidden/>
          </w:rPr>
          <w:instrText xml:space="preserve"> PAGEREF _Toc172732232 \h </w:instrText>
        </w:r>
        <w:r>
          <w:rPr>
            <w:webHidden/>
          </w:rPr>
        </w:r>
        <w:r>
          <w:rPr>
            <w:webHidden/>
          </w:rPr>
          <w:fldChar w:fldCharType="separate"/>
        </w:r>
        <w:r>
          <w:rPr>
            <w:webHidden/>
          </w:rPr>
          <w:t>32</w:t>
        </w:r>
        <w:r>
          <w:rPr>
            <w:webHidden/>
          </w:rPr>
          <w:fldChar w:fldCharType="end"/>
        </w:r>
      </w:hyperlink>
    </w:p>
    <w:p w:rsidR="005F5507" w:rsidRDefault="005F5507" w14:paraId="771660B5" w14:textId="3E601DEB">
      <w:pPr>
        <w:pStyle w:val="TOC2"/>
        <w:rPr>
          <w:lang w:val="en-GB" w:eastAsia="en-GB"/>
        </w:rPr>
      </w:pPr>
      <w:hyperlink w:history="1" w:anchor="_Toc172732233">
        <w:r w:rsidRPr="00EF5874">
          <w:rPr>
            <w:rStyle w:val="Hyperlink"/>
            <w:rFonts w:ascii="Times New Roman" w:hAnsi="Times New Roman" w:cs="Times New Roman"/>
          </w:rPr>
          <w:t>II.13</w:t>
        </w:r>
        <w:r>
          <w:rPr>
            <w:lang w:val="en-GB" w:eastAsia="en-GB"/>
          </w:rPr>
          <w:tab/>
        </w:r>
        <w:r w:rsidRPr="00EF5874">
          <w:rPr>
            <w:rStyle w:val="Hyperlink"/>
            <w:rFonts w:ascii="Times New Roman" w:hAnsi="Times New Roman" w:cs="Times New Roman"/>
          </w:rPr>
          <w:t>7.1 FUNC 1 DEP</w:t>
        </w:r>
        <w:r>
          <w:rPr>
            <w:webHidden/>
          </w:rPr>
          <w:tab/>
        </w:r>
        <w:r>
          <w:rPr>
            <w:webHidden/>
          </w:rPr>
          <w:fldChar w:fldCharType="begin"/>
        </w:r>
        <w:r>
          <w:rPr>
            <w:webHidden/>
          </w:rPr>
          <w:instrText xml:space="preserve"> PAGEREF _Toc172732233 \h </w:instrText>
        </w:r>
        <w:r>
          <w:rPr>
            <w:webHidden/>
          </w:rPr>
        </w:r>
        <w:r>
          <w:rPr>
            <w:webHidden/>
          </w:rPr>
          <w:fldChar w:fldCharType="separate"/>
        </w:r>
        <w:r>
          <w:rPr>
            <w:webHidden/>
          </w:rPr>
          <w:t>36</w:t>
        </w:r>
        <w:r>
          <w:rPr>
            <w:webHidden/>
          </w:rPr>
          <w:fldChar w:fldCharType="end"/>
        </w:r>
      </w:hyperlink>
    </w:p>
    <w:p w:rsidR="005F5507" w:rsidRDefault="005F5507" w14:paraId="308906C7" w14:textId="4A2B32D8">
      <w:pPr>
        <w:pStyle w:val="TOC2"/>
        <w:rPr>
          <w:lang w:val="en-GB" w:eastAsia="en-GB"/>
        </w:rPr>
      </w:pPr>
      <w:hyperlink w:history="1" w:anchor="_Toc172732234">
        <w:r w:rsidRPr="00EF5874">
          <w:rPr>
            <w:rStyle w:val="Hyperlink"/>
            <w:rFonts w:ascii="Times New Roman" w:hAnsi="Times New Roman" w:cs="Times New Roman"/>
          </w:rPr>
          <w:t>II.14</w:t>
        </w:r>
        <w:r>
          <w:rPr>
            <w:lang w:val="en-GB" w:eastAsia="en-GB"/>
          </w:rPr>
          <w:tab/>
        </w:r>
        <w:r w:rsidRPr="00EF5874">
          <w:rPr>
            <w:rStyle w:val="Hyperlink"/>
            <w:rFonts w:ascii="Times New Roman" w:hAnsi="Times New Roman" w:cs="Times New Roman"/>
          </w:rPr>
          <w:t>7.1 FUNC 1 LEN</w:t>
        </w:r>
        <w:r>
          <w:rPr>
            <w:webHidden/>
          </w:rPr>
          <w:tab/>
        </w:r>
        <w:r>
          <w:rPr>
            <w:webHidden/>
          </w:rPr>
          <w:fldChar w:fldCharType="begin"/>
        </w:r>
        <w:r>
          <w:rPr>
            <w:webHidden/>
          </w:rPr>
          <w:instrText xml:space="preserve"> PAGEREF _Toc172732234 \h </w:instrText>
        </w:r>
        <w:r>
          <w:rPr>
            <w:webHidden/>
          </w:rPr>
        </w:r>
        <w:r>
          <w:rPr>
            <w:webHidden/>
          </w:rPr>
          <w:fldChar w:fldCharType="separate"/>
        </w:r>
        <w:r>
          <w:rPr>
            <w:webHidden/>
          </w:rPr>
          <w:t>41</w:t>
        </w:r>
        <w:r>
          <w:rPr>
            <w:webHidden/>
          </w:rPr>
          <w:fldChar w:fldCharType="end"/>
        </w:r>
      </w:hyperlink>
    </w:p>
    <w:p w:rsidR="005F5507" w:rsidRDefault="005F5507" w14:paraId="13D5C00F" w14:textId="3CDC33B0">
      <w:pPr>
        <w:pStyle w:val="TOC2"/>
        <w:rPr>
          <w:lang w:val="en-GB" w:eastAsia="en-GB"/>
        </w:rPr>
      </w:pPr>
      <w:hyperlink w:history="1" w:anchor="_Toc172732235">
        <w:r w:rsidRPr="00EF5874">
          <w:rPr>
            <w:rStyle w:val="Hyperlink"/>
            <w:rFonts w:ascii="Times New Roman" w:hAnsi="Times New Roman" w:cs="Times New Roman"/>
          </w:rPr>
          <w:t>II.15</w:t>
        </w:r>
        <w:r>
          <w:rPr>
            <w:lang w:val="en-GB" w:eastAsia="en-GB"/>
          </w:rPr>
          <w:tab/>
        </w:r>
        <w:r w:rsidRPr="00EF5874">
          <w:rPr>
            <w:rStyle w:val="Hyperlink"/>
            <w:rFonts w:ascii="Times New Roman" w:hAnsi="Times New Roman" w:cs="Times New Roman"/>
          </w:rPr>
          <w:t>7.1 FUNC 1 PAY</w:t>
        </w:r>
        <w:r>
          <w:rPr>
            <w:webHidden/>
          </w:rPr>
          <w:tab/>
        </w:r>
        <w:r>
          <w:rPr>
            <w:webHidden/>
          </w:rPr>
          <w:fldChar w:fldCharType="begin"/>
        </w:r>
        <w:r>
          <w:rPr>
            <w:webHidden/>
          </w:rPr>
          <w:instrText xml:space="preserve"> PAGEREF _Toc172732235 \h </w:instrText>
        </w:r>
        <w:r>
          <w:rPr>
            <w:webHidden/>
          </w:rPr>
        </w:r>
        <w:r>
          <w:rPr>
            <w:webHidden/>
          </w:rPr>
          <w:fldChar w:fldCharType="separate"/>
        </w:r>
        <w:r>
          <w:rPr>
            <w:webHidden/>
          </w:rPr>
          <w:t>46</w:t>
        </w:r>
        <w:r>
          <w:rPr>
            <w:webHidden/>
          </w:rPr>
          <w:fldChar w:fldCharType="end"/>
        </w:r>
      </w:hyperlink>
    </w:p>
    <w:p w:rsidR="005F5507" w:rsidRDefault="005F5507" w14:paraId="0A35C908" w14:textId="75123B11">
      <w:pPr>
        <w:pStyle w:val="TOC2"/>
        <w:rPr>
          <w:lang w:val="en-GB" w:eastAsia="en-GB"/>
        </w:rPr>
      </w:pPr>
      <w:hyperlink w:history="1" w:anchor="_Toc172732236">
        <w:r w:rsidRPr="00EF5874">
          <w:rPr>
            <w:rStyle w:val="Hyperlink"/>
            <w:rFonts w:ascii="Times New Roman" w:hAnsi="Times New Roman" w:cs="Times New Roman"/>
          </w:rPr>
          <w:t>II.13</w:t>
        </w:r>
        <w:r>
          <w:rPr>
            <w:lang w:val="en-GB" w:eastAsia="en-GB"/>
          </w:rPr>
          <w:tab/>
        </w:r>
        <w:r w:rsidRPr="00EF5874">
          <w:rPr>
            <w:rStyle w:val="Hyperlink"/>
            <w:rFonts w:ascii="Times New Roman" w:hAnsi="Times New Roman" w:cs="Times New Roman"/>
          </w:rPr>
          <w:t>7.1 FUNC 1 CM</w:t>
        </w:r>
        <w:r>
          <w:rPr>
            <w:webHidden/>
          </w:rPr>
          <w:tab/>
        </w:r>
        <w:r>
          <w:rPr>
            <w:webHidden/>
          </w:rPr>
          <w:fldChar w:fldCharType="begin"/>
        </w:r>
        <w:r>
          <w:rPr>
            <w:webHidden/>
          </w:rPr>
          <w:instrText xml:space="preserve"> PAGEREF _Toc172732236 \h </w:instrText>
        </w:r>
        <w:r>
          <w:rPr>
            <w:webHidden/>
          </w:rPr>
        </w:r>
        <w:r>
          <w:rPr>
            <w:webHidden/>
          </w:rPr>
          <w:fldChar w:fldCharType="separate"/>
        </w:r>
        <w:r>
          <w:rPr>
            <w:webHidden/>
          </w:rPr>
          <w:t>52</w:t>
        </w:r>
        <w:r>
          <w:rPr>
            <w:webHidden/>
          </w:rPr>
          <w:fldChar w:fldCharType="end"/>
        </w:r>
      </w:hyperlink>
    </w:p>
    <w:p w:rsidR="005F5507" w:rsidRDefault="005F5507" w14:paraId="4C6DF99E" w14:textId="687640E4">
      <w:pPr>
        <w:pStyle w:val="TOC2"/>
        <w:rPr>
          <w:lang w:val="en-GB" w:eastAsia="en-GB"/>
        </w:rPr>
      </w:pPr>
      <w:hyperlink w:history="1" w:anchor="_Toc172732237">
        <w:r w:rsidRPr="00EF5874">
          <w:rPr>
            <w:rStyle w:val="Hyperlink"/>
            <w:rFonts w:ascii="Times New Roman" w:hAnsi="Times New Roman" w:cs="Times New Roman"/>
          </w:rPr>
          <w:t>II.13</w:t>
        </w:r>
        <w:r>
          <w:rPr>
            <w:lang w:val="en-GB" w:eastAsia="en-GB"/>
          </w:rPr>
          <w:tab/>
        </w:r>
        <w:r w:rsidRPr="00EF5874">
          <w:rPr>
            <w:rStyle w:val="Hyperlink"/>
            <w:rFonts w:ascii="Times New Roman" w:hAnsi="Times New Roman" w:cs="Times New Roman"/>
          </w:rPr>
          <w:t>7.1 FUNC 1 WF</w:t>
        </w:r>
        <w:r>
          <w:rPr>
            <w:webHidden/>
          </w:rPr>
          <w:tab/>
        </w:r>
        <w:r>
          <w:rPr>
            <w:webHidden/>
          </w:rPr>
          <w:fldChar w:fldCharType="begin"/>
        </w:r>
        <w:r>
          <w:rPr>
            <w:webHidden/>
          </w:rPr>
          <w:instrText xml:space="preserve"> PAGEREF _Toc172732237 \h </w:instrText>
        </w:r>
        <w:r>
          <w:rPr>
            <w:webHidden/>
          </w:rPr>
        </w:r>
        <w:r>
          <w:rPr>
            <w:webHidden/>
          </w:rPr>
          <w:fldChar w:fldCharType="separate"/>
        </w:r>
        <w:r>
          <w:rPr>
            <w:webHidden/>
          </w:rPr>
          <w:t>56</w:t>
        </w:r>
        <w:r>
          <w:rPr>
            <w:webHidden/>
          </w:rPr>
          <w:fldChar w:fldCharType="end"/>
        </w:r>
      </w:hyperlink>
    </w:p>
    <w:p w:rsidR="005F5507" w:rsidRDefault="005F5507" w14:paraId="320E07B4" w14:textId="3211E2C3">
      <w:pPr>
        <w:pStyle w:val="TOC2"/>
        <w:rPr>
          <w:lang w:val="en-GB" w:eastAsia="en-GB"/>
        </w:rPr>
      </w:pPr>
      <w:hyperlink w:history="1" w:anchor="_Toc172732238">
        <w:r w:rsidRPr="00EF5874">
          <w:rPr>
            <w:rStyle w:val="Hyperlink"/>
            <w:rFonts w:ascii="Times New Roman" w:hAnsi="Times New Roman" w:cs="Times New Roman"/>
          </w:rPr>
          <w:t>II.16</w:t>
        </w:r>
        <w:r>
          <w:rPr>
            <w:lang w:val="en-GB" w:eastAsia="en-GB"/>
          </w:rPr>
          <w:tab/>
        </w:r>
        <w:r w:rsidRPr="00EF5874">
          <w:rPr>
            <w:rStyle w:val="Hyperlink"/>
            <w:rFonts w:ascii="Times New Roman" w:hAnsi="Times New Roman" w:cs="Times New Roman"/>
          </w:rPr>
          <w:t>Z 07.02 - Mapping of economic functions to legal entities (FUNC 2)</w:t>
        </w:r>
        <w:r>
          <w:rPr>
            <w:webHidden/>
          </w:rPr>
          <w:tab/>
        </w:r>
        <w:r>
          <w:rPr>
            <w:webHidden/>
          </w:rPr>
          <w:fldChar w:fldCharType="begin"/>
        </w:r>
        <w:r>
          <w:rPr>
            <w:webHidden/>
          </w:rPr>
          <w:instrText xml:space="preserve"> PAGEREF _Toc172732238 \h </w:instrText>
        </w:r>
        <w:r>
          <w:rPr>
            <w:webHidden/>
          </w:rPr>
        </w:r>
        <w:r>
          <w:rPr>
            <w:webHidden/>
          </w:rPr>
          <w:fldChar w:fldCharType="separate"/>
        </w:r>
        <w:r>
          <w:rPr>
            <w:webHidden/>
          </w:rPr>
          <w:t>61</w:t>
        </w:r>
        <w:r>
          <w:rPr>
            <w:webHidden/>
          </w:rPr>
          <w:fldChar w:fldCharType="end"/>
        </w:r>
      </w:hyperlink>
    </w:p>
    <w:p w:rsidR="005F5507" w:rsidRDefault="005F5507" w14:paraId="5F4A4E0B" w14:textId="079C6CB2">
      <w:pPr>
        <w:pStyle w:val="TOC2"/>
        <w:rPr>
          <w:lang w:val="en-GB" w:eastAsia="en-GB"/>
        </w:rPr>
      </w:pPr>
      <w:hyperlink w:history="1" w:anchor="_Toc172732239">
        <w:r w:rsidRPr="00EF5874">
          <w:rPr>
            <w:rStyle w:val="Hyperlink"/>
            <w:rFonts w:ascii="Times New Roman" w:hAnsi="Times New Roman" w:cs="Times New Roman"/>
          </w:rPr>
          <w:t>II.17</w:t>
        </w:r>
        <w:r>
          <w:rPr>
            <w:lang w:val="en-GB" w:eastAsia="en-GB"/>
          </w:rPr>
          <w:tab/>
        </w:r>
        <w:r w:rsidRPr="00EF5874">
          <w:rPr>
            <w:rStyle w:val="Hyperlink"/>
            <w:rFonts w:ascii="Times New Roman" w:hAnsi="Times New Roman" w:cs="Times New Roman"/>
          </w:rPr>
          <w:t>Z 07.03 - Mapping of Core Business Lines to legal entities (FUNC 3)</w:t>
        </w:r>
        <w:r>
          <w:rPr>
            <w:webHidden/>
          </w:rPr>
          <w:tab/>
        </w:r>
        <w:r>
          <w:rPr>
            <w:webHidden/>
          </w:rPr>
          <w:fldChar w:fldCharType="begin"/>
        </w:r>
        <w:r>
          <w:rPr>
            <w:webHidden/>
          </w:rPr>
          <w:instrText xml:space="preserve"> PAGEREF _Toc172732239 \h </w:instrText>
        </w:r>
        <w:r>
          <w:rPr>
            <w:webHidden/>
          </w:rPr>
        </w:r>
        <w:r>
          <w:rPr>
            <w:webHidden/>
          </w:rPr>
          <w:fldChar w:fldCharType="separate"/>
        </w:r>
        <w:r>
          <w:rPr>
            <w:webHidden/>
          </w:rPr>
          <w:t>62</w:t>
        </w:r>
        <w:r>
          <w:rPr>
            <w:webHidden/>
          </w:rPr>
          <w:fldChar w:fldCharType="end"/>
        </w:r>
      </w:hyperlink>
    </w:p>
    <w:p w:rsidR="005F5507" w:rsidRDefault="005F5507" w14:paraId="40A0EB0A" w14:textId="1ABD5C46">
      <w:pPr>
        <w:pStyle w:val="TOC2"/>
        <w:rPr>
          <w:lang w:val="en-GB" w:eastAsia="en-GB"/>
        </w:rPr>
      </w:pPr>
      <w:hyperlink w:history="1" w:anchor="_Toc172732240">
        <w:r w:rsidRPr="00EF5874">
          <w:rPr>
            <w:rStyle w:val="Hyperlink"/>
            <w:rFonts w:ascii="Times New Roman" w:hAnsi="Times New Roman" w:cs="Times New Roman"/>
          </w:rPr>
          <w:t>II.18</w:t>
        </w:r>
        <w:r>
          <w:rPr>
            <w:lang w:val="en-GB" w:eastAsia="en-GB"/>
          </w:rPr>
          <w:tab/>
        </w:r>
        <w:r w:rsidRPr="00EF5874">
          <w:rPr>
            <w:rStyle w:val="Hyperlink"/>
            <w:rFonts w:ascii="Times New Roman" w:hAnsi="Times New Roman" w:cs="Times New Roman"/>
          </w:rPr>
          <w:t>Z 07.04 - Mapping of  critical functions to core business lines (FUNC 4)</w:t>
        </w:r>
        <w:r>
          <w:rPr>
            <w:webHidden/>
          </w:rPr>
          <w:tab/>
        </w:r>
        <w:r>
          <w:rPr>
            <w:webHidden/>
          </w:rPr>
          <w:fldChar w:fldCharType="begin"/>
        </w:r>
        <w:r>
          <w:rPr>
            <w:webHidden/>
          </w:rPr>
          <w:instrText xml:space="preserve"> PAGEREF _Toc172732240 \h </w:instrText>
        </w:r>
        <w:r>
          <w:rPr>
            <w:webHidden/>
          </w:rPr>
        </w:r>
        <w:r>
          <w:rPr>
            <w:webHidden/>
          </w:rPr>
          <w:fldChar w:fldCharType="separate"/>
        </w:r>
        <w:r>
          <w:rPr>
            <w:webHidden/>
          </w:rPr>
          <w:t>63</w:t>
        </w:r>
        <w:r>
          <w:rPr>
            <w:webHidden/>
          </w:rPr>
          <w:fldChar w:fldCharType="end"/>
        </w:r>
      </w:hyperlink>
    </w:p>
    <w:p w:rsidR="005F5507" w:rsidRDefault="005F5507" w14:paraId="7865BFD0" w14:textId="036909F1">
      <w:pPr>
        <w:pStyle w:val="TOC2"/>
        <w:rPr>
          <w:lang w:val="en-GB" w:eastAsia="en-GB"/>
        </w:rPr>
      </w:pPr>
      <w:hyperlink w:history="1" w:anchor="_Toc172732241">
        <w:r w:rsidRPr="00EF5874">
          <w:rPr>
            <w:rStyle w:val="Hyperlink"/>
            <w:rFonts w:ascii="Times New Roman" w:hAnsi="Times New Roman" w:eastAsia="Calibri" w:cs="Times New Roman"/>
          </w:rPr>
          <w:t>II.19</w:t>
        </w:r>
        <w:r>
          <w:rPr>
            <w:lang w:val="en-GB" w:eastAsia="en-GB"/>
          </w:rPr>
          <w:tab/>
        </w:r>
        <w:r w:rsidRPr="00EF5874">
          <w:rPr>
            <w:rStyle w:val="Hyperlink"/>
            <w:rFonts w:ascii="Times New Roman" w:hAnsi="Times New Roman" w:eastAsia="Calibri" w:cs="Times New Roman"/>
          </w:rPr>
          <w:t>Relevant Services</w:t>
        </w:r>
        <w:r>
          <w:rPr>
            <w:webHidden/>
          </w:rPr>
          <w:tab/>
        </w:r>
        <w:r>
          <w:rPr>
            <w:webHidden/>
          </w:rPr>
          <w:fldChar w:fldCharType="begin"/>
        </w:r>
        <w:r>
          <w:rPr>
            <w:webHidden/>
          </w:rPr>
          <w:instrText xml:space="preserve"> PAGEREF _Toc172732241 \h </w:instrText>
        </w:r>
        <w:r>
          <w:rPr>
            <w:webHidden/>
          </w:rPr>
        </w:r>
        <w:r>
          <w:rPr>
            <w:webHidden/>
          </w:rPr>
          <w:fldChar w:fldCharType="separate"/>
        </w:r>
        <w:r>
          <w:rPr>
            <w:webHidden/>
          </w:rPr>
          <w:t>64</w:t>
        </w:r>
        <w:r>
          <w:rPr>
            <w:webHidden/>
          </w:rPr>
          <w:fldChar w:fldCharType="end"/>
        </w:r>
      </w:hyperlink>
    </w:p>
    <w:p w:rsidR="005F5507" w:rsidRDefault="005F5507" w14:paraId="727C7EF4" w14:textId="4660C31D">
      <w:pPr>
        <w:pStyle w:val="TOC2"/>
        <w:rPr>
          <w:lang w:val="en-GB" w:eastAsia="en-GB"/>
        </w:rPr>
      </w:pPr>
      <w:hyperlink w:history="1" w:anchor="_Toc172732242">
        <w:r w:rsidRPr="00EF5874">
          <w:rPr>
            <w:rStyle w:val="Hyperlink"/>
            <w:rFonts w:ascii="Times New Roman" w:hAnsi="Times New Roman" w:eastAsia="Calibri" w:cs="Times New Roman"/>
          </w:rPr>
          <w:t>II.20</w:t>
        </w:r>
        <w:r>
          <w:rPr>
            <w:lang w:val="en-GB" w:eastAsia="en-GB"/>
          </w:rPr>
          <w:tab/>
        </w:r>
        <w:r w:rsidRPr="00EF5874">
          <w:rPr>
            <w:rStyle w:val="Hyperlink"/>
            <w:rFonts w:ascii="Times New Roman" w:hAnsi="Times New Roman" w:cs="Times New Roman"/>
          </w:rPr>
          <w:t>Z 08.01— Relevant services (SERV 1)</w:t>
        </w:r>
        <w:r>
          <w:rPr>
            <w:webHidden/>
          </w:rPr>
          <w:tab/>
        </w:r>
        <w:r>
          <w:rPr>
            <w:webHidden/>
          </w:rPr>
          <w:fldChar w:fldCharType="begin"/>
        </w:r>
        <w:r>
          <w:rPr>
            <w:webHidden/>
          </w:rPr>
          <w:instrText xml:space="preserve"> PAGEREF _Toc172732242 \h </w:instrText>
        </w:r>
        <w:r>
          <w:rPr>
            <w:webHidden/>
          </w:rPr>
        </w:r>
        <w:r>
          <w:rPr>
            <w:webHidden/>
          </w:rPr>
          <w:fldChar w:fldCharType="separate"/>
        </w:r>
        <w:r>
          <w:rPr>
            <w:webHidden/>
          </w:rPr>
          <w:t>64</w:t>
        </w:r>
        <w:r>
          <w:rPr>
            <w:webHidden/>
          </w:rPr>
          <w:fldChar w:fldCharType="end"/>
        </w:r>
      </w:hyperlink>
    </w:p>
    <w:p w:rsidR="005F5507" w:rsidRDefault="005F5507" w14:paraId="2D1F422A" w14:textId="2A54D722">
      <w:pPr>
        <w:pStyle w:val="TOC2"/>
        <w:rPr>
          <w:lang w:val="en-GB" w:eastAsia="en-GB"/>
        </w:rPr>
      </w:pPr>
      <w:hyperlink w:history="1" w:anchor="_Toc172732243">
        <w:r w:rsidRPr="00EF5874">
          <w:rPr>
            <w:rStyle w:val="Hyperlink"/>
            <w:rFonts w:ascii="Times New Roman" w:hAnsi="Times New Roman" w:cs="Times New Roman"/>
          </w:rPr>
          <w:t>II.21</w:t>
        </w:r>
        <w:r>
          <w:rPr>
            <w:lang w:val="en-GB" w:eastAsia="en-GB"/>
          </w:rPr>
          <w:tab/>
        </w:r>
        <w:r w:rsidRPr="00EF5874">
          <w:rPr>
            <w:rStyle w:val="Hyperlink"/>
            <w:rFonts w:ascii="Times New Roman" w:hAnsi="Times New Roman" w:cs="Times New Roman"/>
          </w:rPr>
          <w:t>Z 08.02 — Relevant services – mapping to operational assets (SERV 2)</w:t>
        </w:r>
        <w:r>
          <w:rPr>
            <w:webHidden/>
          </w:rPr>
          <w:tab/>
        </w:r>
        <w:r>
          <w:rPr>
            <w:webHidden/>
          </w:rPr>
          <w:fldChar w:fldCharType="begin"/>
        </w:r>
        <w:r>
          <w:rPr>
            <w:webHidden/>
          </w:rPr>
          <w:instrText xml:space="preserve"> PAGEREF _Toc172732243 \h </w:instrText>
        </w:r>
        <w:r>
          <w:rPr>
            <w:webHidden/>
          </w:rPr>
        </w:r>
        <w:r>
          <w:rPr>
            <w:webHidden/>
          </w:rPr>
          <w:fldChar w:fldCharType="separate"/>
        </w:r>
        <w:r>
          <w:rPr>
            <w:webHidden/>
          </w:rPr>
          <w:t>69</w:t>
        </w:r>
        <w:r>
          <w:rPr>
            <w:webHidden/>
          </w:rPr>
          <w:fldChar w:fldCharType="end"/>
        </w:r>
      </w:hyperlink>
    </w:p>
    <w:p w:rsidR="005F5507" w:rsidRDefault="005F5507" w14:paraId="233A11E9" w14:textId="76C7B1C7">
      <w:pPr>
        <w:pStyle w:val="TOC2"/>
        <w:rPr>
          <w:lang w:val="en-GB" w:eastAsia="en-GB"/>
        </w:rPr>
      </w:pPr>
      <w:hyperlink w:history="1" w:anchor="_Toc172732244">
        <w:r w:rsidRPr="00EF5874">
          <w:rPr>
            <w:rStyle w:val="Hyperlink"/>
            <w:rFonts w:ascii="Times New Roman" w:hAnsi="Times New Roman" w:eastAsia="Calibri" w:cs="Times New Roman"/>
          </w:rPr>
          <w:t>II.22</w:t>
        </w:r>
        <w:r>
          <w:rPr>
            <w:lang w:val="en-GB" w:eastAsia="en-GB"/>
          </w:rPr>
          <w:tab/>
        </w:r>
        <w:r w:rsidRPr="00EF5874">
          <w:rPr>
            <w:rStyle w:val="Hyperlink"/>
            <w:rFonts w:ascii="Times New Roman" w:hAnsi="Times New Roman" w:cs="Times New Roman"/>
          </w:rPr>
          <w:t>Z 08.03 — Relevant services – mapping to roles (SERV 3)</w:t>
        </w:r>
        <w:r>
          <w:rPr>
            <w:webHidden/>
          </w:rPr>
          <w:tab/>
        </w:r>
        <w:r>
          <w:rPr>
            <w:webHidden/>
          </w:rPr>
          <w:fldChar w:fldCharType="begin"/>
        </w:r>
        <w:r>
          <w:rPr>
            <w:webHidden/>
          </w:rPr>
          <w:instrText xml:space="preserve"> PAGEREF _Toc172732244 \h </w:instrText>
        </w:r>
        <w:r>
          <w:rPr>
            <w:webHidden/>
          </w:rPr>
        </w:r>
        <w:r>
          <w:rPr>
            <w:webHidden/>
          </w:rPr>
          <w:fldChar w:fldCharType="separate"/>
        </w:r>
        <w:r>
          <w:rPr>
            <w:webHidden/>
          </w:rPr>
          <w:t>73</w:t>
        </w:r>
        <w:r>
          <w:rPr>
            <w:webHidden/>
          </w:rPr>
          <w:fldChar w:fldCharType="end"/>
        </w:r>
      </w:hyperlink>
    </w:p>
    <w:p w:rsidR="005F5507" w:rsidRDefault="005F5507" w14:paraId="05CDEA85" w14:textId="3BEEA3FF">
      <w:pPr>
        <w:pStyle w:val="TOC2"/>
        <w:rPr>
          <w:lang w:val="en-GB" w:eastAsia="en-GB"/>
        </w:rPr>
      </w:pPr>
      <w:hyperlink w:history="1" w:anchor="_Toc172732245">
        <w:r w:rsidRPr="00EF5874">
          <w:rPr>
            <w:rStyle w:val="Hyperlink"/>
            <w:rFonts w:ascii="Times New Roman" w:hAnsi="Times New Roman" w:eastAsia="Calibri" w:cs="Times New Roman"/>
          </w:rPr>
          <w:t>II.23</w:t>
        </w:r>
        <w:r>
          <w:rPr>
            <w:lang w:val="en-GB" w:eastAsia="en-GB"/>
          </w:rPr>
          <w:tab/>
        </w:r>
        <w:r w:rsidRPr="00EF5874">
          <w:rPr>
            <w:rStyle w:val="Hyperlink"/>
            <w:rFonts w:ascii="Times New Roman" w:hAnsi="Times New Roman" w:cs="Times New Roman"/>
          </w:rPr>
          <w:t>Z 08.04 — Critical services – mapping to critical functions (SERV 4)</w:t>
        </w:r>
        <w:r>
          <w:rPr>
            <w:webHidden/>
          </w:rPr>
          <w:tab/>
        </w:r>
        <w:r>
          <w:rPr>
            <w:webHidden/>
          </w:rPr>
          <w:fldChar w:fldCharType="begin"/>
        </w:r>
        <w:r>
          <w:rPr>
            <w:webHidden/>
          </w:rPr>
          <w:instrText xml:space="preserve"> PAGEREF _Toc172732245 \h </w:instrText>
        </w:r>
        <w:r>
          <w:rPr>
            <w:webHidden/>
          </w:rPr>
        </w:r>
        <w:r>
          <w:rPr>
            <w:webHidden/>
          </w:rPr>
          <w:fldChar w:fldCharType="separate"/>
        </w:r>
        <w:r>
          <w:rPr>
            <w:webHidden/>
          </w:rPr>
          <w:t>76</w:t>
        </w:r>
        <w:r>
          <w:rPr>
            <w:webHidden/>
          </w:rPr>
          <w:fldChar w:fldCharType="end"/>
        </w:r>
      </w:hyperlink>
    </w:p>
    <w:p w:rsidR="005F5507" w:rsidRDefault="005F5507" w14:paraId="47AA9FBF" w14:textId="3306DF37">
      <w:pPr>
        <w:pStyle w:val="TOC2"/>
        <w:rPr>
          <w:lang w:val="en-GB" w:eastAsia="en-GB"/>
        </w:rPr>
      </w:pPr>
      <w:hyperlink w:history="1" w:anchor="_Toc172732246">
        <w:r w:rsidRPr="00EF5874">
          <w:rPr>
            <w:rStyle w:val="Hyperlink"/>
            <w:rFonts w:ascii="Times New Roman" w:hAnsi="Times New Roman" w:eastAsia="MS Mincho" w:cs="Times New Roman"/>
          </w:rPr>
          <w:t>General instructions</w:t>
        </w:r>
        <w:r>
          <w:rPr>
            <w:webHidden/>
          </w:rPr>
          <w:tab/>
        </w:r>
        <w:r>
          <w:rPr>
            <w:webHidden/>
          </w:rPr>
          <w:fldChar w:fldCharType="begin"/>
        </w:r>
        <w:r>
          <w:rPr>
            <w:webHidden/>
          </w:rPr>
          <w:instrText xml:space="preserve"> PAGEREF _Toc172732246 \h </w:instrText>
        </w:r>
        <w:r>
          <w:rPr>
            <w:webHidden/>
          </w:rPr>
        </w:r>
        <w:r>
          <w:rPr>
            <w:webHidden/>
          </w:rPr>
          <w:fldChar w:fldCharType="separate"/>
        </w:r>
        <w:r>
          <w:rPr>
            <w:webHidden/>
          </w:rPr>
          <w:t>76</w:t>
        </w:r>
        <w:r>
          <w:rPr>
            <w:webHidden/>
          </w:rPr>
          <w:fldChar w:fldCharType="end"/>
        </w:r>
      </w:hyperlink>
    </w:p>
    <w:p w:rsidR="005F5507" w:rsidRDefault="005F5507" w14:paraId="77BF3B66" w14:textId="204D1A5B">
      <w:pPr>
        <w:pStyle w:val="TOC2"/>
        <w:rPr>
          <w:lang w:val="en-GB" w:eastAsia="en-GB"/>
        </w:rPr>
      </w:pPr>
      <w:hyperlink w:history="1" w:anchor="_Toc172732247">
        <w:r w:rsidRPr="00EF5874">
          <w:rPr>
            <w:rStyle w:val="Hyperlink"/>
            <w:rFonts w:ascii="Times New Roman" w:hAnsi="Times New Roman" w:eastAsia="Calibri" w:cs="Times New Roman"/>
          </w:rPr>
          <w:t>II.24</w:t>
        </w:r>
        <w:r>
          <w:rPr>
            <w:lang w:val="en-GB" w:eastAsia="en-GB"/>
          </w:rPr>
          <w:tab/>
        </w:r>
        <w:r w:rsidRPr="00EF5874">
          <w:rPr>
            <w:rStyle w:val="Hyperlink"/>
            <w:rFonts w:ascii="Times New Roman" w:hAnsi="Times New Roman" w:cs="Times New Roman"/>
          </w:rPr>
          <w:t>Z 08.05 — Essential services – mapping to core business lines (SERV 5)</w:t>
        </w:r>
        <w:r>
          <w:rPr>
            <w:webHidden/>
          </w:rPr>
          <w:tab/>
        </w:r>
        <w:r>
          <w:rPr>
            <w:webHidden/>
          </w:rPr>
          <w:fldChar w:fldCharType="begin"/>
        </w:r>
        <w:r>
          <w:rPr>
            <w:webHidden/>
          </w:rPr>
          <w:instrText xml:space="preserve"> PAGEREF _Toc172732247 \h </w:instrText>
        </w:r>
        <w:r>
          <w:rPr>
            <w:webHidden/>
          </w:rPr>
        </w:r>
        <w:r>
          <w:rPr>
            <w:webHidden/>
          </w:rPr>
          <w:fldChar w:fldCharType="separate"/>
        </w:r>
        <w:r>
          <w:rPr>
            <w:webHidden/>
          </w:rPr>
          <w:t>78</w:t>
        </w:r>
        <w:r>
          <w:rPr>
            <w:webHidden/>
          </w:rPr>
          <w:fldChar w:fldCharType="end"/>
        </w:r>
      </w:hyperlink>
    </w:p>
    <w:p w:rsidR="005F5507" w:rsidRDefault="005F5507" w14:paraId="7E56B029" w14:textId="629E2E43">
      <w:pPr>
        <w:pStyle w:val="TOC2"/>
        <w:rPr>
          <w:lang w:val="en-GB" w:eastAsia="en-GB"/>
        </w:rPr>
      </w:pPr>
      <w:hyperlink w:history="1" w:anchor="_Toc172732248">
        <w:r w:rsidRPr="00EF5874">
          <w:rPr>
            <w:rStyle w:val="Hyperlink"/>
            <w:rFonts w:ascii="Times New Roman" w:hAnsi="Times New Roman" w:eastAsia="Calibri" w:cs="Times New Roman"/>
          </w:rPr>
          <w:t>II.25</w:t>
        </w:r>
        <w:r>
          <w:rPr>
            <w:lang w:val="en-GB" w:eastAsia="en-GB"/>
          </w:rPr>
          <w:tab/>
        </w:r>
        <w:r w:rsidRPr="00EF5874">
          <w:rPr>
            <w:rStyle w:val="Hyperlink"/>
            <w:rFonts w:ascii="Times New Roman" w:hAnsi="Times New Roman" w:eastAsia="Calibri" w:cs="Times New Roman"/>
          </w:rPr>
          <w:t>FMI Services</w:t>
        </w:r>
        <w:r>
          <w:rPr>
            <w:webHidden/>
          </w:rPr>
          <w:tab/>
        </w:r>
        <w:r>
          <w:rPr>
            <w:webHidden/>
          </w:rPr>
          <w:fldChar w:fldCharType="begin"/>
        </w:r>
        <w:r>
          <w:rPr>
            <w:webHidden/>
          </w:rPr>
          <w:instrText xml:space="preserve"> PAGEREF _Toc172732248 \h </w:instrText>
        </w:r>
        <w:r>
          <w:rPr>
            <w:webHidden/>
          </w:rPr>
        </w:r>
        <w:r>
          <w:rPr>
            <w:webHidden/>
          </w:rPr>
          <w:fldChar w:fldCharType="separate"/>
        </w:r>
        <w:r>
          <w:rPr>
            <w:webHidden/>
          </w:rPr>
          <w:t>81</w:t>
        </w:r>
        <w:r>
          <w:rPr>
            <w:webHidden/>
          </w:rPr>
          <w:fldChar w:fldCharType="end"/>
        </w:r>
      </w:hyperlink>
    </w:p>
    <w:p w:rsidR="005F5507" w:rsidRDefault="005F5507" w14:paraId="5EB11BB0" w14:textId="32F2335C">
      <w:pPr>
        <w:pStyle w:val="TOC2"/>
        <w:rPr>
          <w:lang w:val="en-GB" w:eastAsia="en-GB"/>
        </w:rPr>
      </w:pPr>
      <w:hyperlink w:history="1" w:anchor="_Toc172732249">
        <w:r w:rsidRPr="00EF5874">
          <w:rPr>
            <w:rStyle w:val="Hyperlink"/>
            <w:rFonts w:ascii="Times New Roman" w:hAnsi="Times New Roman"/>
          </w:rPr>
          <w:t>II.26</w:t>
        </w:r>
        <w:r>
          <w:rPr>
            <w:lang w:val="en-GB" w:eastAsia="en-GB"/>
          </w:rPr>
          <w:tab/>
        </w:r>
        <w:r w:rsidRPr="00EF5874">
          <w:rPr>
            <w:rStyle w:val="Hyperlink"/>
            <w:rFonts w:ascii="Times New Roman" w:hAnsi="Times New Roman" w:eastAsia="Calibri" w:cs="Times New Roman"/>
          </w:rPr>
          <w:t>Z 09.01 - FMI Services - Providers and Users (FMI 1)</w:t>
        </w:r>
        <w:r>
          <w:rPr>
            <w:webHidden/>
          </w:rPr>
          <w:tab/>
        </w:r>
        <w:r>
          <w:rPr>
            <w:webHidden/>
          </w:rPr>
          <w:fldChar w:fldCharType="begin"/>
        </w:r>
        <w:r>
          <w:rPr>
            <w:webHidden/>
          </w:rPr>
          <w:instrText xml:space="preserve"> PAGEREF _Toc172732249 \h </w:instrText>
        </w:r>
        <w:r>
          <w:rPr>
            <w:webHidden/>
          </w:rPr>
        </w:r>
        <w:r>
          <w:rPr>
            <w:webHidden/>
          </w:rPr>
          <w:fldChar w:fldCharType="separate"/>
        </w:r>
        <w:r>
          <w:rPr>
            <w:webHidden/>
          </w:rPr>
          <w:t>81</w:t>
        </w:r>
        <w:r>
          <w:rPr>
            <w:webHidden/>
          </w:rPr>
          <w:fldChar w:fldCharType="end"/>
        </w:r>
      </w:hyperlink>
    </w:p>
    <w:p w:rsidR="005F5507" w:rsidRDefault="005F5507" w14:paraId="4B802673" w14:textId="780CC765">
      <w:pPr>
        <w:pStyle w:val="TOC2"/>
        <w:rPr>
          <w:lang w:val="en-GB" w:eastAsia="en-GB"/>
        </w:rPr>
      </w:pPr>
      <w:hyperlink w:history="1" w:anchor="_Toc172732250">
        <w:r w:rsidRPr="00EF5874">
          <w:rPr>
            <w:rStyle w:val="Hyperlink"/>
            <w:rFonts w:ascii="Times New Roman" w:hAnsi="Times New Roman" w:eastAsia="Calibri" w:cs="Times New Roman"/>
          </w:rPr>
          <w:t>II.27</w:t>
        </w:r>
        <w:r>
          <w:rPr>
            <w:lang w:val="en-GB" w:eastAsia="en-GB"/>
          </w:rPr>
          <w:tab/>
        </w:r>
        <w:r w:rsidRPr="00EF5874">
          <w:rPr>
            <w:rStyle w:val="Hyperlink"/>
            <w:rFonts w:ascii="Times New Roman" w:hAnsi="Times New Roman" w:cs="Times New Roman"/>
          </w:rPr>
          <w:t>Z 09.02 – Mapping to Critical and Essential FMIs (FMI 2)</w:t>
        </w:r>
        <w:r>
          <w:rPr>
            <w:webHidden/>
          </w:rPr>
          <w:tab/>
        </w:r>
        <w:r>
          <w:rPr>
            <w:webHidden/>
          </w:rPr>
          <w:fldChar w:fldCharType="begin"/>
        </w:r>
        <w:r>
          <w:rPr>
            <w:webHidden/>
          </w:rPr>
          <w:instrText xml:space="preserve"> PAGEREF _Toc172732250 \h </w:instrText>
        </w:r>
        <w:r>
          <w:rPr>
            <w:webHidden/>
          </w:rPr>
        </w:r>
        <w:r>
          <w:rPr>
            <w:webHidden/>
          </w:rPr>
          <w:fldChar w:fldCharType="separate"/>
        </w:r>
        <w:r>
          <w:rPr>
            <w:webHidden/>
          </w:rPr>
          <w:t>84</w:t>
        </w:r>
        <w:r>
          <w:rPr>
            <w:webHidden/>
          </w:rPr>
          <w:fldChar w:fldCharType="end"/>
        </w:r>
      </w:hyperlink>
    </w:p>
    <w:p w:rsidR="005F5507" w:rsidRDefault="005F5507" w14:paraId="0E4FD8C1" w14:textId="3D8F9AC2">
      <w:pPr>
        <w:pStyle w:val="TOC2"/>
        <w:rPr>
          <w:lang w:val="en-GB" w:eastAsia="en-GB"/>
        </w:rPr>
      </w:pPr>
      <w:hyperlink w:history="1" w:anchor="_Toc172732251">
        <w:r w:rsidRPr="00EF5874">
          <w:rPr>
            <w:rStyle w:val="Hyperlink"/>
            <w:rFonts w:ascii="Times New Roman" w:hAnsi="Times New Roman" w:eastAsia="Calibri" w:cs="Times New Roman"/>
          </w:rPr>
          <w:t>II.28</w:t>
        </w:r>
        <w:r>
          <w:rPr>
            <w:lang w:val="en-GB" w:eastAsia="en-GB"/>
          </w:rPr>
          <w:tab/>
        </w:r>
        <w:r w:rsidRPr="00EF5874">
          <w:rPr>
            <w:rStyle w:val="Hyperlink"/>
            <w:rFonts w:ascii="Times New Roman" w:hAnsi="Times New Roman" w:eastAsia="Calibri" w:cs="Times New Roman"/>
          </w:rPr>
          <w:t>Z 09.03 - FMI Services - Key Metrics  (FMI 3)</w:t>
        </w:r>
        <w:r>
          <w:rPr>
            <w:webHidden/>
          </w:rPr>
          <w:tab/>
        </w:r>
        <w:r>
          <w:rPr>
            <w:webHidden/>
          </w:rPr>
          <w:fldChar w:fldCharType="begin"/>
        </w:r>
        <w:r>
          <w:rPr>
            <w:webHidden/>
          </w:rPr>
          <w:instrText xml:space="preserve"> PAGEREF _Toc172732251 \h </w:instrText>
        </w:r>
        <w:r>
          <w:rPr>
            <w:webHidden/>
          </w:rPr>
        </w:r>
        <w:r>
          <w:rPr>
            <w:webHidden/>
          </w:rPr>
          <w:fldChar w:fldCharType="separate"/>
        </w:r>
        <w:r>
          <w:rPr>
            <w:webHidden/>
          </w:rPr>
          <w:t>85</w:t>
        </w:r>
        <w:r>
          <w:rPr>
            <w:webHidden/>
          </w:rPr>
          <w:fldChar w:fldCharType="end"/>
        </w:r>
      </w:hyperlink>
    </w:p>
    <w:p w:rsidR="005F5507" w:rsidRDefault="005F5507" w14:paraId="283B28D3" w14:textId="68889AB3">
      <w:pPr>
        <w:pStyle w:val="TOC2"/>
        <w:rPr>
          <w:lang w:val="en-GB" w:eastAsia="en-GB"/>
        </w:rPr>
      </w:pPr>
      <w:hyperlink w:history="1" w:anchor="_Toc172732252">
        <w:r w:rsidRPr="00EF5874">
          <w:rPr>
            <w:rStyle w:val="Hyperlink"/>
            <w:rFonts w:ascii="Times New Roman" w:hAnsi="Times New Roman" w:eastAsia="Calibri" w:cs="Times New Roman"/>
          </w:rPr>
          <w:t>II.29</w:t>
        </w:r>
        <w:r>
          <w:rPr>
            <w:lang w:val="en-GB" w:eastAsia="en-GB"/>
          </w:rPr>
          <w:tab/>
        </w:r>
        <w:r w:rsidRPr="00EF5874">
          <w:rPr>
            <w:rStyle w:val="Hyperlink"/>
            <w:rFonts w:ascii="Times New Roman" w:hAnsi="Times New Roman" w:eastAsia="Calibri" w:cs="Times New Roman"/>
          </w:rPr>
          <w:t>Z 09.04 - FMI Services – CCPs – Alternative Providers (FMI 4)</w:t>
        </w:r>
        <w:r>
          <w:rPr>
            <w:webHidden/>
          </w:rPr>
          <w:tab/>
        </w:r>
        <w:r>
          <w:rPr>
            <w:webHidden/>
          </w:rPr>
          <w:fldChar w:fldCharType="begin"/>
        </w:r>
        <w:r>
          <w:rPr>
            <w:webHidden/>
          </w:rPr>
          <w:instrText xml:space="preserve"> PAGEREF _Toc172732252 \h </w:instrText>
        </w:r>
        <w:r>
          <w:rPr>
            <w:webHidden/>
          </w:rPr>
        </w:r>
        <w:r>
          <w:rPr>
            <w:webHidden/>
          </w:rPr>
          <w:fldChar w:fldCharType="separate"/>
        </w:r>
        <w:r>
          <w:rPr>
            <w:webHidden/>
          </w:rPr>
          <w:t>87</w:t>
        </w:r>
        <w:r>
          <w:rPr>
            <w:webHidden/>
          </w:rPr>
          <w:fldChar w:fldCharType="end"/>
        </w:r>
      </w:hyperlink>
    </w:p>
    <w:p w:rsidR="005F5507" w:rsidRDefault="005F5507" w14:paraId="0099EFC9" w14:textId="792BA272">
      <w:pPr>
        <w:pStyle w:val="TOC2"/>
        <w:rPr>
          <w:lang w:val="en-GB" w:eastAsia="en-GB"/>
        </w:rPr>
      </w:pPr>
      <w:hyperlink w:history="1" w:anchor="_Toc172732253">
        <w:r w:rsidRPr="00EF5874">
          <w:rPr>
            <w:rStyle w:val="Hyperlink"/>
            <w:rFonts w:ascii="Times New Roman" w:hAnsi="Times New Roman" w:cs="Times New Roman"/>
          </w:rPr>
          <w:t>II.30</w:t>
        </w:r>
        <w:r>
          <w:rPr>
            <w:lang w:val="en-GB" w:eastAsia="en-GB"/>
          </w:rPr>
          <w:tab/>
        </w:r>
        <w:r w:rsidRPr="00EF5874">
          <w:rPr>
            <w:rStyle w:val="Hyperlink"/>
            <w:rFonts w:ascii="Times New Roman" w:hAnsi="Times New Roman" w:cs="Times New Roman"/>
          </w:rPr>
          <w:t>Liability Analysis</w:t>
        </w:r>
        <w:r>
          <w:rPr>
            <w:webHidden/>
          </w:rPr>
          <w:tab/>
        </w:r>
        <w:r>
          <w:rPr>
            <w:webHidden/>
          </w:rPr>
          <w:fldChar w:fldCharType="begin"/>
        </w:r>
        <w:r>
          <w:rPr>
            <w:webHidden/>
          </w:rPr>
          <w:instrText xml:space="preserve"> PAGEREF _Toc172732253 \h </w:instrText>
        </w:r>
        <w:r>
          <w:rPr>
            <w:webHidden/>
          </w:rPr>
        </w:r>
        <w:r>
          <w:rPr>
            <w:webHidden/>
          </w:rPr>
          <w:fldChar w:fldCharType="separate"/>
        </w:r>
        <w:r>
          <w:rPr>
            <w:webHidden/>
          </w:rPr>
          <w:t>87</w:t>
        </w:r>
        <w:r>
          <w:rPr>
            <w:webHidden/>
          </w:rPr>
          <w:fldChar w:fldCharType="end"/>
        </w:r>
      </w:hyperlink>
    </w:p>
    <w:p w:rsidR="005F5507" w:rsidRDefault="005F5507" w14:paraId="2C90B049" w14:textId="03068552">
      <w:pPr>
        <w:pStyle w:val="TOC2"/>
        <w:rPr>
          <w:lang w:val="en-GB" w:eastAsia="en-GB"/>
        </w:rPr>
      </w:pPr>
      <w:hyperlink w:history="1" w:anchor="_Toc172732254">
        <w:r w:rsidRPr="00EF5874">
          <w:rPr>
            <w:rStyle w:val="Hyperlink"/>
            <w:rFonts w:ascii="Times New Roman" w:hAnsi="Times New Roman" w:cs="Times New Roman"/>
            <w:lang w:val="fr-BE"/>
          </w:rPr>
          <w:t>II.31</w:t>
        </w:r>
        <w:r>
          <w:rPr>
            <w:lang w:val="en-GB" w:eastAsia="en-GB"/>
          </w:rPr>
          <w:tab/>
        </w:r>
        <w:r w:rsidRPr="00EF5874">
          <w:rPr>
            <w:rStyle w:val="Hyperlink"/>
            <w:rFonts w:ascii="Times New Roman" w:hAnsi="Times New Roman" w:cs="Times New Roman"/>
            <w:lang w:val="fr-BE"/>
          </w:rPr>
          <w:t>Z10.01 Intragroup Liabilities</w:t>
        </w:r>
        <w:r w:rsidRPr="00EF5874">
          <w:rPr>
            <w:rStyle w:val="Hyperlink"/>
            <w:rFonts w:ascii="Times New Roman" w:hAnsi="Times New Roman" w:eastAsia="Calibri" w:cs="Times New Roman"/>
            <w:lang w:val="fr-BE"/>
          </w:rPr>
          <w:t xml:space="preserve"> (LIAB-G-1)</w:t>
        </w:r>
        <w:r>
          <w:rPr>
            <w:webHidden/>
          </w:rPr>
          <w:tab/>
        </w:r>
        <w:r>
          <w:rPr>
            <w:webHidden/>
          </w:rPr>
          <w:fldChar w:fldCharType="begin"/>
        </w:r>
        <w:r>
          <w:rPr>
            <w:webHidden/>
          </w:rPr>
          <w:instrText xml:space="preserve"> PAGEREF _Toc172732254 \h </w:instrText>
        </w:r>
        <w:r>
          <w:rPr>
            <w:webHidden/>
          </w:rPr>
        </w:r>
        <w:r>
          <w:rPr>
            <w:webHidden/>
          </w:rPr>
          <w:fldChar w:fldCharType="separate"/>
        </w:r>
        <w:r>
          <w:rPr>
            <w:webHidden/>
          </w:rPr>
          <w:t>87</w:t>
        </w:r>
        <w:r>
          <w:rPr>
            <w:webHidden/>
          </w:rPr>
          <w:fldChar w:fldCharType="end"/>
        </w:r>
      </w:hyperlink>
    </w:p>
    <w:p w:rsidR="005F5507" w:rsidRDefault="005F5507" w14:paraId="45C7B830" w14:textId="751F2B02">
      <w:pPr>
        <w:pStyle w:val="TOC2"/>
        <w:rPr>
          <w:lang w:val="en-GB" w:eastAsia="en-GB"/>
        </w:rPr>
      </w:pPr>
      <w:hyperlink w:history="1" w:anchor="_Toc172732255">
        <w:r w:rsidRPr="00EF5874">
          <w:rPr>
            <w:rStyle w:val="Hyperlink"/>
            <w:rFonts w:ascii="Times New Roman" w:hAnsi="Times New Roman" w:cs="Times New Roman"/>
          </w:rPr>
          <w:t>II.32</w:t>
        </w:r>
        <w:r>
          <w:rPr>
            <w:lang w:val="en-GB" w:eastAsia="en-GB"/>
          </w:rPr>
          <w:tab/>
        </w:r>
        <w:r w:rsidRPr="00EF5874">
          <w:rPr>
            <w:rStyle w:val="Hyperlink"/>
            <w:rFonts w:ascii="Times New Roman" w:hAnsi="Times New Roman" w:cs="Times New Roman"/>
          </w:rPr>
          <w:t xml:space="preserve">Z10.02 - </w:t>
        </w:r>
        <w:r w:rsidRPr="00EF5874">
          <w:rPr>
            <w:rStyle w:val="Hyperlink"/>
            <w:rFonts w:ascii="Times New Roman" w:hAnsi="Times New Roman" w:eastAsia="Cambria" w:cs="Times New Roman"/>
          </w:rPr>
          <w:t xml:space="preserve">Securities (including CET1, AT1 &amp; Tier 2 instruments; excluding intragroup) </w:t>
        </w:r>
        <w:r w:rsidRPr="00EF5874">
          <w:rPr>
            <w:rStyle w:val="Hyperlink"/>
            <w:rFonts w:ascii="Times New Roman" w:hAnsi="Times New Roman" w:eastAsia="Calibri" w:cs="Times New Roman"/>
          </w:rPr>
          <w:t>(LIAB-G-2)</w:t>
        </w:r>
        <w:r>
          <w:rPr>
            <w:webHidden/>
          </w:rPr>
          <w:tab/>
        </w:r>
        <w:r>
          <w:rPr>
            <w:webHidden/>
          </w:rPr>
          <w:fldChar w:fldCharType="begin"/>
        </w:r>
        <w:r>
          <w:rPr>
            <w:webHidden/>
          </w:rPr>
          <w:instrText xml:space="preserve"> PAGEREF _Toc172732255 \h </w:instrText>
        </w:r>
        <w:r>
          <w:rPr>
            <w:webHidden/>
          </w:rPr>
        </w:r>
        <w:r>
          <w:rPr>
            <w:webHidden/>
          </w:rPr>
          <w:fldChar w:fldCharType="separate"/>
        </w:r>
        <w:r>
          <w:rPr>
            <w:webHidden/>
          </w:rPr>
          <w:t>90</w:t>
        </w:r>
        <w:r>
          <w:rPr>
            <w:webHidden/>
          </w:rPr>
          <w:fldChar w:fldCharType="end"/>
        </w:r>
      </w:hyperlink>
    </w:p>
    <w:p w:rsidR="005F5507" w:rsidRDefault="005F5507" w14:paraId="19F1DC59" w14:textId="3B791EAC">
      <w:pPr>
        <w:pStyle w:val="TOC2"/>
        <w:rPr>
          <w:lang w:val="en-GB" w:eastAsia="en-GB"/>
        </w:rPr>
      </w:pPr>
      <w:hyperlink w:history="1" w:anchor="_Toc172732256">
        <w:r w:rsidRPr="00EF5874">
          <w:rPr>
            <w:rStyle w:val="Hyperlink"/>
            <w:rFonts w:ascii="Times New Roman" w:hAnsi="Times New Roman" w:cs="Times New Roman"/>
          </w:rPr>
          <w:t>II.33</w:t>
        </w:r>
        <w:r>
          <w:rPr>
            <w:lang w:val="en-GB" w:eastAsia="en-GB"/>
          </w:rPr>
          <w:tab/>
        </w:r>
        <w:r w:rsidRPr="00EF5874">
          <w:rPr>
            <w:rStyle w:val="Hyperlink"/>
            <w:rFonts w:ascii="Times New Roman" w:hAnsi="Times New Roman" w:cs="Times New Roman"/>
          </w:rPr>
          <w:t xml:space="preserve">Z10.03  - All Deposits (excluding intragroup) </w:t>
        </w:r>
        <w:r w:rsidRPr="00EF5874">
          <w:rPr>
            <w:rStyle w:val="Hyperlink"/>
            <w:rFonts w:ascii="Times New Roman" w:hAnsi="Times New Roman" w:eastAsia="Calibri" w:cs="Times New Roman"/>
          </w:rPr>
          <w:t>(LIAB-G-3)</w:t>
        </w:r>
        <w:r>
          <w:rPr>
            <w:webHidden/>
          </w:rPr>
          <w:tab/>
        </w:r>
        <w:r>
          <w:rPr>
            <w:webHidden/>
          </w:rPr>
          <w:fldChar w:fldCharType="begin"/>
        </w:r>
        <w:r>
          <w:rPr>
            <w:webHidden/>
          </w:rPr>
          <w:instrText xml:space="preserve"> PAGEREF _Toc172732256 \h </w:instrText>
        </w:r>
        <w:r>
          <w:rPr>
            <w:webHidden/>
          </w:rPr>
        </w:r>
        <w:r>
          <w:rPr>
            <w:webHidden/>
          </w:rPr>
          <w:fldChar w:fldCharType="separate"/>
        </w:r>
        <w:r>
          <w:rPr>
            <w:webHidden/>
          </w:rPr>
          <w:t>94</w:t>
        </w:r>
        <w:r>
          <w:rPr>
            <w:webHidden/>
          </w:rPr>
          <w:fldChar w:fldCharType="end"/>
        </w:r>
      </w:hyperlink>
    </w:p>
    <w:p w:rsidR="005F5507" w:rsidRDefault="005F5507" w14:paraId="6E9F0876" w14:textId="6AFD4D02">
      <w:pPr>
        <w:pStyle w:val="TOC2"/>
        <w:rPr>
          <w:lang w:val="en-GB" w:eastAsia="en-GB"/>
        </w:rPr>
      </w:pPr>
      <w:hyperlink w:history="1" w:anchor="_Toc172732257">
        <w:r w:rsidRPr="00EF5874">
          <w:rPr>
            <w:rStyle w:val="Hyperlink"/>
            <w:rFonts w:ascii="Times New Roman" w:hAnsi="Times New Roman" w:cs="Times New Roman"/>
          </w:rPr>
          <w:t>II.34</w:t>
        </w:r>
        <w:r>
          <w:rPr>
            <w:lang w:val="en-GB" w:eastAsia="en-GB"/>
          </w:rPr>
          <w:tab/>
        </w:r>
        <w:r w:rsidRPr="00EF5874">
          <w:rPr>
            <w:rStyle w:val="Hyperlink"/>
            <w:rFonts w:ascii="Times New Roman" w:hAnsi="Times New Roman" w:cs="Times New Roman"/>
          </w:rPr>
          <w:t xml:space="preserve">Z10.04  - Other Financial Liabilities (not included in other tabs, excluding intragroup) </w:t>
        </w:r>
        <w:r w:rsidRPr="00EF5874">
          <w:rPr>
            <w:rStyle w:val="Hyperlink"/>
            <w:rFonts w:ascii="Times New Roman" w:hAnsi="Times New Roman" w:eastAsia="Calibri" w:cs="Times New Roman"/>
          </w:rPr>
          <w:t>(LIAB-G-4)</w:t>
        </w:r>
        <w:r>
          <w:rPr>
            <w:webHidden/>
          </w:rPr>
          <w:tab/>
        </w:r>
        <w:r>
          <w:rPr>
            <w:webHidden/>
          </w:rPr>
          <w:fldChar w:fldCharType="begin"/>
        </w:r>
        <w:r>
          <w:rPr>
            <w:webHidden/>
          </w:rPr>
          <w:instrText xml:space="preserve"> PAGEREF _Toc172732257 \h </w:instrText>
        </w:r>
        <w:r>
          <w:rPr>
            <w:webHidden/>
          </w:rPr>
        </w:r>
        <w:r>
          <w:rPr>
            <w:webHidden/>
          </w:rPr>
          <w:fldChar w:fldCharType="separate"/>
        </w:r>
        <w:r>
          <w:rPr>
            <w:webHidden/>
          </w:rPr>
          <w:t>96</w:t>
        </w:r>
        <w:r>
          <w:rPr>
            <w:webHidden/>
          </w:rPr>
          <w:fldChar w:fldCharType="end"/>
        </w:r>
      </w:hyperlink>
    </w:p>
    <w:p w:rsidR="005F5507" w:rsidRDefault="005F5507" w14:paraId="661497AB" w14:textId="31236B01">
      <w:pPr>
        <w:pStyle w:val="TOC2"/>
        <w:rPr>
          <w:lang w:val="en-GB" w:eastAsia="en-GB"/>
        </w:rPr>
      </w:pPr>
      <w:hyperlink w:history="1" w:anchor="_Toc172732258">
        <w:r w:rsidRPr="00EF5874">
          <w:rPr>
            <w:rStyle w:val="Hyperlink"/>
            <w:rFonts w:ascii="Times New Roman" w:hAnsi="Times New Roman" w:cs="Times New Roman"/>
          </w:rPr>
          <w:t>II.35</w:t>
        </w:r>
        <w:r>
          <w:rPr>
            <w:lang w:val="en-GB" w:eastAsia="en-GB"/>
          </w:rPr>
          <w:tab/>
        </w:r>
        <w:r w:rsidRPr="00EF5874">
          <w:rPr>
            <w:rStyle w:val="Hyperlink"/>
            <w:rFonts w:ascii="Times New Roman" w:hAnsi="Times New Roman" w:cs="Times New Roman"/>
          </w:rPr>
          <w:t xml:space="preserve">Z10.05  - Derivatives </w:t>
        </w:r>
        <w:r w:rsidRPr="00EF5874">
          <w:rPr>
            <w:rStyle w:val="Hyperlink"/>
            <w:rFonts w:ascii="Times New Roman" w:hAnsi="Times New Roman" w:eastAsia="Calibri" w:cs="Times New Roman"/>
            <w:lang w:val="fr-BE"/>
          </w:rPr>
          <w:t>(LIAB-G-5)</w:t>
        </w:r>
        <w:r>
          <w:rPr>
            <w:webHidden/>
          </w:rPr>
          <w:tab/>
        </w:r>
        <w:r>
          <w:rPr>
            <w:webHidden/>
          </w:rPr>
          <w:fldChar w:fldCharType="begin"/>
        </w:r>
        <w:r>
          <w:rPr>
            <w:webHidden/>
          </w:rPr>
          <w:instrText xml:space="preserve"> PAGEREF _Toc172732258 \h </w:instrText>
        </w:r>
        <w:r>
          <w:rPr>
            <w:webHidden/>
          </w:rPr>
        </w:r>
        <w:r>
          <w:rPr>
            <w:webHidden/>
          </w:rPr>
          <w:fldChar w:fldCharType="separate"/>
        </w:r>
        <w:r>
          <w:rPr>
            <w:webHidden/>
          </w:rPr>
          <w:t>98</w:t>
        </w:r>
        <w:r>
          <w:rPr>
            <w:webHidden/>
          </w:rPr>
          <w:fldChar w:fldCharType="end"/>
        </w:r>
      </w:hyperlink>
    </w:p>
    <w:p w:rsidR="005F5507" w:rsidRDefault="005F5507" w14:paraId="3F0B5E40" w14:textId="46DB7CE6">
      <w:pPr>
        <w:pStyle w:val="TOC2"/>
        <w:rPr>
          <w:lang w:val="en-GB" w:eastAsia="en-GB"/>
        </w:rPr>
      </w:pPr>
      <w:hyperlink w:history="1" w:anchor="_Toc172732259">
        <w:r w:rsidRPr="00EF5874">
          <w:rPr>
            <w:rStyle w:val="Hyperlink"/>
            <w:rFonts w:ascii="Times New Roman" w:hAnsi="Times New Roman" w:cs="Times New Roman"/>
          </w:rPr>
          <w:t>II.36</w:t>
        </w:r>
        <w:r>
          <w:rPr>
            <w:lang w:val="en-GB" w:eastAsia="en-GB"/>
          </w:rPr>
          <w:tab/>
        </w:r>
        <w:r w:rsidRPr="00EF5874">
          <w:rPr>
            <w:rStyle w:val="Hyperlink"/>
            <w:rFonts w:ascii="Times New Roman" w:hAnsi="Times New Roman" w:cs="Times New Roman"/>
          </w:rPr>
          <w:t xml:space="preserve">Z10.06  - Securities financing transactions, excluding intragroup </w:t>
        </w:r>
        <w:r w:rsidRPr="00EF5874">
          <w:rPr>
            <w:rStyle w:val="Hyperlink"/>
            <w:rFonts w:ascii="Times New Roman" w:hAnsi="Times New Roman" w:eastAsia="Calibri" w:cs="Times New Roman"/>
          </w:rPr>
          <w:t>(LIAB-G-6)</w:t>
        </w:r>
        <w:r>
          <w:rPr>
            <w:webHidden/>
          </w:rPr>
          <w:tab/>
        </w:r>
        <w:r>
          <w:rPr>
            <w:webHidden/>
          </w:rPr>
          <w:fldChar w:fldCharType="begin"/>
        </w:r>
        <w:r>
          <w:rPr>
            <w:webHidden/>
          </w:rPr>
          <w:instrText xml:space="preserve"> PAGEREF _Toc172732259 \h </w:instrText>
        </w:r>
        <w:r>
          <w:rPr>
            <w:webHidden/>
          </w:rPr>
        </w:r>
        <w:r>
          <w:rPr>
            <w:webHidden/>
          </w:rPr>
          <w:fldChar w:fldCharType="separate"/>
        </w:r>
        <w:r>
          <w:rPr>
            <w:webHidden/>
          </w:rPr>
          <w:t>100</w:t>
        </w:r>
        <w:r>
          <w:rPr>
            <w:webHidden/>
          </w:rPr>
          <w:fldChar w:fldCharType="end"/>
        </w:r>
      </w:hyperlink>
    </w:p>
    <w:p w:rsidR="005F5507" w:rsidRDefault="005F5507" w14:paraId="322BA301" w14:textId="513A76B2">
      <w:pPr>
        <w:pStyle w:val="TOC2"/>
        <w:rPr>
          <w:lang w:val="en-GB" w:eastAsia="en-GB"/>
        </w:rPr>
      </w:pPr>
      <w:hyperlink w:history="1" w:anchor="_Toc172732260">
        <w:r w:rsidRPr="00EF5874">
          <w:rPr>
            <w:rStyle w:val="Hyperlink"/>
            <w:rFonts w:ascii="Times New Roman" w:hAnsi="Times New Roman" w:cs="Times New Roman"/>
          </w:rPr>
          <w:t>II.37</w:t>
        </w:r>
        <w:r>
          <w:rPr>
            <w:lang w:val="en-GB" w:eastAsia="en-GB"/>
          </w:rPr>
          <w:tab/>
        </w:r>
        <w:r w:rsidRPr="00EF5874">
          <w:rPr>
            <w:rStyle w:val="Hyperlink"/>
            <w:rFonts w:ascii="Times New Roman" w:hAnsi="Times New Roman" w:cs="Times New Roman"/>
          </w:rPr>
          <w:t xml:space="preserve">Z10.07  - Other Non-Financial Liabilities (not included in other tabs, excluding intragroup) </w:t>
        </w:r>
        <w:r w:rsidRPr="00EF5874">
          <w:rPr>
            <w:rStyle w:val="Hyperlink"/>
            <w:rFonts w:ascii="Times New Roman" w:hAnsi="Times New Roman" w:eastAsia="Calibri" w:cs="Times New Roman"/>
          </w:rPr>
          <w:t>(LIAB-G-7)</w:t>
        </w:r>
        <w:r>
          <w:rPr>
            <w:webHidden/>
          </w:rPr>
          <w:tab/>
        </w:r>
        <w:r>
          <w:rPr>
            <w:webHidden/>
          </w:rPr>
          <w:fldChar w:fldCharType="begin"/>
        </w:r>
        <w:r>
          <w:rPr>
            <w:webHidden/>
          </w:rPr>
          <w:instrText xml:space="preserve"> PAGEREF _Toc172732260 \h </w:instrText>
        </w:r>
        <w:r>
          <w:rPr>
            <w:webHidden/>
          </w:rPr>
        </w:r>
        <w:r>
          <w:rPr>
            <w:webHidden/>
          </w:rPr>
          <w:fldChar w:fldCharType="separate"/>
        </w:r>
        <w:r>
          <w:rPr>
            <w:webHidden/>
          </w:rPr>
          <w:t>102</w:t>
        </w:r>
        <w:r>
          <w:rPr>
            <w:webHidden/>
          </w:rPr>
          <w:fldChar w:fldCharType="end"/>
        </w:r>
      </w:hyperlink>
    </w:p>
    <w:p w:rsidRPr="00D43D39" w:rsidR="00385C06" w:rsidP="00385C06" w:rsidRDefault="001D258F" w14:paraId="04631A3A" w14:textId="4F192A77">
      <w:pPr>
        <w:rPr>
          <w:rFonts w:ascii="Times New Roman" w:hAnsi="Times New Roman" w:cs="Times New Roman"/>
          <w:b/>
          <w:color w:val="000000" w:themeColor="text1"/>
          <w:sz w:val="20"/>
          <w:szCs w:val="20"/>
          <w:lang w:val="en-GB"/>
        </w:rPr>
      </w:pPr>
      <w:r w:rsidRPr="005D71E0">
        <w:rPr>
          <w:rFonts w:ascii="Times New Roman" w:hAnsi="Times New Roman" w:cs="Times New Roman"/>
          <w:bCs/>
          <w:noProof/>
          <w:color w:val="000000" w:themeColor="text1"/>
          <w:sz w:val="20"/>
          <w:szCs w:val="20"/>
          <w:lang w:val="en-GB"/>
        </w:rPr>
        <w:fldChar w:fldCharType="end"/>
      </w:r>
    </w:p>
    <w:p w:rsidRPr="00D43D39" w:rsidR="00385C06" w:rsidP="00385C06" w:rsidRDefault="00385C06" w14:paraId="68F1DD83" w14:textId="77777777">
      <w:pPr>
        <w:rPr>
          <w:rFonts w:ascii="Times New Roman" w:hAnsi="Times New Roman" w:cs="Times New Roman"/>
          <w:b/>
          <w:color w:val="000000" w:themeColor="text1"/>
          <w:sz w:val="20"/>
          <w:szCs w:val="20"/>
          <w:lang w:val="en-GB"/>
        </w:rPr>
      </w:pPr>
    </w:p>
    <w:p w:rsidRPr="00D43D39" w:rsidR="00E13CE3" w:rsidP="00585A96" w:rsidRDefault="00E13CE3" w14:paraId="21CBDE82" w14:textId="77777777">
      <w:pPr>
        <w:pStyle w:val="ListParagraph"/>
        <w:rPr>
          <w:rFonts w:ascii="Times New Roman" w:hAnsi="Times New Roman"/>
          <w:b/>
          <w:color w:val="000000" w:themeColor="text1"/>
          <w:sz w:val="20"/>
          <w:szCs w:val="20"/>
        </w:rPr>
      </w:pPr>
    </w:p>
    <w:p w:rsidRPr="00D43D39" w:rsidR="000D0650" w:rsidRDefault="000D0650" w14:paraId="2523D4A1" w14:textId="77777777">
      <w:pPr>
        <w:spacing w:after="200" w:line="276" w:lineRule="auto"/>
        <w:rPr>
          <w:rFonts w:ascii="Times New Roman" w:hAnsi="Times New Roman" w:cs="Times New Roman" w:eastAsiaTheme="majorEastAsia"/>
          <w:color w:val="000000" w:themeColor="text1"/>
          <w:spacing w:val="5"/>
          <w:kern w:val="28"/>
          <w:sz w:val="20"/>
          <w:szCs w:val="20"/>
          <w:lang w:val="en-GB"/>
        </w:rPr>
      </w:pPr>
      <w:bookmarkStart w:name="_Toc492542318" w:id="0"/>
      <w:r w:rsidRPr="00D43D39">
        <w:rPr>
          <w:rFonts w:ascii="Times New Roman" w:hAnsi="Times New Roman" w:cs="Times New Roman"/>
          <w:color w:val="000000" w:themeColor="text1"/>
          <w:sz w:val="20"/>
          <w:szCs w:val="20"/>
          <w:lang w:val="en-GB"/>
        </w:rPr>
        <w:br w:type="page"/>
      </w:r>
    </w:p>
    <w:p w:rsidRPr="00D43D39" w:rsidR="00E13CE3" w:rsidP="004524FA" w:rsidRDefault="001E5EDF" w14:paraId="6AA0EF31" w14:textId="77777777">
      <w:pPr>
        <w:pStyle w:val="Instructionsberschrift2"/>
        <w:numPr>
          <w:ilvl w:val="0"/>
          <w:numId w:val="49"/>
        </w:numPr>
        <w:ind w:left="357" w:hanging="357"/>
        <w:rPr>
          <w:rFonts w:ascii="Times New Roman" w:hAnsi="Times New Roman" w:cs="Times New Roman"/>
          <w:szCs w:val="20"/>
        </w:rPr>
      </w:pPr>
      <w:bookmarkStart w:name="_Toc81454170" w:id="1"/>
      <w:bookmarkStart w:name="_Toc172732213" w:id="2"/>
      <w:r w:rsidRPr="00D43D39">
        <w:rPr>
          <w:rFonts w:ascii="Times New Roman" w:hAnsi="Times New Roman" w:cs="Times New Roman"/>
          <w:szCs w:val="20"/>
        </w:rPr>
        <w:t>General instructions</w:t>
      </w:r>
      <w:bookmarkEnd w:id="0"/>
      <w:bookmarkEnd w:id="1"/>
      <w:bookmarkEnd w:id="2"/>
    </w:p>
    <w:p w:rsidRPr="00D43D39" w:rsidR="002B2A61" w:rsidP="5129E6BD" w:rsidRDefault="002B2A61" w14:paraId="3B050850" w14:textId="77777777">
      <w:pPr>
        <w:pStyle w:val="Instructionsberschrift2"/>
        <w:numPr>
          <w:ilvl w:val="1"/>
          <w:numId w:val="49"/>
        </w:numPr>
        <w:ind w:left="357" w:hanging="357"/>
        <w:rPr>
          <w:rFonts w:ascii="Times New Roman" w:hAnsi="Times New Roman" w:cs="Times New Roman"/>
        </w:rPr>
      </w:pPr>
      <w:bookmarkStart w:name="_Toc81454171" w:id="3"/>
      <w:bookmarkStart w:name="_Toc172732214" w:id="4"/>
      <w:r w:rsidRPr="00D43D39">
        <w:rPr>
          <w:rFonts w:ascii="Times New Roman" w:hAnsi="Times New Roman" w:cs="Times New Roman"/>
        </w:rPr>
        <w:t>Structure</w:t>
      </w:r>
      <w:bookmarkEnd w:id="3"/>
      <w:bookmarkEnd w:id="4"/>
    </w:p>
    <w:p w:rsidRPr="00D43D39" w:rsidR="002B2A61" w:rsidP="00715DAB" w:rsidRDefault="002B2A61" w14:paraId="4B1CB2EA" w14:textId="51C5A80E">
      <w:pPr>
        <w:pStyle w:val="InstructionsText2"/>
        <w:numPr>
          <w:ilvl w:val="0"/>
          <w:numId w:val="71"/>
        </w:numPr>
        <w:spacing w:before="0"/>
        <w:ind w:left="714" w:hanging="357"/>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The framework consists of </w:t>
      </w:r>
      <w:r w:rsidR="000974FB">
        <w:rPr>
          <w:rFonts w:ascii="Times New Roman" w:hAnsi="Times New Roman" w:cs="Times New Roman"/>
          <w:sz w:val="20"/>
          <w:szCs w:val="20"/>
          <w:lang w:val="en-GB"/>
        </w:rPr>
        <w:t>29</w:t>
      </w:r>
      <w:r w:rsidRPr="00D43D39" w:rsidR="000D3586">
        <w:rPr>
          <w:rFonts w:ascii="Times New Roman" w:hAnsi="Times New Roman" w:cs="Times New Roman"/>
          <w:sz w:val="20"/>
          <w:szCs w:val="20"/>
          <w:lang w:val="en-GB"/>
        </w:rPr>
        <w:t xml:space="preserve"> </w:t>
      </w:r>
      <w:r w:rsidRPr="00D43D39" w:rsidR="00170788">
        <w:rPr>
          <w:rFonts w:ascii="Times New Roman" w:hAnsi="Times New Roman" w:cs="Times New Roman"/>
          <w:sz w:val="20"/>
          <w:szCs w:val="20"/>
          <w:lang w:val="en-GB"/>
        </w:rPr>
        <w:t xml:space="preserve">templates, organised in </w:t>
      </w:r>
      <w:r w:rsidR="000974FB">
        <w:rPr>
          <w:rFonts w:ascii="Times New Roman" w:hAnsi="Times New Roman" w:cs="Times New Roman"/>
          <w:sz w:val="20"/>
          <w:szCs w:val="20"/>
          <w:lang w:val="en-GB"/>
        </w:rPr>
        <w:t>6</w:t>
      </w:r>
      <w:r w:rsidRPr="00D43D39" w:rsidR="007708C5">
        <w:rPr>
          <w:rFonts w:ascii="Times New Roman" w:hAnsi="Times New Roman" w:cs="Times New Roman"/>
          <w:sz w:val="20"/>
          <w:szCs w:val="20"/>
          <w:lang w:val="en-GB"/>
        </w:rPr>
        <w:t xml:space="preserve"> </w:t>
      </w:r>
      <w:r w:rsidRPr="00D43D39" w:rsidR="00170788">
        <w:rPr>
          <w:rFonts w:ascii="Times New Roman" w:hAnsi="Times New Roman" w:cs="Times New Roman"/>
          <w:sz w:val="20"/>
          <w:szCs w:val="20"/>
          <w:lang w:val="en-GB"/>
        </w:rPr>
        <w:t>blocks</w:t>
      </w:r>
      <w:r w:rsidRPr="00D43D39" w:rsidR="000D3586">
        <w:rPr>
          <w:rFonts w:ascii="Times New Roman" w:hAnsi="Times New Roman" w:cs="Times New Roman"/>
          <w:sz w:val="20"/>
          <w:szCs w:val="20"/>
          <w:lang w:val="en-GB"/>
        </w:rPr>
        <w:t>.</w:t>
      </w:r>
    </w:p>
    <w:p w:rsidRPr="00D43D39" w:rsidR="000D3586" w:rsidP="00715DAB" w:rsidRDefault="00170788" w14:paraId="4F31D1A1" w14:textId="138C07A5">
      <w:pPr>
        <w:pStyle w:val="body"/>
        <w:numPr>
          <w:ilvl w:val="0"/>
          <w:numId w:val="6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‘General information’, which provides an overview of the organisational structure of a group and its entities, the distribution of assets and risk exposure amounts.</w:t>
      </w:r>
      <w:r w:rsidRPr="00D43D39" w:rsidR="00D44790">
        <w:rPr>
          <w:rFonts w:ascii="Times New Roman" w:hAnsi="Times New Roman" w:cs="Times New Roman"/>
          <w:color w:val="000000" w:themeColor="text1"/>
          <w:sz w:val="20"/>
          <w:szCs w:val="20"/>
          <w:lang w:val="en-GB"/>
        </w:rPr>
        <w:t xml:space="preserve"> This block consists of template</w:t>
      </w:r>
      <w:r w:rsidRPr="00D43D39" w:rsidR="000D3586">
        <w:rPr>
          <w:rFonts w:ascii="Times New Roman" w:hAnsi="Times New Roman" w:cs="Times New Roman"/>
          <w:color w:val="000000" w:themeColor="text1"/>
          <w:sz w:val="20"/>
          <w:szCs w:val="20"/>
          <w:lang w:val="en-GB"/>
        </w:rPr>
        <w:t>s:</w:t>
      </w:r>
    </w:p>
    <w:p w:rsidRPr="00D43D39" w:rsidR="002B2A61" w:rsidP="005F5507" w:rsidRDefault="000A4140" w14:paraId="27088A49" w14:textId="3AA4F14E">
      <w:pPr>
        <w:pStyle w:val="body"/>
        <w:numPr>
          <w:ilvl w:val="1"/>
          <w:numId w:val="207"/>
        </w:numPr>
        <w:rPr>
          <w:rFonts w:ascii="Times New Roman" w:hAnsi="Times New Roman" w:cs="Times New Roman"/>
          <w:color w:val="000000" w:themeColor="text1"/>
          <w:sz w:val="20"/>
          <w:szCs w:val="20"/>
          <w:lang w:val="fr-BE"/>
        </w:rPr>
      </w:pPr>
      <w:r w:rsidRPr="005F5507">
        <w:rPr>
          <w:rFonts w:ascii="Times New Roman" w:hAnsi="Times New Roman" w:cs="Times New Roman"/>
          <w:color w:val="000000" w:themeColor="text1"/>
          <w:sz w:val="20"/>
          <w:szCs w:val="20"/>
          <w:lang w:val="fr-BE"/>
        </w:rPr>
        <w:t>Z 01.01</w:t>
      </w:r>
      <w:r w:rsidRPr="005F5507" w:rsidR="00D44790">
        <w:rPr>
          <w:rFonts w:ascii="Times New Roman" w:hAnsi="Times New Roman" w:cs="Times New Roman"/>
          <w:color w:val="000000" w:themeColor="text1"/>
          <w:sz w:val="20"/>
          <w:szCs w:val="20"/>
          <w:lang w:val="fr-BE"/>
        </w:rPr>
        <w:t xml:space="preserve"> - Organisational structure </w:t>
      </w:r>
      <w:r w:rsidRPr="005F5507">
        <w:rPr>
          <w:rFonts w:ascii="Times New Roman" w:hAnsi="Times New Roman" w:cs="Times New Roman"/>
          <w:color w:val="000000" w:themeColor="text1"/>
          <w:sz w:val="20"/>
          <w:szCs w:val="20"/>
          <w:lang w:val="fr-BE"/>
        </w:rPr>
        <w:t>(ORG 1)</w:t>
      </w:r>
      <w:r w:rsidRPr="005F5507" w:rsidR="00D44790">
        <w:rPr>
          <w:rFonts w:ascii="Times New Roman" w:hAnsi="Times New Roman" w:cs="Times New Roman"/>
          <w:color w:val="000000" w:themeColor="text1"/>
          <w:sz w:val="20"/>
          <w:szCs w:val="20"/>
          <w:lang w:val="fr-BE"/>
        </w:rPr>
        <w:t>’</w:t>
      </w:r>
    </w:p>
    <w:p w:rsidRPr="005F5507" w:rsidR="000D3586" w:rsidP="005F5507" w:rsidRDefault="000D3586" w14:paraId="07741102" w14:textId="47C91738">
      <w:pPr>
        <w:pStyle w:val="body"/>
        <w:numPr>
          <w:ilvl w:val="1"/>
          <w:numId w:val="207"/>
        </w:numPr>
        <w:rPr>
          <w:rFonts w:ascii="Times New Roman" w:hAnsi="Times New Roman" w:cs="Times New Roman"/>
          <w:color w:val="000000" w:themeColor="text1"/>
          <w:sz w:val="20"/>
          <w:szCs w:val="20"/>
          <w:lang w:val="fr-BE"/>
        </w:rPr>
      </w:pPr>
      <w:r w:rsidRPr="00D43D39">
        <w:rPr>
          <w:rFonts w:ascii="Times New Roman" w:hAnsi="Times New Roman" w:cs="Times New Roman"/>
          <w:color w:val="000000" w:themeColor="text1"/>
          <w:sz w:val="20"/>
          <w:szCs w:val="20"/>
          <w:lang w:val="fr-BE"/>
        </w:rPr>
        <w:t>Z</w:t>
      </w:r>
      <w:r w:rsidR="006167BA">
        <w:rPr>
          <w:rFonts w:ascii="Times New Roman" w:hAnsi="Times New Roman" w:cs="Times New Roman"/>
          <w:color w:val="000000" w:themeColor="text1"/>
          <w:sz w:val="20"/>
          <w:szCs w:val="20"/>
          <w:lang w:val="fr-BE"/>
        </w:rPr>
        <w:t xml:space="preserve"> </w:t>
      </w:r>
      <w:r w:rsidRPr="00D43D39">
        <w:rPr>
          <w:rFonts w:ascii="Times New Roman" w:hAnsi="Times New Roman" w:cs="Times New Roman"/>
          <w:color w:val="000000" w:themeColor="text1"/>
          <w:sz w:val="20"/>
          <w:szCs w:val="20"/>
          <w:lang w:val="fr-BE"/>
        </w:rPr>
        <w:t>01.02 – Ownership structure (ORG 2)</w:t>
      </w:r>
    </w:p>
    <w:p w:rsidRPr="00D43D39" w:rsidR="00170788" w:rsidP="00715DAB" w:rsidRDefault="00170788" w14:paraId="0DADCCBE" w14:textId="5568313F">
      <w:pPr>
        <w:pStyle w:val="body"/>
        <w:numPr>
          <w:ilvl w:val="0"/>
          <w:numId w:val="6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Pr="00D43D39" w:rsidR="00295A9E">
        <w:rPr>
          <w:rFonts w:ascii="Times New Roman" w:hAnsi="Times New Roman" w:cs="Times New Roman"/>
          <w:color w:val="000000" w:themeColor="text1"/>
          <w:sz w:val="20"/>
          <w:szCs w:val="20"/>
          <w:lang w:val="en-GB"/>
        </w:rPr>
        <w:t xml:space="preserve">Aggregate data </w:t>
      </w:r>
      <w:r w:rsidRPr="00D43D39" w:rsidR="00CC130F">
        <w:rPr>
          <w:rFonts w:ascii="Times New Roman" w:hAnsi="Times New Roman" w:cs="Times New Roman"/>
          <w:color w:val="000000" w:themeColor="text1"/>
          <w:sz w:val="20"/>
          <w:szCs w:val="20"/>
          <w:lang w:val="en-GB"/>
        </w:rPr>
        <w:t xml:space="preserve">on </w:t>
      </w:r>
      <w:r w:rsidRPr="00D43D39">
        <w:rPr>
          <w:rFonts w:ascii="Times New Roman" w:hAnsi="Times New Roman" w:cs="Times New Roman"/>
          <w:color w:val="000000" w:themeColor="text1"/>
          <w:sz w:val="20"/>
          <w:szCs w:val="20"/>
          <w:lang w:val="en-GB"/>
        </w:rPr>
        <w:t>on-balance sheet items and off-balance sheet items’</w:t>
      </w:r>
      <w:r w:rsidRPr="00D43D39" w:rsidR="00BB5812">
        <w:rPr>
          <w:rFonts w:ascii="Times New Roman" w:hAnsi="Times New Roman" w:cs="Times New Roman"/>
          <w:color w:val="000000" w:themeColor="text1"/>
          <w:sz w:val="20"/>
          <w:szCs w:val="20"/>
          <w:lang w:val="en-GB"/>
        </w:rPr>
        <w:t xml:space="preserve"> which provides financial information on liabilities, own funds, financial connections between group entities, liabilities towards major counterparties and off-balance</w:t>
      </w:r>
      <w:r w:rsidRPr="00D43D39" w:rsidR="0036322A">
        <w:rPr>
          <w:rFonts w:ascii="Times New Roman" w:hAnsi="Times New Roman" w:cs="Times New Roman"/>
          <w:color w:val="000000" w:themeColor="text1"/>
          <w:sz w:val="20"/>
          <w:szCs w:val="20"/>
          <w:lang w:val="en-GB"/>
        </w:rPr>
        <w:t xml:space="preserve"> </w:t>
      </w:r>
      <w:r w:rsidRPr="00D43D39" w:rsidR="00BB5812">
        <w:rPr>
          <w:rFonts w:ascii="Times New Roman" w:hAnsi="Times New Roman" w:cs="Times New Roman"/>
          <w:color w:val="000000" w:themeColor="text1"/>
          <w:sz w:val="20"/>
          <w:szCs w:val="20"/>
          <w:lang w:val="en-GB"/>
        </w:rPr>
        <w:t>sheet items received from major counterparties, and deposit insurance</w:t>
      </w:r>
      <w:r w:rsidRPr="00D43D39" w:rsidR="00D44790">
        <w:rPr>
          <w:rFonts w:ascii="Times New Roman" w:hAnsi="Times New Roman" w:cs="Times New Roman"/>
          <w:color w:val="000000" w:themeColor="text1"/>
          <w:sz w:val="20"/>
          <w:szCs w:val="20"/>
          <w:lang w:val="en-GB"/>
        </w:rPr>
        <w:t xml:space="preserve">. This block consists of </w:t>
      </w:r>
      <w:r w:rsidR="00EF3475">
        <w:rPr>
          <w:rFonts w:ascii="Times New Roman" w:hAnsi="Times New Roman" w:cs="Times New Roman"/>
          <w:color w:val="000000" w:themeColor="text1"/>
          <w:sz w:val="20"/>
          <w:szCs w:val="20"/>
          <w:lang w:val="en-GB"/>
        </w:rPr>
        <w:t>7</w:t>
      </w:r>
      <w:r w:rsidRPr="00D43D39" w:rsidR="00EF3475">
        <w:rPr>
          <w:rFonts w:ascii="Times New Roman" w:hAnsi="Times New Roman" w:cs="Times New Roman"/>
          <w:color w:val="000000" w:themeColor="text1"/>
          <w:sz w:val="20"/>
          <w:szCs w:val="20"/>
          <w:lang w:val="en-GB"/>
        </w:rPr>
        <w:t xml:space="preserve"> </w:t>
      </w:r>
      <w:r w:rsidRPr="00D43D39" w:rsidR="001F072D">
        <w:rPr>
          <w:rFonts w:ascii="Times New Roman" w:hAnsi="Times New Roman" w:cs="Times New Roman"/>
          <w:color w:val="000000" w:themeColor="text1"/>
          <w:sz w:val="20"/>
          <w:szCs w:val="20"/>
          <w:lang w:val="en-GB"/>
        </w:rPr>
        <w:t>templates:</w:t>
      </w:r>
    </w:p>
    <w:p w:rsidRPr="00D43D39" w:rsidR="00D44790" w:rsidP="005F5507" w:rsidRDefault="00A040CC" w14:paraId="5F944DAB" w14:textId="3D1D6465">
      <w:pPr>
        <w:pStyle w:val="body"/>
        <w:numPr>
          <w:ilvl w:val="0"/>
          <w:numId w:val="208"/>
        </w:numPr>
        <w:rPr>
          <w:rFonts w:ascii="Times New Roman" w:hAnsi="Times New Roman" w:cs="Times New Roman"/>
          <w:color w:val="000000" w:themeColor="text1"/>
          <w:sz w:val="20"/>
          <w:szCs w:val="20"/>
        </w:rPr>
      </w:pPr>
      <w:r w:rsidRPr="4ABF549B">
        <w:rPr>
          <w:rFonts w:ascii="Times New Roman" w:hAnsi="Times New Roman" w:cs="Times New Roman"/>
          <w:color w:val="000000" w:themeColor="text1"/>
          <w:sz w:val="20"/>
          <w:szCs w:val="20"/>
        </w:rPr>
        <w:t>‘</w:t>
      </w:r>
      <w:r w:rsidRPr="4ABF549B" w:rsidR="004772F7">
        <w:rPr>
          <w:rFonts w:ascii="Times New Roman" w:hAnsi="Times New Roman" w:cs="Times New Roman"/>
          <w:color w:val="000000" w:themeColor="text1"/>
          <w:sz w:val="20"/>
          <w:szCs w:val="20"/>
        </w:rPr>
        <w:t xml:space="preserve">Z </w:t>
      </w:r>
      <w:r w:rsidRPr="4ABF549B" w:rsidR="00D44790">
        <w:rPr>
          <w:rFonts w:ascii="Times New Roman" w:hAnsi="Times New Roman" w:cs="Times New Roman"/>
          <w:color w:val="000000" w:themeColor="text1"/>
          <w:sz w:val="20"/>
          <w:szCs w:val="20"/>
        </w:rPr>
        <w:t>02.00 - Liability Structure (LIAB</w:t>
      </w:r>
      <w:r w:rsidR="006C64C7">
        <w:rPr>
          <w:rFonts w:ascii="Times New Roman" w:hAnsi="Times New Roman" w:cs="Times New Roman"/>
          <w:color w:val="000000" w:themeColor="text1"/>
          <w:sz w:val="20"/>
          <w:szCs w:val="20"/>
        </w:rPr>
        <w:t xml:space="preserve"> 1</w:t>
      </w:r>
      <w:r w:rsidRPr="4ABF549B" w:rsidR="00D44790">
        <w:rPr>
          <w:rFonts w:ascii="Times New Roman" w:hAnsi="Times New Roman" w:cs="Times New Roman"/>
          <w:color w:val="000000" w:themeColor="text1"/>
          <w:sz w:val="20"/>
          <w:szCs w:val="20"/>
        </w:rPr>
        <w:t>)</w:t>
      </w:r>
      <w:r w:rsidRPr="4ABF549B">
        <w:rPr>
          <w:rFonts w:ascii="Times New Roman" w:hAnsi="Times New Roman" w:cs="Times New Roman"/>
          <w:color w:val="000000" w:themeColor="text1"/>
          <w:sz w:val="20"/>
          <w:szCs w:val="20"/>
        </w:rPr>
        <w:t>’</w:t>
      </w:r>
      <w:r w:rsidRPr="4ABF549B" w:rsidR="00D44790">
        <w:rPr>
          <w:rFonts w:ascii="Times New Roman" w:hAnsi="Times New Roman" w:cs="Times New Roman"/>
          <w:color w:val="000000" w:themeColor="text1"/>
          <w:sz w:val="20"/>
          <w:szCs w:val="20"/>
        </w:rPr>
        <w:t>;</w:t>
      </w:r>
    </w:p>
    <w:p w:rsidR="00D44790" w:rsidP="4ABF549B" w:rsidRDefault="00A040CC" w14:paraId="57747F3F" w14:textId="19363301">
      <w:pPr>
        <w:pStyle w:val="body"/>
        <w:numPr>
          <w:ilvl w:val="0"/>
          <w:numId w:val="208"/>
        </w:numPr>
        <w:rPr>
          <w:rFonts w:ascii="Times New Roman" w:hAnsi="Times New Roman" w:cs="Times New Roman"/>
          <w:color w:val="000000" w:themeColor="text1"/>
          <w:sz w:val="20"/>
          <w:szCs w:val="20"/>
        </w:rPr>
      </w:pPr>
      <w:r w:rsidRPr="4ABF549B">
        <w:rPr>
          <w:rFonts w:ascii="Times New Roman" w:hAnsi="Times New Roman" w:cs="Times New Roman"/>
          <w:color w:val="000000" w:themeColor="text1"/>
          <w:sz w:val="20"/>
          <w:szCs w:val="20"/>
        </w:rPr>
        <w:t>‘</w:t>
      </w:r>
      <w:r w:rsidRPr="4ABF549B" w:rsidR="004772F7">
        <w:rPr>
          <w:rFonts w:ascii="Times New Roman" w:hAnsi="Times New Roman" w:cs="Times New Roman"/>
          <w:color w:val="000000" w:themeColor="text1"/>
          <w:sz w:val="20"/>
          <w:szCs w:val="20"/>
        </w:rPr>
        <w:t>Z</w:t>
      </w:r>
      <w:r w:rsidRPr="4ABF549B" w:rsidR="007809D0">
        <w:rPr>
          <w:rFonts w:ascii="Times New Roman" w:hAnsi="Times New Roman" w:cs="Times New Roman"/>
          <w:color w:val="000000" w:themeColor="text1"/>
          <w:sz w:val="20"/>
          <w:szCs w:val="20"/>
        </w:rPr>
        <w:t xml:space="preserve"> 03.0</w:t>
      </w:r>
      <w:r w:rsidRPr="4ABF549B" w:rsidR="00EF3475">
        <w:rPr>
          <w:rFonts w:ascii="Times New Roman" w:hAnsi="Times New Roman" w:cs="Times New Roman"/>
          <w:color w:val="000000" w:themeColor="text1"/>
          <w:sz w:val="20"/>
          <w:szCs w:val="20"/>
        </w:rPr>
        <w:t>1</w:t>
      </w:r>
      <w:r w:rsidRPr="4ABF549B" w:rsidR="007809D0">
        <w:rPr>
          <w:rFonts w:ascii="Times New Roman" w:hAnsi="Times New Roman" w:cs="Times New Roman"/>
          <w:color w:val="000000" w:themeColor="text1"/>
          <w:sz w:val="20"/>
          <w:szCs w:val="20"/>
        </w:rPr>
        <w:t xml:space="preserve"> - Own funds requirements</w:t>
      </w:r>
      <w:r w:rsidRPr="4ABF549B" w:rsidR="00F653D0">
        <w:rPr>
          <w:rFonts w:ascii="Times New Roman" w:hAnsi="Times New Roman" w:cs="Times New Roman"/>
          <w:color w:val="000000" w:themeColor="text1"/>
          <w:sz w:val="20"/>
          <w:szCs w:val="20"/>
        </w:rPr>
        <w:t xml:space="preserve"> for credit institutions</w:t>
      </w:r>
      <w:r w:rsidRPr="4ABF549B" w:rsidR="007809D0">
        <w:rPr>
          <w:rFonts w:ascii="Times New Roman" w:hAnsi="Times New Roman" w:cs="Times New Roman"/>
          <w:color w:val="000000" w:themeColor="text1"/>
          <w:sz w:val="20"/>
          <w:szCs w:val="20"/>
        </w:rPr>
        <w:t xml:space="preserve"> (</w:t>
      </w:r>
      <w:r w:rsidRPr="4ABF549B" w:rsidR="006C64C7">
        <w:rPr>
          <w:rFonts w:ascii="Times New Roman" w:hAnsi="Times New Roman" w:cs="Times New Roman"/>
          <w:color w:val="000000" w:themeColor="text1"/>
          <w:sz w:val="20"/>
          <w:szCs w:val="20"/>
        </w:rPr>
        <w:t>LIAB</w:t>
      </w:r>
      <w:r w:rsidR="006C64C7">
        <w:rPr>
          <w:rFonts w:ascii="Times New Roman" w:hAnsi="Times New Roman" w:cs="Times New Roman"/>
          <w:color w:val="000000" w:themeColor="text1"/>
          <w:sz w:val="20"/>
          <w:szCs w:val="20"/>
        </w:rPr>
        <w:t xml:space="preserve"> 2</w:t>
      </w:r>
      <w:r w:rsidRPr="4ABF549B" w:rsidR="007809D0">
        <w:rPr>
          <w:rFonts w:ascii="Times New Roman" w:hAnsi="Times New Roman" w:cs="Times New Roman"/>
          <w:color w:val="000000" w:themeColor="text1"/>
          <w:sz w:val="20"/>
          <w:szCs w:val="20"/>
        </w:rPr>
        <w:t>)</w:t>
      </w:r>
      <w:r w:rsidRPr="4ABF549B">
        <w:rPr>
          <w:rFonts w:ascii="Times New Roman" w:hAnsi="Times New Roman" w:cs="Times New Roman"/>
          <w:color w:val="000000" w:themeColor="text1"/>
          <w:sz w:val="20"/>
          <w:szCs w:val="20"/>
        </w:rPr>
        <w:t>’</w:t>
      </w:r>
      <w:r w:rsidRPr="4ABF549B" w:rsidR="00D44790">
        <w:rPr>
          <w:rFonts w:ascii="Times New Roman" w:hAnsi="Times New Roman" w:cs="Times New Roman"/>
          <w:color w:val="000000" w:themeColor="text1"/>
          <w:sz w:val="20"/>
          <w:szCs w:val="20"/>
        </w:rPr>
        <w:t>;</w:t>
      </w:r>
    </w:p>
    <w:p w:rsidRPr="00D43D39" w:rsidR="00EF3475" w:rsidP="4ABF549B" w:rsidRDefault="00EF3475" w14:paraId="2A917556" w14:textId="7940B5E9">
      <w:pPr>
        <w:pStyle w:val="body"/>
        <w:numPr>
          <w:ilvl w:val="0"/>
          <w:numId w:val="208"/>
        </w:numPr>
        <w:rPr>
          <w:rFonts w:ascii="Times New Roman" w:hAnsi="Times New Roman" w:cs="Times New Roman"/>
          <w:color w:val="000000" w:themeColor="text1"/>
          <w:sz w:val="20"/>
          <w:szCs w:val="20"/>
        </w:rPr>
      </w:pPr>
      <w:r w:rsidRPr="4ABF549B">
        <w:rPr>
          <w:rFonts w:ascii="Times New Roman" w:hAnsi="Times New Roman" w:cs="Times New Roman"/>
          <w:color w:val="000000" w:themeColor="text1"/>
          <w:sz w:val="20"/>
          <w:szCs w:val="20"/>
        </w:rPr>
        <w:t xml:space="preserve">‘Z 03.02 - Own funds requirements for </w:t>
      </w:r>
      <w:r w:rsidR="002D0BAB">
        <w:rPr>
          <w:rFonts w:ascii="Times New Roman" w:hAnsi="Times New Roman" w:cs="Times New Roman"/>
          <w:color w:val="000000" w:themeColor="text1"/>
          <w:sz w:val="20"/>
          <w:szCs w:val="20"/>
        </w:rPr>
        <w:t>investment firms</w:t>
      </w:r>
      <w:r w:rsidRPr="4ABF549B">
        <w:rPr>
          <w:rFonts w:ascii="Times New Roman" w:hAnsi="Times New Roman" w:cs="Times New Roman"/>
          <w:color w:val="000000" w:themeColor="text1"/>
          <w:sz w:val="20"/>
          <w:szCs w:val="20"/>
        </w:rPr>
        <w:t xml:space="preserve"> (</w:t>
      </w:r>
      <w:r w:rsidRPr="4ABF549B" w:rsidR="006C64C7">
        <w:rPr>
          <w:rFonts w:ascii="Times New Roman" w:hAnsi="Times New Roman" w:cs="Times New Roman"/>
          <w:color w:val="000000" w:themeColor="text1"/>
          <w:sz w:val="20"/>
          <w:szCs w:val="20"/>
        </w:rPr>
        <w:t>LIAB</w:t>
      </w:r>
      <w:r w:rsidR="006C64C7">
        <w:rPr>
          <w:rFonts w:ascii="Times New Roman" w:hAnsi="Times New Roman" w:cs="Times New Roman"/>
          <w:color w:val="000000" w:themeColor="text1"/>
          <w:sz w:val="20"/>
          <w:szCs w:val="20"/>
        </w:rPr>
        <w:t xml:space="preserve"> 3</w:t>
      </w:r>
      <w:r w:rsidRPr="4ABF549B">
        <w:rPr>
          <w:rFonts w:ascii="Times New Roman" w:hAnsi="Times New Roman" w:cs="Times New Roman"/>
          <w:color w:val="000000" w:themeColor="text1"/>
          <w:sz w:val="20"/>
          <w:szCs w:val="20"/>
        </w:rPr>
        <w:t>)’;</w:t>
      </w:r>
    </w:p>
    <w:p w:rsidRPr="006C64C7" w:rsidR="00D44790" w:rsidP="3C351E67" w:rsidRDefault="00A040CC" w14:paraId="2B4283D5" w14:textId="1A50B1B8">
      <w:pPr>
        <w:pStyle w:val="body"/>
        <w:numPr>
          <w:ilvl w:val="0"/>
          <w:numId w:val="208"/>
        </w:numPr>
        <w:rPr>
          <w:rFonts w:ascii="Times New Roman" w:hAnsi="Times New Roman" w:cs="Times New Roman"/>
          <w:color w:val="000000" w:themeColor="text1"/>
          <w:sz w:val="20"/>
          <w:szCs w:val="20"/>
          <w:lang w:val="en-US"/>
        </w:rPr>
      </w:pPr>
      <w:r w:rsidRPr="3C351E67" w:rsidR="00A040CC">
        <w:rPr>
          <w:rFonts w:ascii="Times New Roman" w:hAnsi="Times New Roman" w:cs="Times New Roman"/>
          <w:color w:val="000000" w:themeColor="text1" w:themeTint="FF" w:themeShade="FF"/>
          <w:sz w:val="20"/>
          <w:szCs w:val="20"/>
          <w:lang w:val="en-US"/>
        </w:rPr>
        <w:t>‘</w:t>
      </w:r>
      <w:r w:rsidRPr="3C351E67" w:rsidR="004772F7">
        <w:rPr>
          <w:rFonts w:ascii="Times New Roman" w:hAnsi="Times New Roman" w:cs="Times New Roman"/>
          <w:color w:val="000000" w:themeColor="text1" w:themeTint="FF" w:themeShade="FF"/>
          <w:sz w:val="20"/>
          <w:szCs w:val="20"/>
          <w:lang w:val="en-US"/>
        </w:rPr>
        <w:t xml:space="preserve">Z </w:t>
      </w:r>
      <w:r w:rsidRPr="3C351E67" w:rsidR="00D44790">
        <w:rPr>
          <w:rFonts w:ascii="Times New Roman" w:hAnsi="Times New Roman" w:cs="Times New Roman"/>
          <w:color w:val="000000" w:themeColor="text1" w:themeTint="FF" w:themeShade="FF"/>
          <w:sz w:val="20"/>
          <w:szCs w:val="20"/>
          <w:lang w:val="en-US"/>
        </w:rPr>
        <w:t xml:space="preserve">04.00 - </w:t>
      </w:r>
      <w:r w:rsidRPr="3C351E67" w:rsidR="00D44790">
        <w:rPr>
          <w:rFonts w:ascii="Times New Roman" w:hAnsi="Times New Roman" w:cs="Times New Roman"/>
          <w:color w:val="000000" w:themeColor="text1" w:themeTint="FF" w:themeShade="FF"/>
          <w:sz w:val="20"/>
          <w:szCs w:val="20"/>
          <w:lang w:val="en-US"/>
        </w:rPr>
        <w:t>Intragroup</w:t>
      </w:r>
      <w:r w:rsidRPr="3C351E67" w:rsidR="00D44790">
        <w:rPr>
          <w:rFonts w:ascii="Times New Roman" w:hAnsi="Times New Roman" w:cs="Times New Roman"/>
          <w:color w:val="000000" w:themeColor="text1" w:themeTint="FF" w:themeShade="FF"/>
          <w:sz w:val="20"/>
          <w:szCs w:val="20"/>
          <w:lang w:val="en-US"/>
        </w:rPr>
        <w:t xml:space="preserve"> </w:t>
      </w:r>
      <w:r w:rsidRPr="3C351E67" w:rsidR="00D44790">
        <w:rPr>
          <w:rFonts w:ascii="Times New Roman" w:hAnsi="Times New Roman" w:cs="Times New Roman"/>
          <w:color w:val="000000" w:themeColor="text1" w:themeTint="FF" w:themeShade="FF"/>
          <w:sz w:val="20"/>
          <w:szCs w:val="20"/>
          <w:lang w:val="en-US"/>
        </w:rPr>
        <w:t>financial</w:t>
      </w:r>
      <w:r w:rsidRPr="3C351E67" w:rsidR="00D44790">
        <w:rPr>
          <w:rFonts w:ascii="Times New Roman" w:hAnsi="Times New Roman" w:cs="Times New Roman"/>
          <w:color w:val="000000" w:themeColor="text1" w:themeTint="FF" w:themeShade="FF"/>
          <w:sz w:val="20"/>
          <w:szCs w:val="20"/>
          <w:lang w:val="en-US"/>
        </w:rPr>
        <w:t xml:space="preserve"> interconnections (</w:t>
      </w:r>
      <w:r w:rsidRPr="3C351E67" w:rsidR="006C64C7">
        <w:rPr>
          <w:rFonts w:ascii="Times New Roman" w:hAnsi="Times New Roman" w:cs="Times New Roman"/>
          <w:color w:val="000000" w:themeColor="text1" w:themeTint="FF" w:themeShade="FF"/>
          <w:sz w:val="20"/>
          <w:szCs w:val="20"/>
          <w:lang w:val="en-US"/>
        </w:rPr>
        <w:t xml:space="preserve">LIAB </w:t>
      </w:r>
      <w:r w:rsidRPr="3C351E67" w:rsidR="006C64C7">
        <w:rPr>
          <w:rFonts w:ascii="Times New Roman" w:hAnsi="Times New Roman" w:cs="Times New Roman"/>
          <w:color w:val="000000" w:themeColor="text1" w:themeTint="FF" w:themeShade="FF"/>
          <w:sz w:val="20"/>
          <w:szCs w:val="20"/>
          <w:lang w:val="en-US"/>
        </w:rPr>
        <w:t>4</w:t>
      </w:r>
      <w:r w:rsidRPr="3C351E67" w:rsidR="00D44790">
        <w:rPr>
          <w:rFonts w:ascii="Times New Roman" w:hAnsi="Times New Roman" w:cs="Times New Roman"/>
          <w:color w:val="000000" w:themeColor="text1" w:themeTint="FF" w:themeShade="FF"/>
          <w:sz w:val="20"/>
          <w:szCs w:val="20"/>
          <w:lang w:val="en-US"/>
        </w:rPr>
        <w:t>)</w:t>
      </w:r>
      <w:r w:rsidRPr="3C351E67" w:rsidR="00A040CC">
        <w:rPr>
          <w:rFonts w:ascii="Times New Roman" w:hAnsi="Times New Roman" w:cs="Times New Roman"/>
          <w:color w:val="000000" w:themeColor="text1" w:themeTint="FF" w:themeShade="FF"/>
          <w:sz w:val="20"/>
          <w:szCs w:val="20"/>
          <w:lang w:val="en-US"/>
        </w:rPr>
        <w:t>’</w:t>
      </w:r>
      <w:r w:rsidRPr="3C351E67" w:rsidR="00B24A26">
        <w:rPr>
          <w:rFonts w:ascii="Times New Roman" w:hAnsi="Times New Roman" w:cs="Times New Roman"/>
          <w:color w:val="000000" w:themeColor="text1" w:themeTint="FF" w:themeShade="FF"/>
          <w:sz w:val="20"/>
          <w:szCs w:val="20"/>
          <w:lang w:val="en-US"/>
        </w:rPr>
        <w:t>;</w:t>
      </w:r>
    </w:p>
    <w:p w:rsidR="00E84529" w:rsidRDefault="00A040CC" w14:paraId="69AF7C0E" w14:textId="2285B1A2">
      <w:pPr>
        <w:pStyle w:val="body"/>
        <w:numPr>
          <w:ilvl w:val="0"/>
          <w:numId w:val="208"/>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Pr="00D43D39" w:rsidR="004772F7">
        <w:rPr>
          <w:rFonts w:ascii="Times New Roman" w:hAnsi="Times New Roman" w:cs="Times New Roman"/>
          <w:color w:val="000000" w:themeColor="text1"/>
          <w:sz w:val="20"/>
          <w:szCs w:val="20"/>
          <w:lang w:val="en-GB"/>
        </w:rPr>
        <w:t>Z</w:t>
      </w:r>
      <w:r w:rsidRPr="00D43D39" w:rsidR="001F072D">
        <w:rPr>
          <w:rFonts w:ascii="Times New Roman" w:hAnsi="Times New Roman" w:cs="Times New Roman"/>
          <w:color w:val="000000" w:themeColor="text1"/>
          <w:sz w:val="20"/>
          <w:szCs w:val="20"/>
          <w:lang w:val="en-GB"/>
        </w:rPr>
        <w:t xml:space="preserve"> 05.01 - Major Liability Counterparties (</w:t>
      </w:r>
      <w:r w:rsidRPr="4ABF549B" w:rsidR="006C64C7">
        <w:rPr>
          <w:rFonts w:ascii="Times New Roman" w:hAnsi="Times New Roman" w:cs="Times New Roman"/>
          <w:color w:val="000000" w:themeColor="text1"/>
          <w:sz w:val="20"/>
          <w:szCs w:val="20"/>
        </w:rPr>
        <w:t>LIAB</w:t>
      </w:r>
      <w:r w:rsidR="006C64C7">
        <w:rPr>
          <w:rFonts w:ascii="Times New Roman" w:hAnsi="Times New Roman" w:cs="Times New Roman"/>
          <w:color w:val="000000" w:themeColor="text1"/>
          <w:sz w:val="20"/>
          <w:szCs w:val="20"/>
        </w:rPr>
        <w:t xml:space="preserve"> 5</w:t>
      </w:r>
      <w:r w:rsidRPr="00D43D39" w:rsidR="001F072D">
        <w:rPr>
          <w:rFonts w:ascii="Times New Roman" w:hAnsi="Times New Roman" w:cs="Times New Roman"/>
          <w:color w:val="000000" w:themeColor="text1"/>
          <w:sz w:val="20"/>
          <w:szCs w:val="20"/>
          <w:lang w:val="en-GB"/>
        </w:rPr>
        <w:t>)</w:t>
      </w:r>
      <w:r w:rsidRPr="00D43D39">
        <w:rPr>
          <w:rFonts w:ascii="Times New Roman" w:hAnsi="Times New Roman" w:cs="Times New Roman"/>
          <w:color w:val="000000" w:themeColor="text1"/>
          <w:sz w:val="20"/>
          <w:szCs w:val="20"/>
          <w:lang w:val="en-GB"/>
        </w:rPr>
        <w:t>’</w:t>
      </w:r>
      <w:r w:rsidR="00E84529">
        <w:rPr>
          <w:rFonts w:ascii="Times New Roman" w:hAnsi="Times New Roman" w:cs="Times New Roman"/>
          <w:color w:val="000000" w:themeColor="text1"/>
          <w:sz w:val="20"/>
          <w:szCs w:val="20"/>
          <w:lang w:val="en-GB"/>
        </w:rPr>
        <w:t>;</w:t>
      </w:r>
    </w:p>
    <w:p w:rsidRPr="00D43D39" w:rsidR="001F072D" w:rsidP="005F5507" w:rsidRDefault="00A040CC" w14:paraId="31C84418" w14:textId="55CE023B">
      <w:pPr>
        <w:pStyle w:val="body"/>
        <w:numPr>
          <w:ilvl w:val="0"/>
          <w:numId w:val="208"/>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Pr="00D43D39" w:rsidR="004772F7">
        <w:rPr>
          <w:rFonts w:ascii="Times New Roman" w:hAnsi="Times New Roman" w:cs="Times New Roman"/>
          <w:color w:val="000000" w:themeColor="text1"/>
          <w:sz w:val="20"/>
          <w:szCs w:val="20"/>
          <w:lang w:val="en-GB"/>
        </w:rPr>
        <w:t>Z</w:t>
      </w:r>
      <w:r w:rsidRPr="00D43D39" w:rsidR="001F072D">
        <w:rPr>
          <w:rFonts w:ascii="Times New Roman" w:hAnsi="Times New Roman" w:cs="Times New Roman"/>
          <w:color w:val="000000" w:themeColor="text1"/>
          <w:sz w:val="20"/>
          <w:szCs w:val="20"/>
          <w:lang w:val="en-GB"/>
        </w:rPr>
        <w:t xml:space="preserve"> 05.02 - Major off-balance sheet counterparties (</w:t>
      </w:r>
      <w:r w:rsidRPr="4ABF549B" w:rsidR="006C64C7">
        <w:rPr>
          <w:rFonts w:ascii="Times New Roman" w:hAnsi="Times New Roman" w:cs="Times New Roman"/>
          <w:color w:val="000000" w:themeColor="text1"/>
          <w:sz w:val="20"/>
          <w:szCs w:val="20"/>
        </w:rPr>
        <w:t>LIAB</w:t>
      </w:r>
      <w:r w:rsidR="006C64C7">
        <w:rPr>
          <w:rFonts w:ascii="Times New Roman" w:hAnsi="Times New Roman" w:cs="Times New Roman"/>
          <w:color w:val="000000" w:themeColor="text1"/>
          <w:sz w:val="20"/>
          <w:szCs w:val="20"/>
        </w:rPr>
        <w:t xml:space="preserve"> 6</w:t>
      </w:r>
      <w:r w:rsidRPr="00D43D39" w:rsidR="001F072D">
        <w:rPr>
          <w:rFonts w:ascii="Times New Roman" w:hAnsi="Times New Roman" w:cs="Times New Roman"/>
          <w:color w:val="000000" w:themeColor="text1"/>
          <w:sz w:val="20"/>
          <w:szCs w:val="20"/>
          <w:lang w:val="en-GB"/>
        </w:rPr>
        <w:t>)</w:t>
      </w:r>
      <w:r w:rsidRPr="00D43D39">
        <w:rPr>
          <w:rFonts w:ascii="Times New Roman" w:hAnsi="Times New Roman" w:cs="Times New Roman"/>
          <w:color w:val="000000" w:themeColor="text1"/>
          <w:sz w:val="20"/>
          <w:szCs w:val="20"/>
          <w:lang w:val="en-GB"/>
        </w:rPr>
        <w:t>’</w:t>
      </w:r>
      <w:r w:rsidR="00E84529">
        <w:rPr>
          <w:rFonts w:ascii="Times New Roman" w:hAnsi="Times New Roman" w:cs="Times New Roman"/>
          <w:color w:val="000000" w:themeColor="text1"/>
          <w:sz w:val="20"/>
          <w:szCs w:val="20"/>
          <w:lang w:val="en-GB"/>
        </w:rPr>
        <w:t>;</w:t>
      </w:r>
    </w:p>
    <w:p w:rsidRPr="00D43D39" w:rsidR="00A040CC" w:rsidP="005F5507" w:rsidRDefault="00A040CC" w14:paraId="6AE90BA8" w14:textId="2077D715">
      <w:pPr>
        <w:pStyle w:val="body"/>
        <w:numPr>
          <w:ilvl w:val="0"/>
          <w:numId w:val="208"/>
        </w:numPr>
        <w:rPr>
          <w:rFonts w:ascii="Times New Roman" w:hAnsi="Times New Roman" w:cs="Times New Roman"/>
          <w:color w:val="000000" w:themeColor="text1"/>
          <w:sz w:val="20"/>
          <w:szCs w:val="20"/>
          <w:lang w:val="fr-FR"/>
        </w:rPr>
      </w:pPr>
      <w:r w:rsidRPr="00D43D39">
        <w:rPr>
          <w:rFonts w:ascii="Times New Roman" w:hAnsi="Times New Roman" w:cs="Times New Roman"/>
          <w:color w:val="000000" w:themeColor="text1"/>
          <w:sz w:val="20"/>
          <w:szCs w:val="20"/>
          <w:lang w:val="fr-FR"/>
        </w:rPr>
        <w:t>‘</w:t>
      </w:r>
      <w:r w:rsidRPr="00D43D39" w:rsidR="004772F7">
        <w:rPr>
          <w:rFonts w:ascii="Times New Roman" w:hAnsi="Times New Roman" w:cs="Times New Roman"/>
          <w:color w:val="000000" w:themeColor="text1"/>
          <w:sz w:val="20"/>
          <w:szCs w:val="20"/>
          <w:lang w:val="fr-FR"/>
        </w:rPr>
        <w:t xml:space="preserve">Z </w:t>
      </w:r>
      <w:r w:rsidRPr="00D43D39">
        <w:rPr>
          <w:rFonts w:ascii="Times New Roman" w:hAnsi="Times New Roman" w:cs="Times New Roman"/>
          <w:color w:val="000000" w:themeColor="text1"/>
          <w:sz w:val="20"/>
          <w:szCs w:val="20"/>
          <w:lang w:val="fr-FR"/>
        </w:rPr>
        <w:t>06.00 - Deposit insurance (</w:t>
      </w:r>
      <w:r w:rsidRPr="006C64C7" w:rsidR="006C64C7">
        <w:rPr>
          <w:rFonts w:ascii="Times New Roman" w:hAnsi="Times New Roman" w:cs="Times New Roman"/>
          <w:color w:val="000000" w:themeColor="text1"/>
          <w:sz w:val="20"/>
          <w:szCs w:val="20"/>
          <w:lang w:val="fr-BE"/>
        </w:rPr>
        <w:t xml:space="preserve">LIAB </w:t>
      </w:r>
      <w:r w:rsidR="006C64C7">
        <w:rPr>
          <w:rFonts w:ascii="Times New Roman" w:hAnsi="Times New Roman" w:cs="Times New Roman"/>
          <w:color w:val="000000" w:themeColor="text1"/>
          <w:sz w:val="20"/>
          <w:szCs w:val="20"/>
          <w:lang w:val="fr-BE"/>
        </w:rPr>
        <w:t>7</w:t>
      </w:r>
      <w:r w:rsidRPr="00D43D39">
        <w:rPr>
          <w:rFonts w:ascii="Times New Roman" w:hAnsi="Times New Roman" w:cs="Times New Roman"/>
          <w:color w:val="000000" w:themeColor="text1"/>
          <w:sz w:val="20"/>
          <w:szCs w:val="20"/>
          <w:lang w:val="fr-FR"/>
        </w:rPr>
        <w:t>)’.</w:t>
      </w:r>
    </w:p>
    <w:p w:rsidRPr="00D43D39" w:rsidR="00BB5812" w:rsidP="00715DAB" w:rsidRDefault="00BB5812" w14:paraId="09711C0D" w14:textId="30831560">
      <w:pPr>
        <w:pStyle w:val="body"/>
        <w:numPr>
          <w:ilvl w:val="0"/>
          <w:numId w:val="6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‘Critical functions’ which provides an overview of critical functions</w:t>
      </w:r>
      <w:r w:rsidRPr="00D43D39" w:rsidR="00A040CC">
        <w:rPr>
          <w:rFonts w:ascii="Times New Roman" w:hAnsi="Times New Roman" w:cs="Times New Roman"/>
          <w:color w:val="000000" w:themeColor="text1"/>
          <w:sz w:val="20"/>
          <w:szCs w:val="20"/>
          <w:lang w:val="en-GB"/>
        </w:rPr>
        <w:t xml:space="preserve"> and maps them to legal entities, core business lines, critical services, financial market infrastructures and information systems. This block </w:t>
      </w:r>
      <w:r w:rsidRPr="00D43D39">
        <w:rPr>
          <w:rFonts w:ascii="Times New Roman" w:hAnsi="Times New Roman" w:cs="Times New Roman"/>
          <w:color w:val="000000" w:themeColor="text1"/>
          <w:sz w:val="20"/>
          <w:szCs w:val="20"/>
          <w:lang w:val="en-GB"/>
        </w:rPr>
        <w:t xml:space="preserve">consists of </w:t>
      </w:r>
      <w:r w:rsidRPr="00D43D39" w:rsidR="00A67C8F">
        <w:rPr>
          <w:rFonts w:ascii="Times New Roman" w:hAnsi="Times New Roman" w:cs="Times New Roman"/>
          <w:color w:val="000000" w:themeColor="text1"/>
          <w:sz w:val="20"/>
          <w:szCs w:val="20"/>
          <w:lang w:val="en-GB"/>
        </w:rPr>
        <w:t xml:space="preserve">4 </w:t>
      </w:r>
      <w:r w:rsidRPr="00D43D39">
        <w:rPr>
          <w:rFonts w:ascii="Times New Roman" w:hAnsi="Times New Roman" w:cs="Times New Roman"/>
          <w:color w:val="000000" w:themeColor="text1"/>
          <w:sz w:val="20"/>
          <w:szCs w:val="20"/>
          <w:lang w:val="en-GB"/>
        </w:rPr>
        <w:t>templates</w:t>
      </w:r>
      <w:r w:rsidRPr="00D43D39" w:rsidR="001F072D">
        <w:rPr>
          <w:rFonts w:ascii="Times New Roman" w:hAnsi="Times New Roman" w:cs="Times New Roman"/>
          <w:color w:val="000000" w:themeColor="text1"/>
          <w:sz w:val="20"/>
          <w:szCs w:val="20"/>
          <w:lang w:val="en-GB"/>
        </w:rPr>
        <w:t>:</w:t>
      </w:r>
    </w:p>
    <w:p w:rsidRPr="00D43D39" w:rsidR="00A67C8F" w:rsidP="005F5507" w:rsidRDefault="00A67C8F" w14:paraId="159BB053" w14:textId="0349FD94">
      <w:pPr>
        <w:pStyle w:val="body"/>
        <w:numPr>
          <w:ilvl w:val="1"/>
          <w:numId w:val="209"/>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Z 07.01 - Criticality assessment of economic functions (FUNC 1), </w:t>
      </w:r>
    </w:p>
    <w:p w:rsidRPr="00D43D39" w:rsidR="00A67C8F" w:rsidP="005F5507" w:rsidRDefault="00A67C8F" w14:paraId="6DE257F0" w14:textId="4891D076">
      <w:pPr>
        <w:pStyle w:val="body"/>
        <w:numPr>
          <w:ilvl w:val="1"/>
          <w:numId w:val="209"/>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Z 07.02 - Mapping of critical functions by legal entity (FUNC 2)’, </w:t>
      </w:r>
    </w:p>
    <w:p w:rsidRPr="00D43D39" w:rsidR="00A67C8F" w:rsidP="005F5507" w:rsidRDefault="00A67C8F" w14:paraId="580515D2" w14:textId="4DB2897B">
      <w:pPr>
        <w:pStyle w:val="body"/>
        <w:numPr>
          <w:ilvl w:val="1"/>
          <w:numId w:val="209"/>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Z 07.03 - Mapping of Core Business Lines </w:t>
      </w:r>
      <w:r w:rsidR="00D75270">
        <w:rPr>
          <w:rFonts w:ascii="Times New Roman" w:hAnsi="Times New Roman" w:cs="Times New Roman"/>
          <w:color w:val="000000" w:themeColor="text1"/>
          <w:sz w:val="20"/>
          <w:szCs w:val="20"/>
          <w:lang w:val="en-GB"/>
        </w:rPr>
        <w:t>to</w:t>
      </w:r>
      <w:r w:rsidRPr="00D43D39">
        <w:rPr>
          <w:rFonts w:ascii="Times New Roman" w:hAnsi="Times New Roman" w:cs="Times New Roman"/>
          <w:color w:val="000000" w:themeColor="text1"/>
          <w:sz w:val="20"/>
          <w:szCs w:val="20"/>
          <w:lang w:val="en-GB"/>
        </w:rPr>
        <w:t xml:space="preserve"> legal entit</w:t>
      </w:r>
      <w:r w:rsidR="00D75270">
        <w:rPr>
          <w:rFonts w:ascii="Times New Roman" w:hAnsi="Times New Roman" w:cs="Times New Roman"/>
          <w:color w:val="000000" w:themeColor="text1"/>
          <w:sz w:val="20"/>
          <w:szCs w:val="20"/>
          <w:lang w:val="en-GB"/>
        </w:rPr>
        <w:t>ies</w:t>
      </w:r>
      <w:r w:rsidRPr="00D43D39">
        <w:rPr>
          <w:rFonts w:ascii="Times New Roman" w:hAnsi="Times New Roman" w:cs="Times New Roman"/>
          <w:color w:val="000000" w:themeColor="text1"/>
          <w:sz w:val="20"/>
          <w:szCs w:val="20"/>
          <w:lang w:val="en-GB"/>
        </w:rPr>
        <w:t xml:space="preserve"> (FUNC 3) and </w:t>
      </w:r>
    </w:p>
    <w:p w:rsidRPr="00D43D39" w:rsidR="00A67C8F" w:rsidP="005F5507" w:rsidRDefault="00A67C8F" w14:paraId="013A8E4F" w14:textId="0B34BB68">
      <w:pPr>
        <w:pStyle w:val="body"/>
        <w:numPr>
          <w:ilvl w:val="1"/>
          <w:numId w:val="209"/>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07.04 - Mapping of critical functions to core business lines (FUNC 4);</w:t>
      </w:r>
    </w:p>
    <w:p w:rsidRPr="00D43D39" w:rsidR="00A67C8F" w:rsidP="00715DAB" w:rsidRDefault="00A67C8F" w14:paraId="0BFA1758" w14:textId="5D74AF56">
      <w:pPr>
        <w:pStyle w:val="body"/>
        <w:numPr>
          <w:ilvl w:val="0"/>
          <w:numId w:val="61"/>
        </w:numPr>
        <w:rPr>
          <w:rFonts w:ascii="Times New Roman" w:hAnsi="Times New Roman" w:cs="Times New Roman"/>
          <w:color w:val="000000" w:themeColor="text1"/>
          <w:sz w:val="20"/>
          <w:szCs w:val="20"/>
          <w:lang w:val="en-GB"/>
        </w:rPr>
      </w:pPr>
      <w:bookmarkStart w:name="_Hlk160696385" w:id="5"/>
      <w:r w:rsidRPr="00D43D39">
        <w:rPr>
          <w:rFonts w:ascii="Times New Roman" w:hAnsi="Times New Roman" w:cs="Times New Roman"/>
          <w:color w:val="000000" w:themeColor="text1"/>
          <w:sz w:val="20"/>
          <w:szCs w:val="20"/>
          <w:lang w:val="en-GB"/>
        </w:rPr>
        <w:t>Services and Entities, which provides a breakdown of users and providers of services, and maps them to economic functions and business lines</w:t>
      </w:r>
      <w:bookmarkEnd w:id="5"/>
      <w:r w:rsidRPr="00D43D39">
        <w:rPr>
          <w:rFonts w:ascii="Times New Roman" w:hAnsi="Times New Roman" w:cs="Times New Roman"/>
          <w:color w:val="000000" w:themeColor="text1"/>
          <w:sz w:val="20"/>
          <w:szCs w:val="20"/>
          <w:lang w:val="en-GB"/>
        </w:rPr>
        <w:t>:</w:t>
      </w:r>
    </w:p>
    <w:p w:rsidRPr="00D43D39" w:rsidR="00A67C8F" w:rsidP="005F5507" w:rsidRDefault="00A67C8F" w14:paraId="6077521A" w14:textId="01360071">
      <w:pPr>
        <w:pStyle w:val="body"/>
        <w:numPr>
          <w:ilvl w:val="1"/>
          <w:numId w:val="210"/>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08.01</w:t>
      </w:r>
      <w:r w:rsidR="00E84529">
        <w:rPr>
          <w:rFonts w:ascii="Times New Roman" w:hAnsi="Times New Roman" w:cs="Times New Roman"/>
          <w:color w:val="000000" w:themeColor="text1"/>
          <w:sz w:val="20"/>
          <w:szCs w:val="20"/>
          <w:lang w:val="en-GB"/>
        </w:rPr>
        <w:t xml:space="preserve"> – Relevant </w:t>
      </w:r>
      <w:r w:rsidRPr="00D43D39">
        <w:rPr>
          <w:rFonts w:ascii="Times New Roman" w:hAnsi="Times New Roman" w:cs="Times New Roman"/>
          <w:color w:val="000000" w:themeColor="text1"/>
          <w:sz w:val="20"/>
          <w:szCs w:val="20"/>
          <w:lang w:val="en-GB"/>
        </w:rPr>
        <w:t>Services</w:t>
      </w:r>
      <w:r w:rsidR="00E84529">
        <w:rPr>
          <w:rFonts w:ascii="Times New Roman" w:hAnsi="Times New Roman" w:cs="Times New Roman"/>
          <w:color w:val="000000" w:themeColor="text1"/>
          <w:sz w:val="20"/>
          <w:szCs w:val="20"/>
          <w:lang w:val="en-GB"/>
        </w:rPr>
        <w:t xml:space="preserve"> (SERV 1)</w:t>
      </w:r>
    </w:p>
    <w:p w:rsidRPr="00D43D39" w:rsidR="00A67C8F" w:rsidP="005F5507" w:rsidRDefault="00A67C8F" w14:paraId="0D5689CD" w14:textId="59D1431B">
      <w:pPr>
        <w:pStyle w:val="body"/>
        <w:numPr>
          <w:ilvl w:val="1"/>
          <w:numId w:val="210"/>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08.02</w:t>
      </w:r>
      <w:r w:rsidR="00E84529">
        <w:rPr>
          <w:rFonts w:ascii="Times New Roman" w:hAnsi="Times New Roman" w:cs="Times New Roman"/>
          <w:color w:val="000000" w:themeColor="text1"/>
          <w:sz w:val="20"/>
          <w:szCs w:val="20"/>
          <w:lang w:val="en-GB"/>
        </w:rPr>
        <w:t xml:space="preserve"> – Relevant</w:t>
      </w:r>
      <w:r w:rsidRPr="00D43D39" w:rsidR="00E84529">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Services –</w:t>
      </w:r>
      <w:r w:rsidR="00E84529">
        <w:rPr>
          <w:rFonts w:ascii="Times New Roman" w:hAnsi="Times New Roman" w:cs="Times New Roman"/>
          <w:color w:val="000000" w:themeColor="text1"/>
          <w:sz w:val="20"/>
          <w:szCs w:val="20"/>
          <w:lang w:val="en-GB"/>
        </w:rPr>
        <w:t xml:space="preserve"> M</w:t>
      </w:r>
      <w:r w:rsidRPr="00E84529" w:rsidR="00E84529">
        <w:rPr>
          <w:rFonts w:ascii="Times New Roman" w:hAnsi="Times New Roman" w:cs="Times New Roman"/>
          <w:color w:val="000000" w:themeColor="text1"/>
          <w:sz w:val="20"/>
          <w:szCs w:val="20"/>
          <w:lang w:val="en-GB"/>
        </w:rPr>
        <w:t>apping to assets (SERV 2)</w:t>
      </w:r>
    </w:p>
    <w:p w:rsidRPr="00D43D39" w:rsidR="00A67C8F" w:rsidP="005F5507" w:rsidRDefault="00A67C8F" w14:paraId="726CA0D8" w14:textId="7EF1C181">
      <w:pPr>
        <w:pStyle w:val="body"/>
        <w:numPr>
          <w:ilvl w:val="1"/>
          <w:numId w:val="210"/>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Z 08.03 – </w:t>
      </w:r>
      <w:r w:rsidR="00E84529">
        <w:rPr>
          <w:rFonts w:ascii="Times New Roman" w:hAnsi="Times New Roman" w:cs="Times New Roman"/>
          <w:color w:val="000000" w:themeColor="text1"/>
          <w:sz w:val="20"/>
          <w:szCs w:val="20"/>
          <w:lang w:val="en-GB"/>
        </w:rPr>
        <w:t>Relevant</w:t>
      </w:r>
      <w:r w:rsidRPr="00D43D39" w:rsidR="00E84529">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 xml:space="preserve">Services – </w:t>
      </w:r>
      <w:r w:rsidR="00E84529">
        <w:rPr>
          <w:rFonts w:ascii="Times New Roman" w:hAnsi="Times New Roman" w:cs="Times New Roman"/>
          <w:color w:val="000000" w:themeColor="text1"/>
          <w:sz w:val="20"/>
          <w:szCs w:val="20"/>
          <w:lang w:val="en-GB"/>
        </w:rPr>
        <w:t>M</w:t>
      </w:r>
      <w:r w:rsidRPr="00E84529" w:rsidR="00E84529">
        <w:rPr>
          <w:rFonts w:ascii="Times New Roman" w:hAnsi="Times New Roman" w:cs="Times New Roman"/>
          <w:color w:val="000000" w:themeColor="text1"/>
          <w:sz w:val="20"/>
          <w:szCs w:val="20"/>
          <w:lang w:val="en-GB"/>
        </w:rPr>
        <w:t>apping to roles (SERV 3)</w:t>
      </w:r>
    </w:p>
    <w:p w:rsidR="00A67C8F" w:rsidRDefault="00A67C8F" w14:paraId="7376F25C" w14:textId="4C083BAC">
      <w:pPr>
        <w:pStyle w:val="body"/>
        <w:numPr>
          <w:ilvl w:val="1"/>
          <w:numId w:val="210"/>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Z 08.04 </w:t>
      </w:r>
      <w:r w:rsidR="00E84529">
        <w:rPr>
          <w:rFonts w:ascii="Times New Roman" w:hAnsi="Times New Roman" w:cs="Times New Roman"/>
          <w:color w:val="000000" w:themeColor="text1"/>
          <w:sz w:val="20"/>
          <w:szCs w:val="20"/>
          <w:lang w:val="en-GB"/>
        </w:rPr>
        <w:t>– Relevant</w:t>
      </w:r>
      <w:r w:rsidRPr="00D43D39" w:rsidR="00E84529">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 xml:space="preserve">Services – </w:t>
      </w:r>
      <w:r w:rsidR="00E84529">
        <w:rPr>
          <w:rFonts w:ascii="Times New Roman" w:hAnsi="Times New Roman" w:cs="Times New Roman"/>
          <w:color w:val="000000" w:themeColor="text1"/>
          <w:sz w:val="20"/>
          <w:szCs w:val="20"/>
          <w:lang w:val="en-GB"/>
        </w:rPr>
        <w:t>M</w:t>
      </w:r>
      <w:r w:rsidRPr="00E84529" w:rsidR="00E84529">
        <w:rPr>
          <w:rFonts w:ascii="Times New Roman" w:hAnsi="Times New Roman" w:cs="Times New Roman"/>
          <w:color w:val="000000" w:themeColor="text1"/>
          <w:sz w:val="20"/>
          <w:szCs w:val="20"/>
          <w:lang w:val="en-GB"/>
        </w:rPr>
        <w:t>apping to critical functions (SERV 4)</w:t>
      </w:r>
    </w:p>
    <w:p w:rsidRPr="00D43D39" w:rsidR="000974FB" w:rsidP="005F5507" w:rsidRDefault="000974FB" w14:paraId="72E61FA8" w14:textId="7565B8F9">
      <w:pPr>
        <w:pStyle w:val="body"/>
        <w:numPr>
          <w:ilvl w:val="1"/>
          <w:numId w:val="210"/>
        </w:numP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Z 08.05 – Relevant Services – Mapping to core business lines (SERV 5)</w:t>
      </w:r>
    </w:p>
    <w:p w:rsidRPr="00D43D39" w:rsidR="00A67C8F" w:rsidRDefault="00A67C8F" w14:paraId="12C971AF" w14:textId="5DC54BAC">
      <w:pPr>
        <w:pStyle w:val="body"/>
        <w:numPr>
          <w:ilvl w:val="0"/>
          <w:numId w:val="6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Reporting on FMI Services</w:t>
      </w:r>
    </w:p>
    <w:p w:rsidRPr="00D43D39" w:rsidR="00A67C8F" w:rsidP="005F5507" w:rsidRDefault="00A67C8F" w14:paraId="354E50C2" w14:textId="4F3AEFC8">
      <w:pPr>
        <w:pStyle w:val="body"/>
        <w:numPr>
          <w:ilvl w:val="1"/>
          <w:numId w:val="21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09.01 – FMI Services – Providers and Users</w:t>
      </w:r>
      <w:r w:rsidR="00B94029">
        <w:rPr>
          <w:rFonts w:ascii="Times New Roman" w:hAnsi="Times New Roman" w:cs="Times New Roman"/>
          <w:color w:val="000000" w:themeColor="text1"/>
          <w:sz w:val="20"/>
          <w:szCs w:val="20"/>
          <w:lang w:val="en-GB"/>
        </w:rPr>
        <w:t xml:space="preserve"> (FMI 1)</w:t>
      </w:r>
    </w:p>
    <w:p w:rsidRPr="00D43D39" w:rsidR="00A67C8F" w:rsidP="005F5507" w:rsidRDefault="00A67C8F" w14:paraId="098355E3" w14:textId="2D1E3990">
      <w:pPr>
        <w:pStyle w:val="body"/>
        <w:numPr>
          <w:ilvl w:val="1"/>
          <w:numId w:val="21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09.0</w:t>
      </w:r>
      <w:r w:rsidRPr="00D43D39" w:rsidR="005D2EA4">
        <w:rPr>
          <w:rFonts w:ascii="Times New Roman" w:hAnsi="Times New Roman" w:cs="Times New Roman"/>
          <w:color w:val="000000" w:themeColor="text1"/>
          <w:sz w:val="20"/>
          <w:szCs w:val="20"/>
          <w:lang w:val="en-GB"/>
        </w:rPr>
        <w:t>2</w:t>
      </w:r>
      <w:r w:rsidRPr="00D43D39">
        <w:rPr>
          <w:rFonts w:ascii="Times New Roman" w:hAnsi="Times New Roman" w:cs="Times New Roman"/>
          <w:color w:val="000000" w:themeColor="text1"/>
          <w:sz w:val="20"/>
          <w:szCs w:val="20"/>
          <w:lang w:val="en-GB"/>
        </w:rPr>
        <w:t xml:space="preserve"> – FMI Services – Mapping to </w:t>
      </w:r>
      <w:r w:rsidRPr="006167BA" w:rsidR="006167BA">
        <w:rPr>
          <w:rFonts w:ascii="Times New Roman" w:hAnsi="Times New Roman" w:cs="Times New Roman"/>
          <w:color w:val="000000" w:themeColor="text1"/>
          <w:sz w:val="20"/>
          <w:szCs w:val="20"/>
          <w:lang w:val="en-GB"/>
        </w:rPr>
        <w:t>Critical and Essential FMIs</w:t>
      </w:r>
      <w:r w:rsidR="00B94029">
        <w:rPr>
          <w:rFonts w:ascii="Times New Roman" w:hAnsi="Times New Roman" w:cs="Times New Roman"/>
          <w:color w:val="000000" w:themeColor="text1"/>
          <w:sz w:val="20"/>
          <w:szCs w:val="20"/>
          <w:lang w:val="en-GB"/>
        </w:rPr>
        <w:t xml:space="preserve"> (FMI 2)</w:t>
      </w:r>
    </w:p>
    <w:p w:rsidRPr="00D43D39" w:rsidR="00A67C8F" w:rsidP="005F5507" w:rsidRDefault="00A67C8F" w14:paraId="5E7F4576" w14:textId="6B1F40DA">
      <w:pPr>
        <w:pStyle w:val="body"/>
        <w:numPr>
          <w:ilvl w:val="1"/>
          <w:numId w:val="21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09.0</w:t>
      </w:r>
      <w:r w:rsidRPr="00D43D39" w:rsidR="005D2EA4">
        <w:rPr>
          <w:rFonts w:ascii="Times New Roman" w:hAnsi="Times New Roman" w:cs="Times New Roman"/>
          <w:color w:val="000000" w:themeColor="text1"/>
          <w:sz w:val="20"/>
          <w:szCs w:val="20"/>
          <w:lang w:val="en-GB"/>
        </w:rPr>
        <w:t>3</w:t>
      </w:r>
      <w:r w:rsidRPr="00D43D39">
        <w:rPr>
          <w:rFonts w:ascii="Times New Roman" w:hAnsi="Times New Roman" w:cs="Times New Roman"/>
          <w:color w:val="000000" w:themeColor="text1"/>
          <w:sz w:val="20"/>
          <w:szCs w:val="20"/>
          <w:lang w:val="en-GB"/>
        </w:rPr>
        <w:t xml:space="preserve"> – FMI Services – </w:t>
      </w:r>
      <w:r w:rsidRPr="00BC38B6" w:rsidR="006167BA">
        <w:rPr>
          <w:rFonts w:ascii="Times New Roman" w:hAnsi="Times New Roman" w:cs="Times New Roman"/>
          <w:color w:val="000000" w:themeColor="text1"/>
          <w:sz w:val="20"/>
          <w:szCs w:val="20"/>
          <w:lang w:val="en-GB"/>
        </w:rPr>
        <w:t>Key Metrics</w:t>
      </w:r>
      <w:r w:rsidR="00B94029">
        <w:rPr>
          <w:rFonts w:ascii="Times New Roman" w:hAnsi="Times New Roman" w:cs="Times New Roman"/>
          <w:color w:val="000000" w:themeColor="text1"/>
          <w:sz w:val="20"/>
          <w:szCs w:val="20"/>
          <w:lang w:val="en-GB"/>
        </w:rPr>
        <w:t xml:space="preserve"> (FMI 3)</w:t>
      </w:r>
    </w:p>
    <w:p w:rsidRPr="00D43D39" w:rsidR="00A67C8F" w:rsidP="005F5507" w:rsidRDefault="00A67C8F" w14:paraId="71141F24" w14:textId="3FB8BA12">
      <w:pPr>
        <w:pStyle w:val="body"/>
        <w:numPr>
          <w:ilvl w:val="1"/>
          <w:numId w:val="21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09.0</w:t>
      </w:r>
      <w:r w:rsidRPr="00D43D39" w:rsidR="005D2EA4">
        <w:rPr>
          <w:rFonts w:ascii="Times New Roman" w:hAnsi="Times New Roman" w:cs="Times New Roman"/>
          <w:color w:val="000000" w:themeColor="text1"/>
          <w:sz w:val="20"/>
          <w:szCs w:val="20"/>
          <w:lang w:val="en-GB"/>
        </w:rPr>
        <w:t>4</w:t>
      </w:r>
      <w:r w:rsidRPr="00D43D39">
        <w:rPr>
          <w:rFonts w:ascii="Times New Roman" w:hAnsi="Times New Roman" w:cs="Times New Roman"/>
          <w:color w:val="000000" w:themeColor="text1"/>
          <w:sz w:val="20"/>
          <w:szCs w:val="20"/>
          <w:lang w:val="en-GB"/>
        </w:rPr>
        <w:t xml:space="preserve"> – FMI Services – </w:t>
      </w:r>
      <w:r w:rsidRPr="006167BA" w:rsidR="006167BA">
        <w:rPr>
          <w:rFonts w:ascii="Times New Roman" w:hAnsi="Times New Roman" w:cs="Times New Roman"/>
          <w:color w:val="000000" w:themeColor="text1"/>
          <w:sz w:val="20"/>
          <w:szCs w:val="20"/>
          <w:lang w:val="en-GB"/>
        </w:rPr>
        <w:t>CCPs- Alternative provider</w:t>
      </w:r>
      <w:r w:rsidR="00B94029">
        <w:rPr>
          <w:rFonts w:ascii="Times New Roman" w:hAnsi="Times New Roman" w:cs="Times New Roman"/>
          <w:color w:val="000000" w:themeColor="text1"/>
          <w:sz w:val="20"/>
          <w:szCs w:val="20"/>
          <w:lang w:val="en-GB"/>
        </w:rPr>
        <w:t xml:space="preserve"> (FMI 4)</w:t>
      </w:r>
    </w:p>
    <w:p w:rsidRPr="00D43D39" w:rsidR="00CB1461" w:rsidP="00CB1461" w:rsidRDefault="00CB1461" w14:paraId="6ED9C7B5" w14:textId="729ED95B">
      <w:pPr>
        <w:pStyle w:val="body"/>
        <w:numPr>
          <w:ilvl w:val="0"/>
          <w:numId w:val="6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Granular Reporting of Liability data for Bail-</w:t>
      </w:r>
      <w:r w:rsidRPr="00D43D39" w:rsidR="002E5E2F">
        <w:rPr>
          <w:rFonts w:ascii="Times New Roman" w:hAnsi="Times New Roman" w:cs="Times New Roman"/>
          <w:color w:val="000000" w:themeColor="text1"/>
          <w:sz w:val="20"/>
          <w:szCs w:val="20"/>
          <w:lang w:val="en-GB"/>
        </w:rPr>
        <w:t>i</w:t>
      </w:r>
      <w:r w:rsidRPr="00D43D39">
        <w:rPr>
          <w:rFonts w:ascii="Times New Roman" w:hAnsi="Times New Roman" w:cs="Times New Roman"/>
          <w:color w:val="000000" w:themeColor="text1"/>
          <w:sz w:val="20"/>
          <w:szCs w:val="20"/>
          <w:lang w:val="en-GB"/>
        </w:rPr>
        <w:t>n assessment</w:t>
      </w:r>
    </w:p>
    <w:p w:rsidRPr="00D43D39" w:rsidR="00CB1461" w:rsidP="005F5507" w:rsidRDefault="00CB1461" w14:paraId="33CF6317" w14:textId="587A3EF2">
      <w:pPr>
        <w:pStyle w:val="body"/>
        <w:numPr>
          <w:ilvl w:val="0"/>
          <w:numId w:val="217"/>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.01 – Intragroup Liabilities</w:t>
      </w:r>
      <w:r w:rsidR="006167BA">
        <w:rPr>
          <w:rFonts w:ascii="Times New Roman" w:hAnsi="Times New Roman" w:cs="Times New Roman"/>
          <w:color w:val="000000" w:themeColor="text1"/>
          <w:sz w:val="20"/>
          <w:szCs w:val="20"/>
          <w:lang w:val="en-GB"/>
        </w:rPr>
        <w:t xml:space="preserve"> (excluding Derivatives)</w:t>
      </w:r>
      <w:r w:rsidR="00B94029">
        <w:rPr>
          <w:rFonts w:ascii="Times New Roman" w:hAnsi="Times New Roman" w:cs="Times New Roman"/>
          <w:color w:val="000000" w:themeColor="text1"/>
          <w:sz w:val="20"/>
          <w:szCs w:val="20"/>
          <w:lang w:val="en-GB"/>
        </w:rPr>
        <w:t xml:space="preserve"> (LIAB-G-1)</w:t>
      </w:r>
    </w:p>
    <w:p w:rsidRPr="00D43D39" w:rsidR="00CB1461" w:rsidP="005F5507" w:rsidRDefault="00CB1461" w14:paraId="0AF8A8E1" w14:textId="136AB985">
      <w:pPr>
        <w:pStyle w:val="body"/>
        <w:numPr>
          <w:ilvl w:val="0"/>
          <w:numId w:val="217"/>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w:t>
      </w:r>
      <w:r w:rsidR="006167BA">
        <w:rPr>
          <w:rFonts w:ascii="Times New Roman" w:hAnsi="Times New Roman" w:cs="Times New Roman"/>
          <w:color w:val="000000" w:themeColor="text1"/>
          <w:sz w:val="20"/>
          <w:szCs w:val="20"/>
          <w:lang w:val="en-GB"/>
        </w:rPr>
        <w:t>2</w:t>
      </w:r>
      <w:r w:rsidRPr="00D43D39">
        <w:rPr>
          <w:rFonts w:ascii="Times New Roman" w:hAnsi="Times New Roman" w:cs="Times New Roman"/>
          <w:color w:val="000000" w:themeColor="text1"/>
          <w:sz w:val="20"/>
          <w:szCs w:val="20"/>
          <w:lang w:val="en-GB"/>
        </w:rPr>
        <w:t xml:space="preserve"> </w:t>
      </w:r>
      <w:r w:rsidRPr="00D43D39" w:rsidR="002E5E2F">
        <w:rPr>
          <w:rFonts w:ascii="Times New Roman" w:hAnsi="Times New Roman" w:cs="Times New Roman"/>
          <w:color w:val="000000" w:themeColor="text1"/>
          <w:sz w:val="20"/>
          <w:szCs w:val="20"/>
          <w:lang w:val="en-GB"/>
        </w:rPr>
        <w:t>–</w:t>
      </w:r>
      <w:r w:rsidRPr="00D43D39">
        <w:rPr>
          <w:rFonts w:ascii="Times New Roman" w:hAnsi="Times New Roman" w:cs="Times New Roman"/>
          <w:color w:val="000000" w:themeColor="text1"/>
          <w:sz w:val="20"/>
          <w:szCs w:val="20"/>
          <w:lang w:val="en-GB"/>
        </w:rPr>
        <w:t xml:space="preserve"> Securities</w:t>
      </w:r>
      <w:r w:rsidRPr="00D43D39" w:rsidR="002E5E2F">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(including CET1, AT1 &amp; Tier 2 instruments, excluding intragroup)</w:t>
      </w:r>
      <w:r w:rsidR="00B94029">
        <w:rPr>
          <w:rFonts w:ascii="Times New Roman" w:hAnsi="Times New Roman" w:cs="Times New Roman"/>
          <w:color w:val="000000" w:themeColor="text1"/>
          <w:sz w:val="20"/>
          <w:szCs w:val="20"/>
          <w:lang w:val="en-GB"/>
        </w:rPr>
        <w:t xml:space="preserve"> (LIAB-G-2)</w:t>
      </w:r>
    </w:p>
    <w:p w:rsidRPr="00D43D39" w:rsidR="00CB1461" w:rsidP="005F5507" w:rsidRDefault="00CB1461" w14:paraId="00737E62" w14:textId="2A6F4AAD">
      <w:pPr>
        <w:pStyle w:val="body"/>
        <w:numPr>
          <w:ilvl w:val="0"/>
          <w:numId w:val="217"/>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w:t>
      </w:r>
      <w:r w:rsidR="006167BA">
        <w:rPr>
          <w:rFonts w:ascii="Times New Roman" w:hAnsi="Times New Roman" w:cs="Times New Roman"/>
          <w:color w:val="000000" w:themeColor="text1"/>
          <w:sz w:val="20"/>
          <w:szCs w:val="20"/>
          <w:lang w:val="en-GB"/>
        </w:rPr>
        <w:t>3</w:t>
      </w:r>
      <w:r w:rsidRPr="00D43D39">
        <w:rPr>
          <w:rFonts w:ascii="Times New Roman" w:hAnsi="Times New Roman" w:cs="Times New Roman"/>
          <w:color w:val="000000" w:themeColor="text1"/>
          <w:sz w:val="20"/>
          <w:szCs w:val="20"/>
          <w:lang w:val="en-GB"/>
        </w:rPr>
        <w:t xml:space="preserve"> – All Deposits (excluding intragroup)</w:t>
      </w:r>
      <w:r w:rsidR="00B94029">
        <w:rPr>
          <w:rFonts w:ascii="Times New Roman" w:hAnsi="Times New Roman" w:cs="Times New Roman"/>
          <w:color w:val="000000" w:themeColor="text1"/>
          <w:sz w:val="20"/>
          <w:szCs w:val="20"/>
          <w:lang w:val="en-GB"/>
        </w:rPr>
        <w:t xml:space="preserve"> (LIAB-G-3)</w:t>
      </w:r>
    </w:p>
    <w:p w:rsidRPr="00D43D39" w:rsidR="00CB1461" w:rsidP="005F5507" w:rsidRDefault="00CB1461" w14:paraId="69C42EE2" w14:textId="005BF0F2">
      <w:pPr>
        <w:pStyle w:val="body"/>
        <w:numPr>
          <w:ilvl w:val="0"/>
          <w:numId w:val="217"/>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w:t>
      </w:r>
      <w:r w:rsidR="006167BA">
        <w:rPr>
          <w:rFonts w:ascii="Times New Roman" w:hAnsi="Times New Roman" w:cs="Times New Roman"/>
          <w:color w:val="000000" w:themeColor="text1"/>
          <w:sz w:val="20"/>
          <w:szCs w:val="20"/>
          <w:lang w:val="en-GB"/>
        </w:rPr>
        <w:t>4</w:t>
      </w:r>
      <w:r w:rsidRPr="00D43D39">
        <w:rPr>
          <w:rFonts w:ascii="Times New Roman" w:hAnsi="Times New Roman" w:cs="Times New Roman"/>
          <w:color w:val="000000" w:themeColor="text1"/>
          <w:sz w:val="20"/>
          <w:szCs w:val="20"/>
          <w:lang w:val="en-GB"/>
        </w:rPr>
        <w:t xml:space="preserve"> </w:t>
      </w:r>
      <w:r w:rsidRPr="00D43D39" w:rsidR="002E5E2F">
        <w:rPr>
          <w:rFonts w:ascii="Times New Roman" w:hAnsi="Times New Roman" w:cs="Times New Roman"/>
          <w:color w:val="000000" w:themeColor="text1"/>
          <w:sz w:val="20"/>
          <w:szCs w:val="20"/>
          <w:lang w:val="en-GB"/>
        </w:rPr>
        <w:t>–</w:t>
      </w:r>
      <w:r w:rsidRPr="00D43D39">
        <w:rPr>
          <w:rFonts w:ascii="Times New Roman" w:hAnsi="Times New Roman" w:cs="Times New Roman"/>
          <w:color w:val="000000" w:themeColor="text1"/>
          <w:sz w:val="20"/>
          <w:szCs w:val="20"/>
          <w:lang w:val="en-GB"/>
        </w:rPr>
        <w:t xml:space="preserve"> Other Financial Liabilities</w:t>
      </w:r>
      <w:r w:rsidR="00B94029">
        <w:rPr>
          <w:rFonts w:ascii="Times New Roman" w:hAnsi="Times New Roman" w:cs="Times New Roman"/>
          <w:color w:val="000000" w:themeColor="text1"/>
          <w:sz w:val="20"/>
          <w:szCs w:val="20"/>
          <w:lang w:val="en-GB"/>
        </w:rPr>
        <w:t xml:space="preserve"> (LIAB-G-4)</w:t>
      </w:r>
    </w:p>
    <w:p w:rsidRPr="006167BA" w:rsidR="00CB1461" w:rsidP="005F5507" w:rsidRDefault="00CB1461" w14:paraId="23FB30E7" w14:textId="5743C85F">
      <w:pPr>
        <w:pStyle w:val="body"/>
        <w:numPr>
          <w:ilvl w:val="1"/>
          <w:numId w:val="21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6167BA">
        <w:rPr>
          <w:rFonts w:ascii="Times New Roman" w:hAnsi="Times New Roman" w:cs="Times New Roman"/>
          <w:color w:val="000000" w:themeColor="text1"/>
          <w:sz w:val="20"/>
          <w:szCs w:val="20"/>
          <w:lang w:val="en-GB"/>
        </w:rPr>
        <w:t>.0</w:t>
      </w:r>
      <w:r w:rsidRPr="006167BA" w:rsidR="006167BA">
        <w:rPr>
          <w:rFonts w:ascii="Times New Roman" w:hAnsi="Times New Roman" w:cs="Times New Roman"/>
          <w:color w:val="000000" w:themeColor="text1"/>
          <w:sz w:val="20"/>
          <w:szCs w:val="20"/>
          <w:lang w:val="en-GB"/>
        </w:rPr>
        <w:t>5</w:t>
      </w:r>
      <w:r w:rsidRPr="006167BA">
        <w:rPr>
          <w:rFonts w:ascii="Times New Roman" w:hAnsi="Times New Roman" w:cs="Times New Roman"/>
          <w:color w:val="000000" w:themeColor="text1"/>
          <w:sz w:val="20"/>
          <w:szCs w:val="20"/>
          <w:lang w:val="en-GB"/>
        </w:rPr>
        <w:t xml:space="preserve"> – Derivatives</w:t>
      </w:r>
      <w:r w:rsidR="00B94029">
        <w:rPr>
          <w:rFonts w:ascii="Times New Roman" w:hAnsi="Times New Roman" w:cs="Times New Roman"/>
          <w:color w:val="000000" w:themeColor="text1"/>
          <w:sz w:val="20"/>
          <w:szCs w:val="20"/>
          <w:lang w:val="en-GB"/>
        </w:rPr>
        <w:t xml:space="preserve"> (LIAB-G-5)</w:t>
      </w:r>
    </w:p>
    <w:p w:rsidRPr="00D43D39" w:rsidR="00CB1461" w:rsidP="005F5507" w:rsidRDefault="00CB1461" w14:paraId="1135CFEF" w14:textId="355165BB">
      <w:pPr>
        <w:pStyle w:val="body"/>
        <w:numPr>
          <w:ilvl w:val="1"/>
          <w:numId w:val="21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w:t>
      </w:r>
      <w:r w:rsidR="006167BA">
        <w:rPr>
          <w:rFonts w:ascii="Times New Roman" w:hAnsi="Times New Roman" w:cs="Times New Roman"/>
          <w:color w:val="000000" w:themeColor="text1"/>
          <w:sz w:val="20"/>
          <w:szCs w:val="20"/>
          <w:lang w:val="en-GB"/>
        </w:rPr>
        <w:t>6</w:t>
      </w:r>
      <w:r w:rsidRPr="00D43D39">
        <w:rPr>
          <w:rFonts w:ascii="Times New Roman" w:hAnsi="Times New Roman" w:cs="Times New Roman"/>
          <w:color w:val="000000" w:themeColor="text1"/>
          <w:sz w:val="20"/>
          <w:szCs w:val="20"/>
          <w:lang w:val="en-GB"/>
        </w:rPr>
        <w:t xml:space="preserve"> </w:t>
      </w:r>
      <w:r w:rsidRPr="00D43D39" w:rsidR="002E5E2F">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Secured Finance, excluding intragroup</w:t>
      </w:r>
      <w:r w:rsidR="00B94029">
        <w:rPr>
          <w:rFonts w:ascii="Times New Roman" w:hAnsi="Times New Roman" w:cs="Times New Roman"/>
          <w:color w:val="000000" w:themeColor="text1"/>
          <w:sz w:val="20"/>
          <w:szCs w:val="20"/>
          <w:lang w:val="en-GB"/>
        </w:rPr>
        <w:t xml:space="preserve"> (LIAB-G-6)</w:t>
      </w:r>
    </w:p>
    <w:p w:rsidRPr="00D43D39" w:rsidR="00CB1461" w:rsidP="005F5507" w:rsidRDefault="00CB1461" w14:paraId="35F66F9C" w14:textId="08F1A77F">
      <w:pPr>
        <w:pStyle w:val="body"/>
        <w:numPr>
          <w:ilvl w:val="1"/>
          <w:numId w:val="211"/>
        </w:numPr>
        <w:rPr>
          <w:rFonts w:ascii="Times New Roman" w:hAnsi="Times New Roman" w:cs="Times New Roman"/>
          <w:color w:val="000000" w:themeColor="text1"/>
          <w:sz w:val="20"/>
          <w:szCs w:val="20"/>
          <w:lang w:val="fr-BE"/>
        </w:rPr>
      </w:pPr>
      <w:r w:rsidRPr="005F5507">
        <w:rPr>
          <w:rFonts w:ascii="Times New Roman" w:hAnsi="Times New Roman" w:cs="Times New Roman"/>
          <w:color w:val="000000" w:themeColor="text1"/>
          <w:sz w:val="20"/>
          <w:szCs w:val="20"/>
          <w:lang w:val="fr-BE"/>
        </w:rPr>
        <w:t>Z 1</w:t>
      </w:r>
      <w:r w:rsidR="006167BA">
        <w:rPr>
          <w:rFonts w:ascii="Times New Roman" w:hAnsi="Times New Roman" w:cs="Times New Roman"/>
          <w:color w:val="000000" w:themeColor="text1"/>
          <w:sz w:val="20"/>
          <w:szCs w:val="20"/>
          <w:lang w:val="fr-BE"/>
        </w:rPr>
        <w:t>0</w:t>
      </w:r>
      <w:r w:rsidRPr="005F5507">
        <w:rPr>
          <w:rFonts w:ascii="Times New Roman" w:hAnsi="Times New Roman" w:cs="Times New Roman"/>
          <w:color w:val="000000" w:themeColor="text1"/>
          <w:sz w:val="20"/>
          <w:szCs w:val="20"/>
          <w:lang w:val="fr-BE"/>
        </w:rPr>
        <w:t>.0</w:t>
      </w:r>
      <w:r w:rsidR="006167BA">
        <w:rPr>
          <w:rFonts w:ascii="Times New Roman" w:hAnsi="Times New Roman" w:cs="Times New Roman"/>
          <w:color w:val="000000" w:themeColor="text1"/>
          <w:sz w:val="20"/>
          <w:szCs w:val="20"/>
          <w:lang w:val="fr-BE"/>
        </w:rPr>
        <w:t>7</w:t>
      </w:r>
      <w:r w:rsidRPr="005F5507">
        <w:rPr>
          <w:rFonts w:ascii="Times New Roman" w:hAnsi="Times New Roman" w:cs="Times New Roman"/>
          <w:color w:val="000000" w:themeColor="text1"/>
          <w:sz w:val="20"/>
          <w:szCs w:val="20"/>
          <w:lang w:val="fr-BE"/>
        </w:rPr>
        <w:t xml:space="preserve"> – Other Non-Financial Liabili</w:t>
      </w:r>
      <w:r w:rsidRPr="00D43D39">
        <w:rPr>
          <w:rFonts w:ascii="Times New Roman" w:hAnsi="Times New Roman" w:cs="Times New Roman"/>
          <w:color w:val="000000" w:themeColor="text1"/>
          <w:sz w:val="20"/>
          <w:szCs w:val="20"/>
          <w:lang w:val="fr-BE"/>
        </w:rPr>
        <w:t>ties</w:t>
      </w:r>
      <w:r w:rsidR="00B94029">
        <w:rPr>
          <w:rFonts w:ascii="Times New Roman" w:hAnsi="Times New Roman" w:cs="Times New Roman"/>
          <w:color w:val="000000" w:themeColor="text1"/>
          <w:sz w:val="20"/>
          <w:szCs w:val="20"/>
          <w:lang w:val="fr-BE"/>
        </w:rPr>
        <w:t xml:space="preserve"> </w:t>
      </w:r>
      <w:r w:rsidRPr="005F5507" w:rsidR="00B94029">
        <w:rPr>
          <w:rFonts w:ascii="Times New Roman" w:hAnsi="Times New Roman" w:cs="Times New Roman"/>
          <w:color w:val="000000" w:themeColor="text1"/>
          <w:sz w:val="20"/>
          <w:szCs w:val="20"/>
          <w:lang w:val="fr-BE"/>
        </w:rPr>
        <w:t>(LIAB-G-</w:t>
      </w:r>
      <w:r w:rsidR="00B94029">
        <w:rPr>
          <w:rFonts w:ascii="Times New Roman" w:hAnsi="Times New Roman" w:cs="Times New Roman"/>
          <w:color w:val="000000" w:themeColor="text1"/>
          <w:sz w:val="20"/>
          <w:szCs w:val="20"/>
          <w:lang w:val="fr-BE"/>
        </w:rPr>
        <w:t>7</w:t>
      </w:r>
      <w:r w:rsidRPr="005F5507" w:rsidR="00B94029">
        <w:rPr>
          <w:rFonts w:ascii="Times New Roman" w:hAnsi="Times New Roman" w:cs="Times New Roman"/>
          <w:color w:val="000000" w:themeColor="text1"/>
          <w:sz w:val="20"/>
          <w:szCs w:val="20"/>
          <w:lang w:val="fr-BE"/>
        </w:rPr>
        <w:t>)</w:t>
      </w:r>
    </w:p>
    <w:p w:rsidRPr="005F5507" w:rsidR="007708C5" w:rsidP="005F5507" w:rsidRDefault="007708C5" w14:paraId="502EF7B9" w14:textId="77777777">
      <w:pPr>
        <w:pStyle w:val="body"/>
        <w:ind w:left="426"/>
        <w:rPr>
          <w:rFonts w:ascii="Times New Roman" w:hAnsi="Times New Roman" w:cs="Times New Roman"/>
          <w:color w:val="000000" w:themeColor="text1"/>
          <w:sz w:val="20"/>
          <w:szCs w:val="20"/>
          <w:lang w:val="fr-BE"/>
        </w:rPr>
      </w:pPr>
    </w:p>
    <w:p w:rsidRPr="00D43D39" w:rsidR="00C93D9F" w:rsidP="5129E6BD" w:rsidRDefault="00C93D9F" w14:paraId="74C13BFF" w14:textId="77777777">
      <w:pPr>
        <w:pStyle w:val="Instructionsberschrift2"/>
        <w:numPr>
          <w:ilvl w:val="1"/>
          <w:numId w:val="49"/>
        </w:numPr>
        <w:ind w:left="357" w:hanging="357"/>
        <w:rPr>
          <w:rFonts w:ascii="Times New Roman" w:hAnsi="Times New Roman" w:cs="Times New Roman"/>
        </w:rPr>
      </w:pPr>
      <w:bookmarkStart w:name="_Toc81454172" w:id="6"/>
      <w:bookmarkStart w:name="_Toc172732215" w:id="7"/>
      <w:r w:rsidRPr="00D43D39">
        <w:rPr>
          <w:rFonts w:ascii="Times New Roman" w:hAnsi="Times New Roman" w:cs="Times New Roman"/>
        </w:rPr>
        <w:t>References</w:t>
      </w:r>
      <w:bookmarkEnd w:id="6"/>
      <w:bookmarkEnd w:id="7"/>
    </w:p>
    <w:p w:rsidRPr="00D43D39" w:rsidR="00C93D9F" w:rsidP="005F5507" w:rsidRDefault="00C93D9F" w14:paraId="3427A58A" w14:textId="77777777">
      <w:pPr>
        <w:pStyle w:val="InstructionsText2"/>
        <w:numPr>
          <w:ilvl w:val="0"/>
          <w:numId w:val="225"/>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For the purposes of this Annex, the following abbreviations shall apply:</w:t>
      </w:r>
    </w:p>
    <w:p w:rsidRPr="00D43D39" w:rsidR="00B466DD" w:rsidP="00715DAB" w:rsidRDefault="00B466DD" w14:paraId="43B7B5FE" w14:textId="77777777">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‘CPMI’ means the Committee on Payments and Market Infrastructures of the Bank for International Settlements</w:t>
      </w:r>
      <w:r w:rsidRPr="00D43D39" w:rsidR="004219AD">
        <w:rPr>
          <w:rFonts w:ascii="Times New Roman" w:hAnsi="Times New Roman"/>
          <w:color w:val="000000" w:themeColor="text1"/>
          <w:sz w:val="20"/>
          <w:szCs w:val="20"/>
          <w:lang w:eastAsia="en-GB"/>
        </w:rPr>
        <w:t>;</w:t>
      </w:r>
    </w:p>
    <w:p w:rsidRPr="00D43D39" w:rsidR="00E52C33" w:rsidP="007C4DBB" w:rsidRDefault="00E52C33" w14:paraId="79CD9A07" w14:textId="0C92BD95">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 xml:space="preserve">‘FINREP’ means financial information templates included in Annexes III and IV of, and complementary instructions included in Annex V of, </w:t>
      </w:r>
      <w:r w:rsidRPr="00D43D39" w:rsidR="00D920E5">
        <w:rPr>
          <w:rFonts w:ascii="Times New Roman" w:hAnsi="Times New Roman"/>
          <w:color w:val="000000" w:themeColor="text1"/>
          <w:sz w:val="20"/>
          <w:szCs w:val="20"/>
          <w:lang w:eastAsia="en-GB"/>
        </w:rPr>
        <w:t xml:space="preserve">Commission Implementing Regulation (EU) No </w:t>
      </w:r>
      <w:r w:rsidR="00EC4F68">
        <w:rPr>
          <w:rFonts w:ascii="Times New Roman" w:hAnsi="Times New Roman"/>
          <w:color w:val="000000" w:themeColor="text1"/>
          <w:sz w:val="20"/>
          <w:szCs w:val="20"/>
          <w:lang w:eastAsia="en-GB"/>
        </w:rPr>
        <w:t>2021/451</w:t>
      </w:r>
      <w:r w:rsidRPr="00D43D39" w:rsidR="00D920E5">
        <w:rPr>
          <w:rStyle w:val="FootnoteReference"/>
          <w:rFonts w:ascii="Times New Roman" w:hAnsi="Times New Roman"/>
          <w:sz w:val="20"/>
          <w:szCs w:val="20"/>
        </w:rPr>
        <w:footnoteReference w:id="2"/>
      </w:r>
      <w:r w:rsidRPr="00D43D39" w:rsidR="004219AD">
        <w:rPr>
          <w:rFonts w:ascii="Times New Roman" w:hAnsi="Times New Roman"/>
          <w:color w:val="000000" w:themeColor="text1"/>
          <w:sz w:val="20"/>
          <w:szCs w:val="20"/>
          <w:lang w:eastAsia="en-GB"/>
        </w:rPr>
        <w:t>;</w:t>
      </w:r>
    </w:p>
    <w:p w:rsidRPr="00D43D39" w:rsidR="00D920E5" w:rsidP="007C4DBB" w:rsidRDefault="00D920E5" w14:paraId="5F9AE6B1" w14:textId="60DAE529">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‘COREP (OF)’ means Annexes I (templates) and II (instructions) of Implement</w:t>
      </w:r>
      <w:r w:rsidRPr="00D43D39" w:rsidR="004219AD">
        <w:rPr>
          <w:rFonts w:ascii="Times New Roman" w:hAnsi="Times New Roman"/>
          <w:color w:val="000000" w:themeColor="text1"/>
          <w:sz w:val="20"/>
          <w:szCs w:val="20"/>
          <w:lang w:eastAsia="en-GB"/>
        </w:rPr>
        <w:t xml:space="preserve">ing Regulation (EU) No </w:t>
      </w:r>
      <w:r w:rsidR="00EC4F68">
        <w:rPr>
          <w:rFonts w:ascii="Times New Roman" w:hAnsi="Times New Roman"/>
          <w:color w:val="000000" w:themeColor="text1"/>
          <w:sz w:val="20"/>
          <w:szCs w:val="20"/>
          <w:lang w:eastAsia="en-GB"/>
        </w:rPr>
        <w:t>2021/451</w:t>
      </w:r>
      <w:r w:rsidRPr="00D43D39" w:rsidR="004219AD">
        <w:rPr>
          <w:rFonts w:ascii="Times New Roman" w:hAnsi="Times New Roman"/>
          <w:color w:val="000000" w:themeColor="text1"/>
          <w:sz w:val="20"/>
          <w:szCs w:val="20"/>
          <w:lang w:eastAsia="en-GB"/>
        </w:rPr>
        <w:t>;</w:t>
      </w:r>
    </w:p>
    <w:p w:rsidRPr="00D43D39" w:rsidR="00D920E5" w:rsidP="007C4DBB" w:rsidRDefault="00D920E5" w14:paraId="549100B9" w14:textId="483E681A">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‘COREP (LR)’ means Annexes X (templates) and XI (instructions) of Implement</w:t>
      </w:r>
      <w:r w:rsidRPr="00D43D39" w:rsidR="004219AD">
        <w:rPr>
          <w:rFonts w:ascii="Times New Roman" w:hAnsi="Times New Roman"/>
          <w:color w:val="000000" w:themeColor="text1"/>
          <w:sz w:val="20"/>
          <w:szCs w:val="20"/>
          <w:lang w:eastAsia="en-GB"/>
        </w:rPr>
        <w:t xml:space="preserve">ing Regulation (EU) No </w:t>
      </w:r>
      <w:r w:rsidR="00EC4F68">
        <w:rPr>
          <w:rFonts w:ascii="Times New Roman" w:hAnsi="Times New Roman"/>
          <w:color w:val="000000" w:themeColor="text1"/>
          <w:sz w:val="20"/>
          <w:szCs w:val="20"/>
          <w:lang w:eastAsia="en-GB"/>
        </w:rPr>
        <w:t>2021/451</w:t>
      </w:r>
      <w:r w:rsidRPr="00D43D39" w:rsidR="004219AD">
        <w:rPr>
          <w:rFonts w:ascii="Times New Roman" w:hAnsi="Times New Roman"/>
          <w:color w:val="000000" w:themeColor="text1"/>
          <w:sz w:val="20"/>
          <w:szCs w:val="20"/>
          <w:lang w:eastAsia="en-GB"/>
        </w:rPr>
        <w:t>;</w:t>
      </w:r>
    </w:p>
    <w:p w:rsidRPr="00D43D39" w:rsidR="00B466DD" w:rsidP="00715DAB" w:rsidRDefault="00B466DD" w14:paraId="59D58CAD" w14:textId="77777777">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‘FSB’ means Financial Stability Board</w:t>
      </w:r>
      <w:r w:rsidRPr="00D43D39" w:rsidR="004219AD">
        <w:rPr>
          <w:rFonts w:ascii="Times New Roman" w:hAnsi="Times New Roman"/>
          <w:color w:val="000000" w:themeColor="text1"/>
          <w:sz w:val="20"/>
          <w:szCs w:val="20"/>
          <w:lang w:eastAsia="en-GB"/>
        </w:rPr>
        <w:t>;</w:t>
      </w:r>
    </w:p>
    <w:p w:rsidRPr="00D43D39" w:rsidR="00E52C33" w:rsidP="0072422B" w:rsidRDefault="00E52C33" w14:paraId="7082B005" w14:textId="77777777">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‘IAS’ means International Accounting Standards as defined in Article 2 of Regulation (EC) No 1606/2002</w:t>
      </w:r>
      <w:r w:rsidRPr="00D43D39" w:rsidR="004219AD">
        <w:rPr>
          <w:rFonts w:ascii="Times New Roman" w:hAnsi="Times New Roman"/>
          <w:color w:val="000000" w:themeColor="text1"/>
          <w:sz w:val="20"/>
          <w:szCs w:val="20"/>
          <w:lang w:eastAsia="en-GB"/>
        </w:rPr>
        <w:t xml:space="preserve"> of the European Parliament and of the Council</w:t>
      </w:r>
      <w:r w:rsidRPr="005F5507">
        <w:rPr>
          <w:rFonts w:ascii="Times New Roman" w:hAnsi="Times New Roman"/>
          <w:vertAlign w:val="superscript"/>
        </w:rPr>
        <w:footnoteReference w:id="3"/>
      </w:r>
      <w:r w:rsidRPr="00D43D39" w:rsidR="004219AD">
        <w:rPr>
          <w:rFonts w:ascii="Times New Roman" w:hAnsi="Times New Roman"/>
          <w:color w:val="000000" w:themeColor="text1"/>
          <w:sz w:val="20"/>
          <w:szCs w:val="20"/>
          <w:lang w:eastAsia="en-GB"/>
        </w:rPr>
        <w:t>;</w:t>
      </w:r>
    </w:p>
    <w:p w:rsidRPr="00D43D39" w:rsidR="0036168C" w:rsidP="00715DAB" w:rsidRDefault="0036168C" w14:paraId="60A7B496" w14:textId="77777777">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‘IFRS’ means International Financial Reporting Standards as defined as defined in Article 2 of Regulation (EC) No 1606/2002</w:t>
      </w:r>
      <w:r w:rsidRPr="00D43D39">
        <w:rPr>
          <w:rStyle w:val="FootnoteReference"/>
          <w:rFonts w:ascii="Times New Roman" w:hAnsi="Times New Roman"/>
          <w:color w:val="000000" w:themeColor="text1"/>
          <w:sz w:val="20"/>
          <w:szCs w:val="20"/>
          <w:lang w:eastAsia="en-GB"/>
        </w:rPr>
        <w:footnoteReference w:id="4"/>
      </w:r>
      <w:r w:rsidRPr="00D43D39" w:rsidR="004219AD">
        <w:rPr>
          <w:rFonts w:ascii="Times New Roman" w:hAnsi="Times New Roman"/>
          <w:color w:val="000000" w:themeColor="text1"/>
          <w:sz w:val="20"/>
          <w:szCs w:val="20"/>
          <w:lang w:eastAsia="en-GB"/>
        </w:rPr>
        <w:t>;</w:t>
      </w:r>
    </w:p>
    <w:p w:rsidRPr="00D43D39" w:rsidR="007D568C" w:rsidP="00715DAB" w:rsidRDefault="007D568C" w14:paraId="1CC7D99A" w14:textId="485C4F45">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‘LEI</w:t>
      </w:r>
      <w:r w:rsidRPr="00D43D39" w:rsidR="00CC130F">
        <w:rPr>
          <w:rFonts w:ascii="Times New Roman" w:hAnsi="Times New Roman"/>
          <w:color w:val="000000" w:themeColor="text1"/>
          <w:sz w:val="20"/>
          <w:szCs w:val="20"/>
          <w:lang w:eastAsia="en-GB"/>
        </w:rPr>
        <w:t xml:space="preserve"> code</w:t>
      </w:r>
      <w:r w:rsidRPr="00D43D39">
        <w:rPr>
          <w:rFonts w:ascii="Times New Roman" w:hAnsi="Times New Roman"/>
          <w:color w:val="000000" w:themeColor="text1"/>
          <w:sz w:val="20"/>
          <w:szCs w:val="20"/>
          <w:lang w:eastAsia="en-GB"/>
        </w:rPr>
        <w:t xml:space="preserve">’ means </w:t>
      </w:r>
      <w:r w:rsidRPr="00D43D39" w:rsidR="000B7FDA">
        <w:rPr>
          <w:rFonts w:ascii="Times New Roman" w:hAnsi="Times New Roman"/>
          <w:color w:val="000000" w:themeColor="text1"/>
          <w:sz w:val="20"/>
          <w:szCs w:val="20"/>
          <w:lang w:eastAsia="en-GB"/>
        </w:rPr>
        <w:t>a Legal Entity Identifier</w:t>
      </w:r>
      <w:r w:rsidRPr="00D43D39" w:rsidR="00DB2A12">
        <w:rPr>
          <w:rFonts w:ascii="Times New Roman" w:hAnsi="Times New Roman"/>
          <w:color w:val="000000" w:themeColor="text1"/>
          <w:sz w:val="20"/>
          <w:szCs w:val="20"/>
          <w:lang w:eastAsia="en-GB"/>
        </w:rPr>
        <w:t xml:space="preserve"> code aimed at achieving a unique and worldwide identification of parties to financial transactions</w:t>
      </w:r>
      <w:r w:rsidRPr="00D43D39" w:rsidR="000B7FDA">
        <w:rPr>
          <w:rFonts w:ascii="Times New Roman" w:hAnsi="Times New Roman"/>
          <w:color w:val="000000" w:themeColor="text1"/>
          <w:sz w:val="20"/>
          <w:szCs w:val="20"/>
          <w:lang w:eastAsia="en-GB"/>
        </w:rPr>
        <w:t>,</w:t>
      </w:r>
      <w:r w:rsidRPr="00D43D39" w:rsidR="000B7FDA">
        <w:rPr>
          <w:rFonts w:ascii="Times New Roman" w:hAnsi="Times New Roman"/>
          <w:color w:val="000000" w:themeColor="text1"/>
          <w:sz w:val="20"/>
          <w:szCs w:val="20"/>
        </w:rPr>
        <w:t xml:space="preserve"> as proposed by the FSB and endorsed by the G20</w:t>
      </w:r>
      <w:r w:rsidRPr="00D43D39" w:rsidR="00DB2A12">
        <w:rPr>
          <w:rFonts w:ascii="Times New Roman" w:hAnsi="Times New Roman"/>
          <w:color w:val="000000" w:themeColor="text1"/>
          <w:sz w:val="20"/>
          <w:szCs w:val="20"/>
          <w:lang w:eastAsia="en-GB"/>
        </w:rPr>
        <w:t xml:space="preserve">. Until the global LEI system is fully operational, pre-LEI codes are being assigned to counterparties by a Local Operational Unit that has been endorsed by </w:t>
      </w:r>
      <w:r w:rsidRPr="00D43D39" w:rsidR="000B7FDA">
        <w:rPr>
          <w:rFonts w:ascii="Times New Roman" w:hAnsi="Times New Roman"/>
          <w:color w:val="000000" w:themeColor="text1"/>
          <w:sz w:val="20"/>
          <w:szCs w:val="20"/>
          <w:lang w:eastAsia="en-GB"/>
        </w:rPr>
        <w:t xml:space="preserve">the </w:t>
      </w:r>
      <w:r w:rsidRPr="00D43D39" w:rsidR="00DB2A12">
        <w:rPr>
          <w:rFonts w:ascii="Times New Roman" w:hAnsi="Times New Roman"/>
          <w:color w:val="000000" w:themeColor="text1"/>
          <w:sz w:val="20"/>
          <w:szCs w:val="20"/>
          <w:lang w:eastAsia="en-GB"/>
        </w:rPr>
        <w:t xml:space="preserve">Regulatory Oversight Committee (ROC, detailed information may be found at the following website: </w:t>
      </w:r>
      <w:hyperlink w:history="1" r:id="rId12">
        <w:r w:rsidRPr="00D43D39" w:rsidR="004F3F11">
          <w:rPr>
            <w:rStyle w:val="Hyperlink"/>
            <w:rFonts w:ascii="Times New Roman" w:hAnsi="Times New Roman"/>
            <w:color w:val="000000" w:themeColor="text1"/>
            <w:sz w:val="20"/>
            <w:szCs w:val="20"/>
            <w:lang w:eastAsia="en-GB"/>
          </w:rPr>
          <w:t>www.leiroc.org</w:t>
        </w:r>
      </w:hyperlink>
      <w:r w:rsidRPr="00D43D39" w:rsidR="004F3F11">
        <w:rPr>
          <w:rFonts w:ascii="Times New Roman" w:hAnsi="Times New Roman"/>
          <w:color w:val="000000" w:themeColor="text1"/>
          <w:sz w:val="20"/>
          <w:szCs w:val="20"/>
          <w:lang w:eastAsia="en-GB"/>
        </w:rPr>
        <w:t>)</w:t>
      </w:r>
      <w:r w:rsidRPr="00D43D39" w:rsidR="00DB2A12">
        <w:rPr>
          <w:rFonts w:ascii="Times New Roman" w:hAnsi="Times New Roman"/>
          <w:color w:val="000000" w:themeColor="text1"/>
          <w:sz w:val="20"/>
          <w:szCs w:val="20"/>
          <w:lang w:eastAsia="en-GB"/>
        </w:rPr>
        <w:t xml:space="preserve">. </w:t>
      </w:r>
      <w:r w:rsidRPr="00D43D39" w:rsidR="000B7FDA">
        <w:rPr>
          <w:rFonts w:ascii="Times New Roman" w:hAnsi="Times New Roman"/>
          <w:color w:val="000000" w:themeColor="text1"/>
          <w:sz w:val="20"/>
          <w:szCs w:val="20"/>
          <w:lang w:eastAsia="en-GB"/>
        </w:rPr>
        <w:t xml:space="preserve">Where a </w:t>
      </w:r>
      <w:r w:rsidRPr="00D43D39" w:rsidR="00DB2A12">
        <w:rPr>
          <w:rFonts w:ascii="Times New Roman" w:hAnsi="Times New Roman"/>
          <w:color w:val="000000" w:themeColor="text1"/>
          <w:sz w:val="20"/>
          <w:szCs w:val="20"/>
          <w:lang w:eastAsia="en-GB"/>
        </w:rPr>
        <w:t>LEI code exists for a given counterparty, it shall be used to identify that counterparty</w:t>
      </w:r>
      <w:r w:rsidRPr="00D43D39" w:rsidR="004219AD">
        <w:rPr>
          <w:rFonts w:ascii="Times New Roman" w:hAnsi="Times New Roman"/>
          <w:color w:val="000000" w:themeColor="text1"/>
          <w:sz w:val="20"/>
          <w:szCs w:val="20"/>
          <w:lang w:eastAsia="en-GB"/>
        </w:rPr>
        <w:t>;</w:t>
      </w:r>
    </w:p>
    <w:p w:rsidR="005F58D8" w:rsidP="007C4DBB" w:rsidRDefault="005F58D8" w14:paraId="1C2CD050" w14:textId="0280D6AC">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‘MFI ID’ or ‘Monetary Financial Institution’ ID is a</w:t>
      </w:r>
      <w:r w:rsidRPr="005F58D8">
        <w:rPr>
          <w:rFonts w:ascii="Times New Roman" w:hAnsi="Times New Roman"/>
          <w:color w:val="000000" w:themeColor="text1"/>
          <w:sz w:val="20"/>
          <w:szCs w:val="20"/>
          <w:lang w:eastAsia="en-GB"/>
        </w:rPr>
        <w:t xml:space="preserve"> unique identification code for an MFI in the list of MFIs maintained and published by the ECB for statistical purposes in accordance with Regulation (EC) No 25/2009 (ECB/2008/32)</w:t>
      </w:r>
      <w:r>
        <w:rPr>
          <w:rFonts w:ascii="Times New Roman" w:hAnsi="Times New Roman"/>
          <w:color w:val="000000" w:themeColor="text1"/>
          <w:sz w:val="20"/>
          <w:szCs w:val="20"/>
          <w:lang w:eastAsia="en-GB"/>
        </w:rPr>
        <w:t>, to be reported where an LEI code does not already exist.</w:t>
      </w:r>
    </w:p>
    <w:p w:rsidR="00B466DD" w:rsidP="007C4DBB" w:rsidRDefault="00B466DD" w14:paraId="39F3AD21" w14:textId="1859E58E">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 xml:space="preserve">‘NGAAP’ </w:t>
      </w:r>
      <w:r w:rsidRPr="00D43D39" w:rsidR="004B623F">
        <w:rPr>
          <w:rFonts w:ascii="Times New Roman" w:hAnsi="Times New Roman"/>
          <w:color w:val="000000" w:themeColor="text1"/>
          <w:sz w:val="20"/>
          <w:szCs w:val="20"/>
          <w:lang w:eastAsia="en-GB"/>
        </w:rPr>
        <w:t xml:space="preserve">or ‘National Generally Accepted Accounting Principles’ </w:t>
      </w:r>
      <w:r w:rsidRPr="00D43D39">
        <w:rPr>
          <w:rFonts w:ascii="Times New Roman" w:hAnsi="Times New Roman"/>
          <w:color w:val="000000" w:themeColor="text1"/>
          <w:sz w:val="20"/>
          <w:szCs w:val="20"/>
          <w:lang w:eastAsia="en-GB"/>
        </w:rPr>
        <w:t xml:space="preserve">means national accounting frameworks developed under </w:t>
      </w:r>
      <w:r w:rsidRPr="00D43D39" w:rsidR="009B02AF">
        <w:rPr>
          <w:rFonts w:ascii="Times New Roman" w:hAnsi="Times New Roman"/>
          <w:color w:val="000000" w:themeColor="text1"/>
          <w:sz w:val="20"/>
          <w:szCs w:val="20"/>
          <w:lang w:eastAsia="en-GB"/>
        </w:rPr>
        <w:t>Directive 86/635/EEC</w:t>
      </w:r>
      <w:r w:rsidRPr="005F5507" w:rsidR="00876809">
        <w:rPr>
          <w:rStyle w:val="FootnoteReference"/>
          <w:rFonts w:ascii="Times New Roman" w:hAnsi="Times New Roman"/>
          <w:color w:val="000000" w:themeColor="text1"/>
          <w:lang w:eastAsia="en-GB"/>
        </w:rPr>
        <w:footnoteReference w:id="5"/>
      </w:r>
      <w:r w:rsidR="00B35D91">
        <w:rPr>
          <w:rFonts w:ascii="Times New Roman" w:hAnsi="Times New Roman"/>
          <w:color w:val="000000" w:themeColor="text1"/>
          <w:sz w:val="20"/>
          <w:szCs w:val="20"/>
          <w:lang w:eastAsia="en-GB"/>
        </w:rPr>
        <w:t>;</w:t>
      </w:r>
    </w:p>
    <w:p w:rsidR="00B35D91" w:rsidP="007C4DBB" w:rsidRDefault="00B35D91" w14:paraId="43BAF99B" w14:textId="284A7F81">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‘Operational Asset</w:t>
      </w:r>
      <w:r w:rsidR="00D75270">
        <w:rPr>
          <w:rFonts w:ascii="Times New Roman" w:hAnsi="Times New Roman"/>
          <w:color w:val="000000" w:themeColor="text1"/>
          <w:sz w:val="20"/>
          <w:szCs w:val="20"/>
          <w:lang w:eastAsia="en-GB"/>
        </w:rPr>
        <w:t xml:space="preserve">’ - </w:t>
      </w:r>
      <w:r w:rsidRPr="00D75270" w:rsidR="00D75270">
        <w:rPr>
          <w:rFonts w:ascii="Times New Roman" w:hAnsi="Times New Roman"/>
          <w:color w:val="000000" w:themeColor="text1"/>
          <w:sz w:val="20"/>
          <w:szCs w:val="20"/>
          <w:lang w:eastAsia="en-GB"/>
        </w:rPr>
        <w:t>An asset that is not a financial asset and that is required to perform relevant services, such as real estate; intellectual property including trademarks, patents and software; hardware; IT systems and applications; and data warehouses. Operational assets are critical/essential where access to them is required in order to perform a critical/essential service</w:t>
      </w:r>
      <w:r w:rsidR="00010774">
        <w:rPr>
          <w:rFonts w:ascii="Times New Roman" w:hAnsi="Times New Roman"/>
          <w:color w:val="000000" w:themeColor="text1"/>
          <w:sz w:val="20"/>
          <w:szCs w:val="20"/>
          <w:lang w:eastAsia="en-GB"/>
        </w:rPr>
        <w:t>;</w:t>
      </w:r>
    </w:p>
    <w:p w:rsidR="00D75270" w:rsidP="007C4DBB" w:rsidRDefault="00D75270" w14:paraId="111209ED" w14:textId="1EC59835">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 xml:space="preserve">‘Relevant Services’ - </w:t>
      </w:r>
      <w:r w:rsidRPr="00D75270">
        <w:rPr>
          <w:rFonts w:ascii="Times New Roman" w:hAnsi="Times New Roman"/>
          <w:color w:val="000000" w:themeColor="text1"/>
          <w:sz w:val="20"/>
          <w:szCs w:val="20"/>
          <w:lang w:eastAsia="en-GB"/>
        </w:rPr>
        <w:t>Services which underpin (i) the bank’s critical functions to the economy (critical services) and (ii) core business lines (essential services) for which continuity is necessary for the effective implementation of the resolution strategy. These categories may overlap. This applies analogously to operational assets and staff.</w:t>
      </w:r>
    </w:p>
    <w:p w:rsidRPr="00D43D39" w:rsidR="00010774" w:rsidP="007C4DBB" w:rsidRDefault="00010774" w14:paraId="3CF83D36" w14:textId="1AF3ABC9">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‘Relevant Roles’</w:t>
      </w:r>
      <w:r w:rsidR="00D75270">
        <w:rPr>
          <w:rFonts w:ascii="Times New Roman" w:hAnsi="Times New Roman"/>
          <w:color w:val="000000" w:themeColor="text1"/>
          <w:sz w:val="20"/>
          <w:szCs w:val="20"/>
          <w:lang w:eastAsia="en-GB"/>
        </w:rPr>
        <w:t xml:space="preserve"> - </w:t>
      </w:r>
      <w:r w:rsidRPr="00D75270" w:rsidR="00D75270">
        <w:rPr>
          <w:rFonts w:ascii="Times New Roman" w:hAnsi="Times New Roman"/>
          <w:color w:val="000000" w:themeColor="text1"/>
          <w:sz w:val="20"/>
          <w:szCs w:val="20"/>
          <w:lang w:eastAsia="en-GB"/>
        </w:rPr>
        <w:t>Job roles whose vacancy in resolution may present an obstacle to the continuity of critical functions and the core business lines needed for the effective implementation of the resolution strategy and any consequent restructuring.</w:t>
      </w:r>
    </w:p>
    <w:p w:rsidRPr="00D43D39" w:rsidR="005E66E5" w:rsidP="00FA2A1A" w:rsidRDefault="005E66E5" w14:paraId="5445B011" w14:textId="77777777">
      <w:pPr>
        <w:pStyle w:val="ListParagraph"/>
        <w:ind w:left="1074"/>
        <w:rPr>
          <w:rFonts w:ascii="Times New Roman" w:hAnsi="Times New Roman"/>
          <w:color w:val="000000" w:themeColor="text1"/>
          <w:sz w:val="20"/>
          <w:szCs w:val="20"/>
          <w:lang w:eastAsia="en-GB"/>
        </w:rPr>
      </w:pPr>
    </w:p>
    <w:p w:rsidRPr="00D43D39" w:rsidR="002B2A61" w:rsidP="5129E6BD" w:rsidRDefault="002B2A61" w14:paraId="1080574B" w14:textId="77777777">
      <w:pPr>
        <w:pStyle w:val="Instructionsberschrift2"/>
        <w:numPr>
          <w:ilvl w:val="1"/>
          <w:numId w:val="49"/>
        </w:numPr>
        <w:ind w:left="357" w:hanging="357"/>
        <w:rPr>
          <w:rFonts w:ascii="Times New Roman" w:hAnsi="Times New Roman" w:cs="Times New Roman"/>
        </w:rPr>
      </w:pPr>
      <w:bookmarkStart w:name="_Toc81454173" w:id="8"/>
      <w:bookmarkStart w:name="_Toc172732216" w:id="9"/>
      <w:r w:rsidRPr="00D43D39">
        <w:rPr>
          <w:rFonts w:ascii="Times New Roman" w:hAnsi="Times New Roman" w:cs="Times New Roman"/>
        </w:rPr>
        <w:t>Accounting standards</w:t>
      </w:r>
      <w:bookmarkEnd w:id="8"/>
      <w:bookmarkEnd w:id="9"/>
    </w:p>
    <w:p w:rsidRPr="00D43D39" w:rsidR="002B2A61" w:rsidP="0029540E" w:rsidRDefault="00A75967" w14:paraId="26A186EE" w14:textId="0AC2D399">
      <w:pPr>
        <w:pStyle w:val="InstructionsText2"/>
        <w:numPr>
          <w:ilvl w:val="0"/>
          <w:numId w:val="71"/>
        </w:numPr>
        <w:spacing w:before="0"/>
        <w:ind w:left="714" w:hanging="357"/>
        <w:rPr>
          <w:rFonts w:ascii="Times New Roman" w:hAnsi="Times New Roman" w:cs="Times New Roman"/>
          <w:sz w:val="20"/>
          <w:szCs w:val="20"/>
          <w:lang w:val="en-GB"/>
        </w:rPr>
      </w:pPr>
      <w:r w:rsidRPr="00D43D39">
        <w:rPr>
          <w:rFonts w:ascii="Times New Roman" w:hAnsi="Times New Roman" w:cs="Times New Roman"/>
          <w:sz w:val="20"/>
          <w:szCs w:val="20"/>
          <w:lang w:val="en-GB"/>
        </w:rPr>
        <w:t>Unless otherwise specified in these instructions, i</w:t>
      </w:r>
      <w:r w:rsidRPr="00D43D39" w:rsidR="002B2A61">
        <w:rPr>
          <w:rFonts w:ascii="Times New Roman" w:hAnsi="Times New Roman" w:cs="Times New Roman"/>
          <w:sz w:val="20"/>
          <w:szCs w:val="20"/>
          <w:lang w:val="en-GB"/>
        </w:rPr>
        <w:t>nstitutions shall report</w:t>
      </w:r>
      <w:r w:rsidRPr="00D43D39" w:rsidR="001D5308">
        <w:rPr>
          <w:rFonts w:ascii="Times New Roman" w:hAnsi="Times New Roman" w:cs="Times New Roman"/>
          <w:sz w:val="20"/>
          <w:szCs w:val="20"/>
          <w:lang w:val="en-GB"/>
        </w:rPr>
        <w:t xml:space="preserve"> all</w:t>
      </w:r>
      <w:r w:rsidRPr="00D43D39" w:rsidR="002B2A61">
        <w:rPr>
          <w:rFonts w:ascii="Times New Roman" w:hAnsi="Times New Roman" w:cs="Times New Roman"/>
          <w:sz w:val="20"/>
          <w:szCs w:val="20"/>
          <w:lang w:val="en-GB"/>
        </w:rPr>
        <w:t xml:space="preserve"> amounts </w:t>
      </w:r>
      <w:r w:rsidRPr="00D43D39" w:rsidR="001D5308">
        <w:rPr>
          <w:rFonts w:ascii="Times New Roman" w:hAnsi="Times New Roman" w:cs="Times New Roman"/>
          <w:sz w:val="20"/>
          <w:szCs w:val="20"/>
          <w:lang w:val="en-GB"/>
        </w:rPr>
        <w:t>based on</w:t>
      </w:r>
      <w:r w:rsidRPr="00D43D39" w:rsidR="002B2A61">
        <w:rPr>
          <w:rFonts w:ascii="Times New Roman" w:hAnsi="Times New Roman" w:cs="Times New Roman"/>
          <w:sz w:val="20"/>
          <w:szCs w:val="20"/>
          <w:lang w:val="en-GB"/>
        </w:rPr>
        <w:t xml:space="preserve"> the accounting framework they use for the reporting of financial information in accordance with Articles 9 to 11</w:t>
      </w:r>
      <w:r w:rsidRPr="00D43D39" w:rsidR="00905662">
        <w:rPr>
          <w:rFonts w:ascii="Times New Roman" w:hAnsi="Times New Roman" w:cs="Times New Roman"/>
          <w:sz w:val="20"/>
          <w:szCs w:val="20"/>
          <w:lang w:val="en-GB"/>
        </w:rPr>
        <w:t xml:space="preserve"> of </w:t>
      </w:r>
      <w:r w:rsidRPr="00D43D39" w:rsidR="004219AD">
        <w:rPr>
          <w:rFonts w:ascii="Times New Roman" w:hAnsi="Times New Roman" w:cs="Times New Roman"/>
          <w:sz w:val="20"/>
          <w:szCs w:val="20"/>
          <w:lang w:val="en-GB"/>
        </w:rPr>
        <w:t xml:space="preserve">Implementing Regulation (EU) No </w:t>
      </w:r>
      <w:r w:rsidR="00EC4F68">
        <w:rPr>
          <w:rFonts w:ascii="Times New Roman" w:hAnsi="Times New Roman" w:cs="Times New Roman"/>
          <w:sz w:val="20"/>
          <w:szCs w:val="20"/>
          <w:lang w:val="en-GB"/>
        </w:rPr>
        <w:t>2021/451</w:t>
      </w:r>
      <w:r w:rsidRPr="00D43D39" w:rsidR="002B2A61">
        <w:rPr>
          <w:rFonts w:ascii="Times New Roman" w:hAnsi="Times New Roman" w:cs="Times New Roman"/>
          <w:sz w:val="20"/>
          <w:szCs w:val="20"/>
          <w:lang w:val="en-GB"/>
        </w:rPr>
        <w:t xml:space="preserve">. Institutions that are not required to report financial information </w:t>
      </w:r>
      <w:r w:rsidRPr="00D43D39" w:rsidR="001D5308">
        <w:rPr>
          <w:rFonts w:ascii="Times New Roman" w:hAnsi="Times New Roman" w:cs="Times New Roman"/>
          <w:sz w:val="20"/>
          <w:szCs w:val="20"/>
          <w:lang w:val="en-GB"/>
        </w:rPr>
        <w:t xml:space="preserve">in accordance with </w:t>
      </w:r>
      <w:r w:rsidRPr="00D43D39" w:rsidR="004219AD">
        <w:rPr>
          <w:rFonts w:ascii="Times New Roman" w:hAnsi="Times New Roman" w:cs="Times New Roman"/>
          <w:sz w:val="20"/>
          <w:szCs w:val="20"/>
          <w:lang w:val="en-GB"/>
        </w:rPr>
        <w:t xml:space="preserve">Implementing Regulation (EU) No </w:t>
      </w:r>
      <w:r w:rsidR="00EC4F68">
        <w:rPr>
          <w:rFonts w:ascii="Times New Roman" w:hAnsi="Times New Roman" w:cs="Times New Roman"/>
          <w:sz w:val="20"/>
          <w:szCs w:val="20"/>
          <w:lang w:val="en-GB"/>
        </w:rPr>
        <w:t>2021/451</w:t>
      </w:r>
      <w:r w:rsidRPr="00D43D39" w:rsidR="001D5308">
        <w:rPr>
          <w:rFonts w:ascii="Times New Roman" w:hAnsi="Times New Roman" w:cs="Times New Roman"/>
          <w:sz w:val="20"/>
          <w:szCs w:val="20"/>
          <w:lang w:val="en-GB"/>
        </w:rPr>
        <w:t xml:space="preserve"> </w:t>
      </w:r>
      <w:r w:rsidRPr="00D43D39" w:rsidR="002B2A61">
        <w:rPr>
          <w:rFonts w:ascii="Times New Roman" w:hAnsi="Times New Roman" w:cs="Times New Roman"/>
          <w:sz w:val="20"/>
          <w:szCs w:val="20"/>
          <w:lang w:val="en-GB"/>
        </w:rPr>
        <w:t xml:space="preserve">shall </w:t>
      </w:r>
      <w:r w:rsidRPr="00D43D39" w:rsidR="00460604">
        <w:rPr>
          <w:rFonts w:ascii="Times New Roman" w:hAnsi="Times New Roman" w:cs="Times New Roman"/>
          <w:sz w:val="20"/>
          <w:szCs w:val="20"/>
          <w:lang w:val="en-GB"/>
        </w:rPr>
        <w:t xml:space="preserve">apply the rules of </w:t>
      </w:r>
      <w:r w:rsidRPr="00D43D39" w:rsidR="002B2A61">
        <w:rPr>
          <w:rFonts w:ascii="Times New Roman" w:hAnsi="Times New Roman" w:cs="Times New Roman"/>
          <w:sz w:val="20"/>
          <w:szCs w:val="20"/>
          <w:lang w:val="en-GB"/>
        </w:rPr>
        <w:t>their</w:t>
      </w:r>
      <w:r w:rsidRPr="00D43D39" w:rsidR="00460604">
        <w:rPr>
          <w:rFonts w:ascii="Times New Roman" w:hAnsi="Times New Roman" w:cs="Times New Roman"/>
          <w:sz w:val="20"/>
          <w:szCs w:val="20"/>
          <w:lang w:val="en-GB"/>
        </w:rPr>
        <w:t xml:space="preserve"> </w:t>
      </w:r>
      <w:r w:rsidRPr="00D43D39" w:rsidR="002B2A61">
        <w:rPr>
          <w:rFonts w:ascii="Times New Roman" w:hAnsi="Times New Roman" w:cs="Times New Roman"/>
          <w:sz w:val="20"/>
          <w:szCs w:val="20"/>
          <w:lang w:val="en-GB"/>
        </w:rPr>
        <w:t xml:space="preserve">respective accounting framework. </w:t>
      </w:r>
    </w:p>
    <w:p w:rsidRPr="00D43D39" w:rsidR="002B2A61" w:rsidP="005F5507" w:rsidRDefault="002B2A61" w14:paraId="1DC21228" w14:textId="77777777">
      <w:pPr>
        <w:pStyle w:val="InstructionsText2"/>
        <w:numPr>
          <w:ilvl w:val="0"/>
          <w:numId w:val="227"/>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For </w:t>
      </w:r>
      <w:r w:rsidRPr="00D43D39" w:rsidR="004219AD">
        <w:rPr>
          <w:rFonts w:ascii="Times New Roman" w:hAnsi="Times New Roman" w:cs="Times New Roman"/>
          <w:sz w:val="20"/>
          <w:szCs w:val="20"/>
          <w:lang w:val="en-GB"/>
        </w:rPr>
        <w:t>institutions that</w:t>
      </w:r>
      <w:r w:rsidRPr="00D43D39">
        <w:rPr>
          <w:rFonts w:ascii="Times New Roman" w:hAnsi="Times New Roman" w:cs="Times New Roman"/>
          <w:sz w:val="20"/>
          <w:szCs w:val="20"/>
          <w:lang w:val="en-GB"/>
        </w:rPr>
        <w:t xml:space="preserve"> report under IFRS, references have been inserted to the relevant IFRS.</w:t>
      </w:r>
    </w:p>
    <w:p w:rsidRPr="00D43D39" w:rsidR="00F653D0" w:rsidP="5129E6BD" w:rsidRDefault="00F653D0" w14:paraId="201874AC" w14:textId="47755BA1">
      <w:pPr>
        <w:pStyle w:val="Instructionsberschrift2"/>
        <w:numPr>
          <w:ilvl w:val="1"/>
          <w:numId w:val="49"/>
        </w:numPr>
        <w:ind w:left="357" w:hanging="357"/>
        <w:rPr>
          <w:rFonts w:ascii="Times New Roman" w:hAnsi="Times New Roman" w:cs="Times New Roman"/>
        </w:rPr>
      </w:pPr>
      <w:bookmarkStart w:name="_Hlk167181695" w:id="10"/>
      <w:bookmarkStart w:name="_Toc81454174" w:id="11"/>
      <w:bookmarkStart w:name="_Toc172732217" w:id="12"/>
      <w:r w:rsidRPr="00D43D39">
        <w:rPr>
          <w:rFonts w:ascii="Times New Roman" w:hAnsi="Times New Roman" w:cs="Times New Roman"/>
        </w:rPr>
        <w:t>Reporting of supervisory data</w:t>
      </w:r>
      <w:bookmarkEnd w:id="12"/>
    </w:p>
    <w:p w:rsidRPr="005F5507" w:rsidR="00F653D0" w:rsidP="00F653D0" w:rsidRDefault="00F653D0" w14:paraId="550F8B9D" w14:textId="420C0AA0">
      <w:pPr>
        <w:pStyle w:val="Instructionsberschrift3"/>
        <w:numPr>
          <w:ilvl w:val="4"/>
          <w:numId w:val="49"/>
        </w:numPr>
      </w:pPr>
      <w:r w:rsidRPr="00D43D39">
        <w:rPr>
          <w:u w:val="none"/>
        </w:rPr>
        <w:t>Where the reporting entity is subject to supervisory reporting under Regulation (EU) No 575/2013 of the European Parliament and of the Council at the consolidated or individual level</w:t>
      </w:r>
      <w:r w:rsidRPr="00D43D39" w:rsidR="00534486">
        <w:rPr>
          <w:u w:val="none"/>
        </w:rPr>
        <w:t xml:space="preserve"> at the requested reference date for resolution planning,</w:t>
      </w:r>
      <w:r w:rsidRPr="00D43D39">
        <w:rPr>
          <w:u w:val="none"/>
        </w:rPr>
        <w:t xml:space="preserve"> the entity is not required to declare those data points that </w:t>
      </w:r>
      <w:r w:rsidRPr="00D43D39" w:rsidR="00534486">
        <w:rPr>
          <w:u w:val="none"/>
        </w:rPr>
        <w:t>have</w:t>
      </w:r>
      <w:r w:rsidRPr="00D43D39">
        <w:rPr>
          <w:u w:val="none"/>
        </w:rPr>
        <w:t xml:space="preserve"> already </w:t>
      </w:r>
      <w:r w:rsidRPr="00D43D39" w:rsidR="00534486">
        <w:rPr>
          <w:u w:val="none"/>
        </w:rPr>
        <w:t xml:space="preserve">been </w:t>
      </w:r>
      <w:r w:rsidRPr="00D43D39">
        <w:rPr>
          <w:u w:val="none"/>
        </w:rPr>
        <w:t>reported.</w:t>
      </w:r>
      <w:r w:rsidRPr="00D43D39" w:rsidR="00534486">
        <w:rPr>
          <w:u w:val="none"/>
        </w:rPr>
        <w:t xml:space="preserve"> Resolution Authorities will obtain these data points directly from the supervisory reports already declared by the reporting entity.</w:t>
      </w:r>
    </w:p>
    <w:p w:rsidRPr="00F45FAC" w:rsidR="00F653D0" w:rsidP="005F5507" w:rsidRDefault="00F653D0" w14:paraId="7C4902A8" w14:textId="06109E0F">
      <w:pPr>
        <w:pStyle w:val="Instructionsberschrift3"/>
        <w:numPr>
          <w:ilvl w:val="4"/>
          <w:numId w:val="49"/>
        </w:numPr>
      </w:pPr>
      <w:r w:rsidRPr="005D71E0">
        <w:rPr>
          <w:u w:val="none"/>
        </w:rPr>
        <w:t>Where th</w:t>
      </w:r>
      <w:r w:rsidRPr="008717BC" w:rsidR="00534486">
        <w:rPr>
          <w:u w:val="none"/>
        </w:rPr>
        <w:t xml:space="preserve">e entity is not subject to supervisory reporting at the given reference date, </w:t>
      </w:r>
      <w:r w:rsidRPr="005E73E1">
        <w:rPr>
          <w:u w:val="none"/>
        </w:rPr>
        <w:t>the entity will be required to declare the</w:t>
      </w:r>
      <w:r w:rsidRPr="00F00547">
        <w:rPr>
          <w:u w:val="none"/>
        </w:rPr>
        <w:t>se data points in line with the instructions provided in this Annex.</w:t>
      </w:r>
      <w:r w:rsidRPr="00F45FAC">
        <w:rPr>
          <w:u w:val="none"/>
        </w:rPr>
        <w:t xml:space="preserve"> </w:t>
      </w:r>
    </w:p>
    <w:p w:rsidRPr="00D43D39" w:rsidR="00D2262D" w:rsidP="5129E6BD" w:rsidRDefault="0015524E" w14:paraId="393F5D20" w14:textId="28E97ACB">
      <w:pPr>
        <w:pStyle w:val="Instructionsberschrift2"/>
        <w:numPr>
          <w:ilvl w:val="1"/>
          <w:numId w:val="49"/>
        </w:numPr>
        <w:ind w:left="357" w:hanging="357"/>
        <w:rPr>
          <w:rFonts w:ascii="Times New Roman" w:hAnsi="Times New Roman" w:cs="Times New Roman"/>
        </w:rPr>
      </w:pPr>
      <w:bookmarkStart w:name="_Toc172732218" w:id="13"/>
      <w:bookmarkEnd w:id="10"/>
      <w:r w:rsidRPr="00D43D39">
        <w:rPr>
          <w:rFonts w:ascii="Times New Roman" w:hAnsi="Times New Roman" w:cs="Times New Roman"/>
        </w:rPr>
        <w:t>Scope of consolidation</w:t>
      </w:r>
      <w:bookmarkEnd w:id="11"/>
      <w:bookmarkEnd w:id="13"/>
    </w:p>
    <w:p w:rsidRPr="00D43D39" w:rsidR="00CF3051" w:rsidP="005F5507" w:rsidRDefault="00883A6B" w14:paraId="4EE4713C" w14:textId="77777777">
      <w:pPr>
        <w:pStyle w:val="InstructionsText2"/>
        <w:numPr>
          <w:ilvl w:val="0"/>
          <w:numId w:val="228"/>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This framework </w:t>
      </w:r>
      <w:r w:rsidRPr="00D43D39" w:rsidR="00D35823">
        <w:rPr>
          <w:rFonts w:ascii="Times New Roman" w:hAnsi="Times New Roman" w:cs="Times New Roman"/>
          <w:sz w:val="20"/>
          <w:szCs w:val="20"/>
          <w:lang w:val="en-GB"/>
        </w:rPr>
        <w:t>refers</w:t>
      </w:r>
      <w:r w:rsidRPr="00D43D39">
        <w:rPr>
          <w:rFonts w:ascii="Times New Roman" w:hAnsi="Times New Roman" w:cs="Times New Roman"/>
          <w:sz w:val="20"/>
          <w:szCs w:val="20"/>
          <w:lang w:val="en-GB"/>
        </w:rPr>
        <w:t xml:space="preserve">, depending on the template, </w:t>
      </w:r>
      <w:r w:rsidRPr="00D43D39" w:rsidR="00110C6B">
        <w:rPr>
          <w:rFonts w:ascii="Times New Roman" w:hAnsi="Times New Roman" w:cs="Times New Roman"/>
          <w:sz w:val="20"/>
          <w:szCs w:val="20"/>
          <w:lang w:val="en-GB"/>
        </w:rPr>
        <w:t>to</w:t>
      </w:r>
      <w:r w:rsidRPr="00D43D39" w:rsidR="00CF3051">
        <w:rPr>
          <w:rFonts w:ascii="Times New Roman" w:hAnsi="Times New Roman" w:cs="Times New Roman"/>
          <w:sz w:val="20"/>
          <w:szCs w:val="20"/>
          <w:lang w:val="en-GB"/>
        </w:rPr>
        <w:t>:</w:t>
      </w:r>
    </w:p>
    <w:p w:rsidRPr="005F5507" w:rsidR="00CF3051" w:rsidP="005F5507" w:rsidRDefault="3B2DFB2B" w14:paraId="2CD8F81E" w14:textId="77777777">
      <w:pPr>
        <w:pStyle w:val="numberedparagraph"/>
        <w:numPr>
          <w:ilvl w:val="0"/>
          <w:numId w:val="81"/>
        </w:numPr>
        <w:rPr>
          <w:rFonts w:ascii="Times New Roman" w:hAnsi="Times New Roman" w:cs="Times New Roman" w:eastAsiaTheme="majorEastAsia"/>
        </w:rPr>
      </w:pPr>
      <w:r w:rsidRPr="005F5507">
        <w:rPr>
          <w:rFonts w:ascii="Times New Roman" w:hAnsi="Times New Roman" w:cs="Times New Roman"/>
          <w:lang w:eastAsia="de-DE"/>
        </w:rPr>
        <w:t>consolidation</w:t>
      </w:r>
      <w:r w:rsidRPr="005F5507" w:rsidR="7F5EB764">
        <w:rPr>
          <w:rFonts w:ascii="Times New Roman" w:hAnsi="Times New Roman" w:cs="Times New Roman"/>
          <w:lang w:eastAsia="de-DE"/>
        </w:rPr>
        <w:t xml:space="preserve"> </w:t>
      </w:r>
      <w:r w:rsidRPr="005F5507">
        <w:rPr>
          <w:rFonts w:ascii="Times New Roman" w:hAnsi="Times New Roman" w:cs="Times New Roman"/>
          <w:lang w:eastAsia="de-DE"/>
        </w:rPr>
        <w:t>on the basis of accounting consolidation</w:t>
      </w:r>
      <w:r w:rsidRPr="005F5507" w:rsidR="13FC3B1C">
        <w:rPr>
          <w:rFonts w:ascii="Times New Roman" w:hAnsi="Times New Roman" w:cs="Times New Roman"/>
          <w:lang w:eastAsia="de-DE"/>
        </w:rPr>
        <w:t xml:space="preserve"> (entities included in the consolidated financial statements</w:t>
      </w:r>
      <w:r w:rsidRPr="005F5507" w:rsidR="23CFA8E9">
        <w:rPr>
          <w:rFonts w:ascii="Times New Roman" w:hAnsi="Times New Roman" w:cs="Times New Roman"/>
          <w:lang w:eastAsia="de-DE"/>
        </w:rPr>
        <w:t xml:space="preserve"> according to the applicable accounting framework</w:t>
      </w:r>
      <w:r w:rsidRPr="005F5507" w:rsidR="13FC3B1C">
        <w:rPr>
          <w:rFonts w:ascii="Times New Roman" w:hAnsi="Times New Roman" w:cs="Times New Roman"/>
          <w:lang w:eastAsia="de-DE"/>
        </w:rPr>
        <w:t>)</w:t>
      </w:r>
      <w:r w:rsidRPr="005F5507" w:rsidR="26B87889">
        <w:rPr>
          <w:rFonts w:ascii="Times New Roman" w:hAnsi="Times New Roman" w:cs="Times New Roman"/>
          <w:lang w:eastAsia="de-DE"/>
        </w:rPr>
        <w:t>;</w:t>
      </w:r>
    </w:p>
    <w:p w:rsidRPr="005F5507" w:rsidR="00CF3051" w:rsidP="005F5507" w:rsidRDefault="3B2DFB2B" w14:paraId="1AB37144" w14:textId="09F0FCC0">
      <w:pPr>
        <w:pStyle w:val="numberedparagraph"/>
        <w:numPr>
          <w:ilvl w:val="0"/>
          <w:numId w:val="81"/>
        </w:numPr>
        <w:rPr>
          <w:rFonts w:ascii="Times New Roman" w:hAnsi="Times New Roman" w:cs="Times New Roman" w:eastAsiaTheme="majorEastAsia"/>
        </w:rPr>
      </w:pPr>
      <w:r w:rsidRPr="005F5507">
        <w:rPr>
          <w:rFonts w:ascii="Times New Roman" w:hAnsi="Times New Roman" w:cs="Times New Roman"/>
          <w:lang w:eastAsia="de-DE"/>
        </w:rPr>
        <w:t xml:space="preserve">prudential consolidation </w:t>
      </w:r>
      <w:r w:rsidRPr="005F5507" w:rsidR="23CFA8E9">
        <w:rPr>
          <w:rFonts w:ascii="Times New Roman" w:hAnsi="Times New Roman" w:cs="Times New Roman"/>
          <w:lang w:eastAsia="de-DE"/>
        </w:rPr>
        <w:t xml:space="preserve">(entities within the scope of consolidation according to Chapter 2 of Title II of Part One of </w:t>
      </w:r>
      <w:r w:rsidRPr="005F5507" w:rsidR="55E13499">
        <w:rPr>
          <w:rFonts w:ascii="Times New Roman" w:hAnsi="Times New Roman" w:cs="Times New Roman"/>
          <w:lang w:eastAsia="de-DE"/>
        </w:rPr>
        <w:t>Regulation (EU) No 575/2013 of the European Parliament and of the Council</w:t>
      </w:r>
      <w:r w:rsidRPr="005F5507" w:rsidR="00876809">
        <w:rPr>
          <w:rFonts w:ascii="Times New Roman" w:hAnsi="Times New Roman" w:cs="Times New Roman"/>
          <w:vertAlign w:val="superscript"/>
          <w:lang w:eastAsia="de-DE"/>
        </w:rPr>
        <w:footnoteReference w:id="6"/>
      </w:r>
      <w:r w:rsidR="00F75597">
        <w:rPr>
          <w:rFonts w:ascii="Times New Roman" w:hAnsi="Times New Roman" w:cs="Times New Roman"/>
          <w:lang w:eastAsia="de-DE"/>
        </w:rPr>
        <w:t xml:space="preserve"> </w:t>
      </w:r>
      <w:r w:rsidRPr="005F5507" w:rsidR="23CFA8E9">
        <w:rPr>
          <w:rFonts w:ascii="Times New Roman" w:hAnsi="Times New Roman" w:cs="Times New Roman"/>
          <w:lang w:eastAsia="de-DE"/>
        </w:rPr>
        <w:t>at the level of the Union parent undertaking</w:t>
      </w:r>
      <w:r w:rsidRPr="005F5507" w:rsidR="6D86FF82">
        <w:rPr>
          <w:rFonts w:ascii="Times New Roman" w:hAnsi="Times New Roman" w:cs="Times New Roman"/>
          <w:lang w:eastAsia="de-DE"/>
        </w:rPr>
        <w:t>;</w:t>
      </w:r>
      <w:r w:rsidRPr="005F5507" w:rsidR="23CFA8E9">
        <w:rPr>
          <w:rFonts w:ascii="Times New Roman" w:hAnsi="Times New Roman" w:cs="Times New Roman"/>
          <w:lang w:eastAsia="de-DE"/>
        </w:rPr>
        <w:t xml:space="preserve"> </w:t>
      </w:r>
    </w:p>
    <w:p w:rsidRPr="005F5507" w:rsidR="00CF3051" w:rsidP="005F5507" w:rsidRDefault="3B2DFB2B" w14:paraId="710CF36D" w14:textId="77777777">
      <w:pPr>
        <w:pStyle w:val="numberedparagraph"/>
        <w:numPr>
          <w:ilvl w:val="0"/>
          <w:numId w:val="81"/>
        </w:numPr>
        <w:rPr>
          <w:rFonts w:ascii="Times New Roman" w:hAnsi="Times New Roman" w:cs="Times New Roman" w:eastAsiaTheme="majorEastAsia"/>
        </w:rPr>
      </w:pPr>
      <w:r w:rsidRPr="005F5507">
        <w:rPr>
          <w:rFonts w:ascii="Times New Roman" w:hAnsi="Times New Roman" w:cs="Times New Roman"/>
          <w:lang w:eastAsia="de-DE"/>
        </w:rPr>
        <w:t xml:space="preserve">consolidation at the level of </w:t>
      </w:r>
      <w:r w:rsidRPr="005F5507" w:rsidR="3DC8E8A4">
        <w:rPr>
          <w:rFonts w:ascii="Times New Roman" w:hAnsi="Times New Roman" w:cs="Times New Roman"/>
          <w:lang w:eastAsia="de-DE"/>
        </w:rPr>
        <w:t xml:space="preserve">the resolution entity for </w:t>
      </w:r>
      <w:r w:rsidRPr="005F5507">
        <w:rPr>
          <w:rFonts w:ascii="Times New Roman" w:hAnsi="Times New Roman" w:cs="Times New Roman"/>
          <w:lang w:eastAsia="de-DE"/>
        </w:rPr>
        <w:t xml:space="preserve">the </w:t>
      </w:r>
      <w:r w:rsidRPr="005F5507" w:rsidR="23CFA8E9">
        <w:rPr>
          <w:rFonts w:ascii="Times New Roman" w:hAnsi="Times New Roman" w:cs="Times New Roman"/>
          <w:lang w:eastAsia="de-DE"/>
        </w:rPr>
        <w:t>resolution group.</w:t>
      </w:r>
    </w:p>
    <w:p w:rsidRPr="00D43D39" w:rsidR="00883A6B" w:rsidP="005F5507" w:rsidRDefault="009E43E8" w14:paraId="18E37F81" w14:textId="7D1CFE7B">
      <w:pPr>
        <w:pStyle w:val="InstructionsText2"/>
        <w:numPr>
          <w:ilvl w:val="0"/>
          <w:numId w:val="229"/>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For each template</w:t>
      </w:r>
      <w:r w:rsidRPr="00D43D39" w:rsidR="003E2EE0">
        <w:rPr>
          <w:rFonts w:ascii="Times New Roman" w:hAnsi="Times New Roman" w:cs="Times New Roman"/>
          <w:sz w:val="20"/>
          <w:szCs w:val="20"/>
          <w:lang w:val="en-GB"/>
        </w:rPr>
        <w:t>,</w:t>
      </w:r>
      <w:r w:rsidRPr="00D43D39">
        <w:rPr>
          <w:rFonts w:ascii="Times New Roman" w:hAnsi="Times New Roman" w:cs="Times New Roman"/>
          <w:sz w:val="20"/>
          <w:szCs w:val="20"/>
          <w:lang w:val="en-GB"/>
        </w:rPr>
        <w:t xml:space="preserve"> i</w:t>
      </w:r>
      <w:r w:rsidRPr="00D43D39" w:rsidR="008323DE">
        <w:rPr>
          <w:rFonts w:ascii="Times New Roman" w:hAnsi="Times New Roman" w:cs="Times New Roman"/>
          <w:sz w:val="20"/>
          <w:szCs w:val="20"/>
          <w:lang w:val="en-GB"/>
        </w:rPr>
        <w:t xml:space="preserve">nstitutions shall follow the consolidation basis </w:t>
      </w:r>
      <w:r w:rsidRPr="00D43D39" w:rsidR="00151EC7">
        <w:rPr>
          <w:rFonts w:ascii="Times New Roman" w:hAnsi="Times New Roman" w:cs="Times New Roman"/>
          <w:sz w:val="20"/>
          <w:szCs w:val="20"/>
          <w:lang w:val="en-GB"/>
        </w:rPr>
        <w:t xml:space="preserve">or bases applicable </w:t>
      </w:r>
      <w:r w:rsidRPr="00D43D39" w:rsidR="008323DE">
        <w:rPr>
          <w:rFonts w:ascii="Times New Roman" w:hAnsi="Times New Roman" w:cs="Times New Roman"/>
          <w:sz w:val="20"/>
          <w:szCs w:val="20"/>
          <w:lang w:val="en-GB"/>
        </w:rPr>
        <w:t xml:space="preserve">pursuant to Article </w:t>
      </w:r>
      <w:r w:rsidR="00717CEF">
        <w:rPr>
          <w:rFonts w:ascii="Times New Roman" w:hAnsi="Times New Roman" w:cs="Times New Roman"/>
          <w:sz w:val="20"/>
          <w:szCs w:val="20"/>
          <w:lang w:val="en-GB"/>
        </w:rPr>
        <w:t>2 to Article 5</w:t>
      </w:r>
      <w:r w:rsidRPr="00D43D39" w:rsidR="00AD5F94">
        <w:rPr>
          <w:rFonts w:ascii="Times New Roman" w:hAnsi="Times New Roman" w:cs="Times New Roman"/>
          <w:sz w:val="20"/>
          <w:szCs w:val="20"/>
          <w:lang w:val="en-GB"/>
        </w:rPr>
        <w:t xml:space="preserve"> </w:t>
      </w:r>
      <w:r w:rsidRPr="00D43D39" w:rsidR="008323DE">
        <w:rPr>
          <w:rFonts w:ascii="Times New Roman" w:hAnsi="Times New Roman" w:cs="Times New Roman"/>
          <w:sz w:val="20"/>
          <w:szCs w:val="20"/>
          <w:lang w:val="en-GB"/>
        </w:rPr>
        <w:t>of this Regulation.</w:t>
      </w:r>
    </w:p>
    <w:p w:rsidRPr="00D43D39" w:rsidR="0028403B" w:rsidP="5129E6BD" w:rsidRDefault="00863EFA" w14:paraId="6A9F48B5" w14:textId="77777777">
      <w:pPr>
        <w:pStyle w:val="Instructionsberschrift2"/>
        <w:numPr>
          <w:ilvl w:val="1"/>
          <w:numId w:val="49"/>
        </w:numPr>
        <w:ind w:left="357" w:hanging="357"/>
        <w:rPr>
          <w:rFonts w:ascii="Times New Roman" w:hAnsi="Times New Roman" w:cs="Times New Roman"/>
        </w:rPr>
      </w:pPr>
      <w:bookmarkStart w:name="_Toc81454175" w:id="14"/>
      <w:bookmarkStart w:name="_Toc172732219" w:id="15"/>
      <w:r w:rsidRPr="00D43D39">
        <w:rPr>
          <w:rFonts w:ascii="Times New Roman" w:hAnsi="Times New Roman" w:cs="Times New Roman"/>
        </w:rPr>
        <w:t>Numbering and other conventions</w:t>
      </w:r>
      <w:bookmarkEnd w:id="14"/>
      <w:bookmarkEnd w:id="15"/>
    </w:p>
    <w:p w:rsidRPr="00D43D39" w:rsidR="00863EFA" w:rsidP="005F5507" w:rsidRDefault="00863EFA" w14:paraId="7BB54794" w14:textId="493AD4D8">
      <w:pPr>
        <w:pStyle w:val="InstructionsText2"/>
        <w:numPr>
          <w:ilvl w:val="0"/>
          <w:numId w:val="230"/>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The</w:t>
      </w:r>
      <w:r w:rsidRPr="00D43D39" w:rsidR="000B669C">
        <w:rPr>
          <w:rFonts w:ascii="Times New Roman" w:hAnsi="Times New Roman" w:cs="Times New Roman"/>
          <w:sz w:val="20"/>
          <w:szCs w:val="20"/>
          <w:lang w:val="en-GB"/>
        </w:rPr>
        <w:t xml:space="preserve">se instructions </w:t>
      </w:r>
      <w:r w:rsidRPr="00D43D39">
        <w:rPr>
          <w:rFonts w:ascii="Times New Roman" w:hAnsi="Times New Roman" w:cs="Times New Roman"/>
          <w:sz w:val="20"/>
          <w:szCs w:val="20"/>
          <w:lang w:val="en-GB"/>
        </w:rPr>
        <w:t xml:space="preserve">follow the labelling convention </w:t>
      </w:r>
      <w:r w:rsidRPr="00D43D39" w:rsidR="00A915CE">
        <w:rPr>
          <w:rFonts w:ascii="Times New Roman" w:hAnsi="Times New Roman" w:cs="Times New Roman"/>
          <w:sz w:val="20"/>
          <w:szCs w:val="20"/>
          <w:lang w:val="en-GB"/>
        </w:rPr>
        <w:t>laid out below</w:t>
      </w:r>
      <w:r w:rsidRPr="00D43D39">
        <w:rPr>
          <w:rFonts w:ascii="Times New Roman" w:hAnsi="Times New Roman" w:cs="Times New Roman"/>
          <w:sz w:val="20"/>
          <w:szCs w:val="20"/>
          <w:lang w:val="en-GB"/>
        </w:rPr>
        <w:t xml:space="preserve">, when referring to the columns, </w:t>
      </w:r>
      <w:r w:rsidRPr="00D43D39" w:rsidR="008E145C">
        <w:rPr>
          <w:rFonts w:ascii="Times New Roman" w:hAnsi="Times New Roman" w:cs="Times New Roman"/>
          <w:sz w:val="20"/>
          <w:szCs w:val="20"/>
          <w:lang w:val="en-GB"/>
        </w:rPr>
        <w:t>row</w:t>
      </w:r>
      <w:r w:rsidRPr="00D43D39">
        <w:rPr>
          <w:rFonts w:ascii="Times New Roman" w:hAnsi="Times New Roman" w:cs="Times New Roman"/>
          <w:sz w:val="20"/>
          <w:szCs w:val="20"/>
          <w:lang w:val="en-GB"/>
        </w:rPr>
        <w:t>s and cells of the templates. These numerical codes are extensively used in the validation rules.</w:t>
      </w:r>
    </w:p>
    <w:p w:rsidRPr="00D43D39" w:rsidR="00863EFA" w:rsidP="005F5507" w:rsidRDefault="00863EFA" w14:paraId="7487F452" w14:textId="493183E4">
      <w:pPr>
        <w:pStyle w:val="InstructionsText2"/>
        <w:numPr>
          <w:ilvl w:val="0"/>
          <w:numId w:val="230"/>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The following general notation is </w:t>
      </w:r>
      <w:r w:rsidRPr="00D43D39" w:rsidR="00BA4315">
        <w:rPr>
          <w:rFonts w:ascii="Times New Roman" w:hAnsi="Times New Roman" w:cs="Times New Roman"/>
          <w:sz w:val="20"/>
          <w:szCs w:val="20"/>
          <w:lang w:val="en-GB"/>
        </w:rPr>
        <w:t xml:space="preserve">used in these </w:t>
      </w:r>
      <w:r w:rsidRPr="00D43D39">
        <w:rPr>
          <w:rFonts w:ascii="Times New Roman" w:hAnsi="Times New Roman" w:cs="Times New Roman"/>
          <w:sz w:val="20"/>
          <w:szCs w:val="20"/>
          <w:lang w:val="en-GB"/>
        </w:rPr>
        <w:t>instructions</w:t>
      </w:r>
      <w:r w:rsidRPr="00D43D39" w:rsidR="00840179">
        <w:rPr>
          <w:rFonts w:ascii="Times New Roman" w:hAnsi="Times New Roman" w:cs="Times New Roman"/>
          <w:sz w:val="20"/>
          <w:szCs w:val="20"/>
          <w:lang w:val="en-GB"/>
        </w:rPr>
        <w:t xml:space="preserve"> to refer to columns, </w:t>
      </w:r>
      <w:r w:rsidRPr="00D43D39" w:rsidR="008E145C">
        <w:rPr>
          <w:rFonts w:ascii="Times New Roman" w:hAnsi="Times New Roman" w:cs="Times New Roman"/>
          <w:sz w:val="20"/>
          <w:szCs w:val="20"/>
          <w:lang w:val="en-GB"/>
        </w:rPr>
        <w:t>line</w:t>
      </w:r>
      <w:r w:rsidRPr="00D43D39" w:rsidR="00840179">
        <w:rPr>
          <w:rFonts w:ascii="Times New Roman" w:hAnsi="Times New Roman" w:cs="Times New Roman"/>
          <w:sz w:val="20"/>
          <w:szCs w:val="20"/>
          <w:lang w:val="en-GB"/>
        </w:rPr>
        <w:t>s</w:t>
      </w:r>
      <w:r w:rsidRPr="00D43D39" w:rsidR="004E0581">
        <w:rPr>
          <w:rFonts w:ascii="Times New Roman" w:hAnsi="Times New Roman" w:cs="Times New Roman"/>
          <w:sz w:val="20"/>
          <w:szCs w:val="20"/>
          <w:lang w:val="en-GB"/>
        </w:rPr>
        <w:t xml:space="preserve"> and cells of a template</w:t>
      </w:r>
      <w:r w:rsidRPr="00D43D39">
        <w:rPr>
          <w:rFonts w:ascii="Times New Roman" w:hAnsi="Times New Roman" w:cs="Times New Roman"/>
          <w:sz w:val="20"/>
          <w:szCs w:val="20"/>
          <w:lang w:val="en-GB"/>
        </w:rPr>
        <w:t>: {Template;</w:t>
      </w:r>
      <w:r w:rsidRPr="00D43D39" w:rsidR="008E145C">
        <w:rPr>
          <w:rFonts w:ascii="Times New Roman" w:hAnsi="Times New Roman" w:cs="Times New Roman"/>
          <w:sz w:val="20"/>
          <w:szCs w:val="20"/>
          <w:lang w:val="en-GB"/>
        </w:rPr>
        <w:t>Row</w:t>
      </w:r>
      <w:r w:rsidRPr="00D43D39">
        <w:rPr>
          <w:rFonts w:ascii="Times New Roman" w:hAnsi="Times New Roman" w:cs="Times New Roman"/>
          <w:sz w:val="20"/>
          <w:szCs w:val="20"/>
          <w:lang w:val="en-GB"/>
        </w:rPr>
        <w:t>;Column}.</w:t>
      </w:r>
    </w:p>
    <w:p w:rsidRPr="00D43D39" w:rsidR="00863EFA" w:rsidP="005F5507" w:rsidRDefault="00863EFA" w14:paraId="1EB4DBDC" w14:textId="0B9D972D">
      <w:pPr>
        <w:pStyle w:val="InstructionsText2"/>
        <w:numPr>
          <w:ilvl w:val="0"/>
          <w:numId w:val="230"/>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In the case of validations inside a template, in which only data points of that template </w:t>
      </w:r>
      <w:r w:rsidRPr="00D43D39" w:rsidR="00304D8A">
        <w:rPr>
          <w:rFonts w:ascii="Times New Roman" w:hAnsi="Times New Roman" w:cs="Times New Roman"/>
          <w:sz w:val="20"/>
          <w:szCs w:val="20"/>
          <w:lang w:val="en-GB"/>
        </w:rPr>
        <w:t xml:space="preserve">are </w:t>
      </w:r>
      <w:r w:rsidRPr="00D43D39">
        <w:rPr>
          <w:rFonts w:ascii="Times New Roman" w:hAnsi="Times New Roman" w:cs="Times New Roman"/>
          <w:sz w:val="20"/>
          <w:szCs w:val="20"/>
          <w:lang w:val="en-GB"/>
        </w:rPr>
        <w:t>used, notations do not refer to a template: {</w:t>
      </w:r>
      <w:r w:rsidRPr="00D43D39" w:rsidR="008E145C">
        <w:rPr>
          <w:rFonts w:ascii="Times New Roman" w:hAnsi="Times New Roman" w:cs="Times New Roman"/>
          <w:sz w:val="20"/>
          <w:szCs w:val="20"/>
          <w:lang w:val="en-GB"/>
        </w:rPr>
        <w:t>Row</w:t>
      </w:r>
      <w:r w:rsidRPr="00D43D39">
        <w:rPr>
          <w:rFonts w:ascii="Times New Roman" w:hAnsi="Times New Roman" w:cs="Times New Roman"/>
          <w:sz w:val="20"/>
          <w:szCs w:val="20"/>
          <w:lang w:val="en-GB"/>
        </w:rPr>
        <w:t>;Column}.</w:t>
      </w:r>
    </w:p>
    <w:p w:rsidRPr="00D43D39" w:rsidR="00863EFA" w:rsidP="005F5507" w:rsidRDefault="00863EFA" w14:paraId="1B635A52" w14:textId="77777777">
      <w:pPr>
        <w:pStyle w:val="InstructionsText2"/>
        <w:numPr>
          <w:ilvl w:val="0"/>
          <w:numId w:val="230"/>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In the case of templates with only one column, only rows are referred to</w:t>
      </w:r>
      <w:r w:rsidRPr="00D43D39" w:rsidR="0078572B">
        <w:rPr>
          <w:rFonts w:ascii="Times New Roman" w:hAnsi="Times New Roman" w:cs="Times New Roman"/>
          <w:sz w:val="20"/>
          <w:szCs w:val="20"/>
          <w:lang w:val="en-GB"/>
        </w:rPr>
        <w:t>:</w:t>
      </w:r>
      <w:r w:rsidRPr="00D43D39">
        <w:rPr>
          <w:rFonts w:ascii="Times New Roman" w:hAnsi="Times New Roman" w:cs="Times New Roman"/>
          <w:sz w:val="20"/>
          <w:szCs w:val="20"/>
          <w:lang w:val="en-GB"/>
        </w:rPr>
        <w:t xml:space="preserve"> {Template;Row}</w:t>
      </w:r>
      <w:r w:rsidRPr="00D43D39" w:rsidR="0078572B">
        <w:rPr>
          <w:rFonts w:ascii="Times New Roman" w:hAnsi="Times New Roman" w:cs="Times New Roman"/>
          <w:sz w:val="20"/>
          <w:szCs w:val="20"/>
          <w:lang w:val="en-GB"/>
        </w:rPr>
        <w:t>.</w:t>
      </w:r>
    </w:p>
    <w:p w:rsidRPr="00D43D39" w:rsidR="00863EFA" w:rsidP="005F5507" w:rsidRDefault="00863EFA" w14:paraId="4D8CB5A2" w14:textId="77777777">
      <w:pPr>
        <w:pStyle w:val="InstructionsText2"/>
        <w:numPr>
          <w:ilvl w:val="0"/>
          <w:numId w:val="230"/>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An asterisk sign is used to express that the validation is done for the rows or columns specified before.</w:t>
      </w:r>
    </w:p>
    <w:p w:rsidRPr="00D43D39" w:rsidR="00E857A0" w:rsidP="005F5507" w:rsidRDefault="00B343C7" w14:paraId="2A20EA62" w14:textId="77777777">
      <w:pPr>
        <w:pStyle w:val="InstructionsText2"/>
        <w:numPr>
          <w:ilvl w:val="0"/>
          <w:numId w:val="230"/>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Where an information item is not applicable to the entities for which the report is submitted</w:t>
      </w:r>
      <w:r w:rsidRPr="00D43D39" w:rsidR="0028403B">
        <w:rPr>
          <w:rFonts w:ascii="Times New Roman" w:hAnsi="Times New Roman" w:cs="Times New Roman"/>
          <w:sz w:val="20"/>
          <w:szCs w:val="20"/>
          <w:lang w:val="en-GB"/>
        </w:rPr>
        <w:t>, the corresponding field shall be left blank.</w:t>
      </w:r>
    </w:p>
    <w:p w:rsidRPr="00D43D39" w:rsidR="00E108B3" w:rsidP="005F5507" w:rsidRDefault="00E108B3" w14:paraId="4BCC85F8" w14:textId="77777777">
      <w:pPr>
        <w:pStyle w:val="InstructionsText2"/>
        <w:numPr>
          <w:ilvl w:val="0"/>
          <w:numId w:val="230"/>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Where </w:t>
      </w:r>
      <w:r w:rsidRPr="00D43D39" w:rsidR="002C034F">
        <w:rPr>
          <w:rFonts w:ascii="Times New Roman" w:hAnsi="Times New Roman" w:cs="Times New Roman"/>
          <w:sz w:val="20"/>
          <w:szCs w:val="20"/>
          <w:lang w:val="en-GB"/>
        </w:rPr>
        <w:t>these instructions refer to a primary</w:t>
      </w:r>
      <w:r w:rsidRPr="00D43D39" w:rsidR="00D32374">
        <w:rPr>
          <w:rFonts w:ascii="Times New Roman" w:hAnsi="Times New Roman" w:cs="Times New Roman"/>
          <w:sz w:val="20"/>
          <w:szCs w:val="20"/>
          <w:lang w:val="en-GB"/>
        </w:rPr>
        <w:t xml:space="preserve"> key</w:t>
      </w:r>
      <w:r w:rsidRPr="00D43D39" w:rsidR="002C034F">
        <w:rPr>
          <w:rFonts w:ascii="Times New Roman" w:hAnsi="Times New Roman" w:cs="Times New Roman"/>
          <w:sz w:val="20"/>
          <w:szCs w:val="20"/>
          <w:lang w:val="en-GB"/>
        </w:rPr>
        <w:t xml:space="preserve">, this shall mean </w:t>
      </w:r>
      <w:r w:rsidRPr="00D43D39">
        <w:rPr>
          <w:rFonts w:ascii="Times New Roman" w:hAnsi="Times New Roman" w:cs="Times New Roman"/>
          <w:sz w:val="20"/>
          <w:szCs w:val="20"/>
          <w:lang w:val="en-GB"/>
        </w:rPr>
        <w:t xml:space="preserve">a column or combination of columns designated to uniquely identify all the rows of the template. </w:t>
      </w:r>
      <w:r w:rsidRPr="00D43D39" w:rsidR="003B6E4E">
        <w:rPr>
          <w:rFonts w:ascii="Times New Roman" w:hAnsi="Times New Roman" w:cs="Times New Roman"/>
          <w:sz w:val="20"/>
          <w:szCs w:val="20"/>
          <w:lang w:val="en-GB"/>
        </w:rPr>
        <w:t xml:space="preserve">A primary key shall </w:t>
      </w:r>
      <w:r w:rsidRPr="00D43D39">
        <w:rPr>
          <w:rFonts w:ascii="Times New Roman" w:hAnsi="Times New Roman" w:cs="Times New Roman"/>
          <w:sz w:val="20"/>
          <w:szCs w:val="20"/>
          <w:lang w:val="en-GB"/>
        </w:rPr>
        <w:t>contain a unique value for each row of the template</w:t>
      </w:r>
      <w:r w:rsidRPr="00D43D39" w:rsidR="003B6E4E">
        <w:rPr>
          <w:rFonts w:ascii="Times New Roman" w:hAnsi="Times New Roman" w:cs="Times New Roman"/>
          <w:sz w:val="20"/>
          <w:szCs w:val="20"/>
          <w:lang w:val="en-GB"/>
        </w:rPr>
        <w:t xml:space="preserve">. It may not </w:t>
      </w:r>
      <w:r w:rsidRPr="00D43D39">
        <w:rPr>
          <w:rFonts w:ascii="Times New Roman" w:hAnsi="Times New Roman" w:cs="Times New Roman"/>
          <w:sz w:val="20"/>
          <w:szCs w:val="20"/>
          <w:lang w:val="en-GB"/>
        </w:rPr>
        <w:t>contain null value.</w:t>
      </w:r>
    </w:p>
    <w:p w:rsidRPr="00D43D39" w:rsidR="001E5EDF" w:rsidP="008854E4" w:rsidRDefault="001E5EDF" w14:paraId="003C692B" w14:textId="77777777">
      <w:pPr>
        <w:pStyle w:val="Instructionsberschrift2"/>
        <w:numPr>
          <w:ilvl w:val="0"/>
          <w:numId w:val="49"/>
        </w:numPr>
        <w:ind w:left="357" w:hanging="357"/>
        <w:rPr>
          <w:rFonts w:ascii="Times New Roman" w:hAnsi="Times New Roman" w:cs="Times New Roman"/>
          <w:szCs w:val="20"/>
        </w:rPr>
      </w:pPr>
      <w:bookmarkStart w:name="_Toc492542319" w:id="16"/>
      <w:bookmarkStart w:name="_Toc81454176" w:id="17"/>
      <w:bookmarkStart w:name="_Toc172732220" w:id="18"/>
      <w:r w:rsidRPr="00D43D39">
        <w:rPr>
          <w:rFonts w:ascii="Times New Roman" w:hAnsi="Times New Roman" w:cs="Times New Roman"/>
          <w:szCs w:val="20"/>
        </w:rPr>
        <w:t>Template</w:t>
      </w:r>
      <w:r w:rsidRPr="00D43D39" w:rsidR="00AF189E">
        <w:rPr>
          <w:rFonts w:ascii="Times New Roman" w:hAnsi="Times New Roman" w:cs="Times New Roman"/>
          <w:szCs w:val="20"/>
        </w:rPr>
        <w:t>-</w:t>
      </w:r>
      <w:r w:rsidRPr="00D43D39">
        <w:rPr>
          <w:rFonts w:ascii="Times New Roman" w:hAnsi="Times New Roman" w:cs="Times New Roman"/>
          <w:szCs w:val="20"/>
        </w:rPr>
        <w:t>related instructions</w:t>
      </w:r>
      <w:bookmarkEnd w:id="16"/>
      <w:bookmarkEnd w:id="17"/>
      <w:bookmarkEnd w:id="18"/>
    </w:p>
    <w:p w:rsidRPr="00D43D39" w:rsidR="00E13CE3" w:rsidP="5129E6BD" w:rsidRDefault="00F7117F" w14:paraId="289B4394" w14:textId="7BED3A5B">
      <w:pPr>
        <w:pStyle w:val="Instructionsberschrift2"/>
        <w:numPr>
          <w:ilvl w:val="1"/>
          <w:numId w:val="49"/>
        </w:numPr>
        <w:ind w:left="357" w:hanging="357"/>
        <w:rPr>
          <w:rFonts w:ascii="Times New Roman" w:hAnsi="Times New Roman" w:cs="Times New Roman"/>
        </w:rPr>
      </w:pPr>
      <w:bookmarkStart w:name="_Toc493236007" w:id="19"/>
      <w:bookmarkStart w:name="_Toc81454177" w:id="20"/>
      <w:bookmarkStart w:name="_Toc172732221" w:id="21"/>
      <w:bookmarkEnd w:id="19"/>
      <w:r w:rsidRPr="00D43D39">
        <w:rPr>
          <w:rFonts w:ascii="Times New Roman" w:hAnsi="Times New Roman" w:cs="Times New Roman"/>
        </w:rPr>
        <w:t>Z 0</w:t>
      </w:r>
      <w:r w:rsidRPr="00D43D39" w:rsidR="008B7317">
        <w:rPr>
          <w:rFonts w:ascii="Times New Roman" w:hAnsi="Times New Roman" w:cs="Times New Roman"/>
        </w:rPr>
        <w:t>1.</w:t>
      </w:r>
      <w:r w:rsidRPr="00D43D39" w:rsidR="006367C4">
        <w:rPr>
          <w:rFonts w:ascii="Times New Roman" w:hAnsi="Times New Roman" w:cs="Times New Roman"/>
        </w:rPr>
        <w:t xml:space="preserve">01 </w:t>
      </w:r>
      <w:r w:rsidRPr="00D43D39" w:rsidR="00950878">
        <w:rPr>
          <w:rFonts w:ascii="Times New Roman" w:hAnsi="Times New Roman" w:cs="Times New Roman"/>
        </w:rPr>
        <w:t>–</w:t>
      </w:r>
      <w:r w:rsidRPr="00D43D39" w:rsidR="008B7317">
        <w:rPr>
          <w:rFonts w:ascii="Times New Roman" w:hAnsi="Times New Roman" w:cs="Times New Roman"/>
        </w:rPr>
        <w:t xml:space="preserve"> </w:t>
      </w:r>
      <w:r w:rsidRPr="00D43D39" w:rsidR="00950878">
        <w:rPr>
          <w:rFonts w:ascii="Times New Roman" w:hAnsi="Times New Roman" w:cs="Times New Roman"/>
        </w:rPr>
        <w:t xml:space="preserve">Legal entities </w:t>
      </w:r>
      <w:r w:rsidRPr="00D43D39" w:rsidR="008B7317">
        <w:rPr>
          <w:rFonts w:ascii="Times New Roman" w:hAnsi="Times New Roman" w:cs="Times New Roman"/>
        </w:rPr>
        <w:t>(ORG</w:t>
      </w:r>
      <w:r w:rsidRPr="00D43D39" w:rsidR="00950878">
        <w:rPr>
          <w:rFonts w:ascii="Times New Roman" w:hAnsi="Times New Roman" w:cs="Times New Roman"/>
        </w:rPr>
        <w:t xml:space="preserve"> 1</w:t>
      </w:r>
      <w:r w:rsidRPr="00D43D39" w:rsidR="008B7317">
        <w:rPr>
          <w:rFonts w:ascii="Times New Roman" w:hAnsi="Times New Roman" w:cs="Times New Roman"/>
        </w:rPr>
        <w:t>)</w:t>
      </w:r>
      <w:bookmarkEnd w:id="20"/>
      <w:bookmarkEnd w:id="21"/>
    </w:p>
    <w:p w:rsidRPr="00D43D39" w:rsidR="00E13CE3" w:rsidP="00EC261B" w:rsidRDefault="00E13CE3" w14:paraId="677C5E01" w14:textId="77777777">
      <w:pPr>
        <w:pStyle w:val="Instructionsberschrift3"/>
        <w:rPr>
          <w:lang w:val="en-GB"/>
        </w:rPr>
      </w:pPr>
      <w:r w:rsidRPr="00D43D39">
        <w:rPr>
          <w:lang w:val="en-GB"/>
        </w:rPr>
        <w:t>General</w:t>
      </w:r>
      <w:r w:rsidRPr="00D43D39" w:rsidR="001E5EDF">
        <w:rPr>
          <w:lang w:val="en-GB"/>
        </w:rPr>
        <w:t xml:space="preserve"> remarks</w:t>
      </w:r>
    </w:p>
    <w:p w:rsidRPr="006167BA" w:rsidR="00273F69" w:rsidP="005F5507" w:rsidRDefault="28A03793" w14:paraId="292F4167" w14:textId="5F46BF0C">
      <w:pPr>
        <w:pStyle w:val="InstructionsText2"/>
        <w:numPr>
          <w:ilvl w:val="0"/>
          <w:numId w:val="231"/>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A single template shall be submitted in relation to all group entities </w:t>
      </w:r>
      <w:r w:rsidRPr="00D43D39" w:rsidR="53F474FF">
        <w:rPr>
          <w:rFonts w:ascii="Times New Roman" w:hAnsi="Times New Roman" w:cs="Times New Roman"/>
          <w:sz w:val="20"/>
          <w:szCs w:val="20"/>
          <w:lang w:val="en-GB"/>
        </w:rPr>
        <w:t>within the scope of accounting consolidation</w:t>
      </w:r>
      <w:r w:rsidRPr="00D43D39">
        <w:rPr>
          <w:rFonts w:ascii="Times New Roman" w:hAnsi="Times New Roman" w:cs="Times New Roman"/>
          <w:sz w:val="20"/>
          <w:szCs w:val="20"/>
          <w:lang w:val="en-GB"/>
        </w:rPr>
        <w:t>.</w:t>
      </w:r>
      <w:r w:rsidRPr="00D43D39" w:rsidR="1CC81CA9">
        <w:rPr>
          <w:rFonts w:ascii="Times New Roman" w:hAnsi="Times New Roman" w:cs="Times New Roman"/>
          <w:sz w:val="20"/>
          <w:szCs w:val="20"/>
          <w:lang w:val="en-GB"/>
        </w:rPr>
        <w:t xml:space="preserve"> </w:t>
      </w:r>
      <w:r w:rsidRPr="00D43D39" w:rsidR="00315530">
        <w:rPr>
          <w:rFonts w:ascii="Times New Roman" w:hAnsi="Times New Roman" w:cs="Times New Roman"/>
          <w:sz w:val="20"/>
          <w:szCs w:val="20"/>
          <w:lang w:val="en-GB"/>
        </w:rPr>
        <w:t xml:space="preserve">Besides </w:t>
      </w:r>
      <w:r w:rsidRPr="00D43D39" w:rsidR="00CE77C1">
        <w:rPr>
          <w:rFonts w:ascii="Times New Roman" w:hAnsi="Times New Roman" w:cs="Times New Roman"/>
          <w:sz w:val="20"/>
          <w:szCs w:val="20"/>
          <w:lang w:val="en-GB"/>
        </w:rPr>
        <w:t xml:space="preserve">identifying the </w:t>
      </w:r>
      <w:r w:rsidRPr="00D43D39" w:rsidR="1CC81CA9">
        <w:rPr>
          <w:rFonts w:ascii="Times New Roman" w:hAnsi="Times New Roman" w:cs="Times New Roman"/>
          <w:sz w:val="20"/>
          <w:szCs w:val="20"/>
          <w:lang w:val="en-GB"/>
        </w:rPr>
        <w:t xml:space="preserve">legal entities </w:t>
      </w:r>
      <w:r w:rsidRPr="00D43D39" w:rsidR="00315530">
        <w:rPr>
          <w:rFonts w:ascii="Times New Roman" w:hAnsi="Times New Roman" w:cs="Times New Roman"/>
          <w:sz w:val="20"/>
          <w:szCs w:val="20"/>
          <w:lang w:val="en-GB"/>
        </w:rPr>
        <w:t xml:space="preserve">of the Group, international branches </w:t>
      </w:r>
      <w:r w:rsidRPr="006167BA" w:rsidR="1CC81CA9">
        <w:rPr>
          <w:rFonts w:ascii="Times New Roman" w:hAnsi="Times New Roman" w:cs="Times New Roman"/>
          <w:sz w:val="20"/>
          <w:szCs w:val="20"/>
          <w:lang w:val="en-GB"/>
        </w:rPr>
        <w:t xml:space="preserve">shall be </w:t>
      </w:r>
      <w:r w:rsidRPr="006167BA" w:rsidR="00387AEF">
        <w:rPr>
          <w:rFonts w:ascii="Times New Roman" w:hAnsi="Times New Roman" w:cs="Times New Roman"/>
          <w:sz w:val="20"/>
          <w:szCs w:val="20"/>
          <w:lang w:val="en-GB"/>
        </w:rPr>
        <w:t xml:space="preserve">considered as entities for </w:t>
      </w:r>
      <w:r w:rsidRPr="006167BA" w:rsidR="1CC81CA9">
        <w:rPr>
          <w:rFonts w:ascii="Times New Roman" w:hAnsi="Times New Roman" w:cs="Times New Roman"/>
          <w:sz w:val="20"/>
          <w:szCs w:val="20"/>
          <w:lang w:val="en-GB"/>
        </w:rPr>
        <w:t xml:space="preserve">this template. </w:t>
      </w:r>
    </w:p>
    <w:p w:rsidRPr="005F5507" w:rsidR="5600CB94" w:rsidP="005F5507" w:rsidRDefault="4A884986" w14:paraId="0AD1270B" w14:textId="2197E0E5">
      <w:pPr>
        <w:pStyle w:val="InstructionsText2"/>
        <w:numPr>
          <w:ilvl w:val="0"/>
          <w:numId w:val="231"/>
        </w:numPr>
        <w:spacing w:before="0"/>
        <w:rPr>
          <w:rFonts w:ascii="Times New Roman" w:hAnsi="Times New Roman" w:cs="Times New Roman"/>
          <w:sz w:val="20"/>
          <w:szCs w:val="20"/>
          <w:lang w:val="en-GB"/>
        </w:rPr>
      </w:pPr>
      <w:r w:rsidRPr="005F5507">
        <w:rPr>
          <w:rFonts w:ascii="Times New Roman" w:hAnsi="Times New Roman" w:cs="Times New Roman"/>
          <w:sz w:val="20"/>
          <w:szCs w:val="20"/>
          <w:lang w:val="en-GB"/>
        </w:rPr>
        <w:t xml:space="preserve">The concept of relevant legal entities is not limited to bank operations only, but </w:t>
      </w:r>
      <w:r w:rsidR="005463EE">
        <w:rPr>
          <w:rFonts w:ascii="Times New Roman" w:hAnsi="Times New Roman" w:cs="Times New Roman"/>
          <w:sz w:val="20"/>
          <w:szCs w:val="20"/>
          <w:lang w:val="en-GB"/>
        </w:rPr>
        <w:t xml:space="preserve">also </w:t>
      </w:r>
      <w:r w:rsidRPr="005F5507">
        <w:rPr>
          <w:rFonts w:ascii="Times New Roman" w:hAnsi="Times New Roman" w:cs="Times New Roman"/>
          <w:sz w:val="20"/>
          <w:szCs w:val="20"/>
          <w:lang w:val="en-GB"/>
        </w:rPr>
        <w:t>include</w:t>
      </w:r>
      <w:r w:rsidR="005463EE">
        <w:rPr>
          <w:rFonts w:ascii="Times New Roman" w:hAnsi="Times New Roman" w:cs="Times New Roman"/>
          <w:sz w:val="20"/>
          <w:szCs w:val="20"/>
          <w:lang w:val="en-GB"/>
        </w:rPr>
        <w:t>s</w:t>
      </w:r>
      <w:r w:rsidRPr="005F5507">
        <w:rPr>
          <w:rFonts w:ascii="Times New Roman" w:hAnsi="Times New Roman" w:cs="Times New Roman"/>
          <w:sz w:val="20"/>
          <w:szCs w:val="20"/>
          <w:lang w:val="en-GB"/>
        </w:rPr>
        <w:t xml:space="preserve"> other entities that are needed to support the bank group’s operations in a substantial way. This include service providers for critical functions or/and </w:t>
      </w:r>
      <w:r w:rsidRPr="005F5507" w:rsidR="4DDC3FE1">
        <w:rPr>
          <w:rFonts w:ascii="Times New Roman" w:hAnsi="Times New Roman" w:cs="Times New Roman"/>
          <w:sz w:val="20"/>
          <w:szCs w:val="20"/>
          <w:lang w:val="en-GB"/>
        </w:rPr>
        <w:t>substantial business lines</w:t>
      </w:r>
      <w:r w:rsidRPr="005F5507">
        <w:rPr>
          <w:rFonts w:ascii="Times New Roman" w:hAnsi="Times New Roman" w:cs="Times New Roman"/>
          <w:sz w:val="20"/>
          <w:szCs w:val="20"/>
          <w:lang w:val="en-GB"/>
        </w:rPr>
        <w:t xml:space="preserve">, funding providing entities and other entities that are highly intertwined (economically) with the group. </w:t>
      </w:r>
      <w:r w:rsidR="009D3860">
        <w:rPr>
          <w:rFonts w:ascii="Times New Roman" w:hAnsi="Times New Roman" w:cs="Times New Roman"/>
          <w:sz w:val="20"/>
          <w:szCs w:val="20"/>
          <w:lang w:val="en-GB"/>
        </w:rPr>
        <w:t xml:space="preserve">The </w:t>
      </w:r>
      <w:r w:rsidRPr="005F5507">
        <w:rPr>
          <w:rFonts w:ascii="Times New Roman" w:hAnsi="Times New Roman" w:cs="Times New Roman"/>
          <w:sz w:val="20"/>
          <w:szCs w:val="20"/>
          <w:lang w:val="en-GB"/>
        </w:rPr>
        <w:t xml:space="preserve">identification </w:t>
      </w:r>
      <w:r w:rsidR="007A44D7">
        <w:rPr>
          <w:rFonts w:ascii="Times New Roman" w:hAnsi="Times New Roman" w:cs="Times New Roman"/>
          <w:sz w:val="20"/>
          <w:szCs w:val="20"/>
          <w:lang w:val="en-GB"/>
        </w:rPr>
        <w:t xml:space="preserve">of these additional entities is expected to be </w:t>
      </w:r>
      <w:r w:rsidRPr="005F5507">
        <w:rPr>
          <w:rFonts w:ascii="Times New Roman" w:hAnsi="Times New Roman" w:cs="Times New Roman"/>
          <w:sz w:val="20"/>
          <w:szCs w:val="20"/>
          <w:lang w:val="en-GB"/>
        </w:rPr>
        <w:t>guided by resolution strategy’s requirements, which are defined by resolution authorities.</w:t>
      </w:r>
    </w:p>
    <w:p w:rsidRPr="00D43D39" w:rsidR="00E13CE3" w:rsidP="00EC261B" w:rsidRDefault="00AF189E" w14:paraId="14ECDB9F" w14:textId="77777777">
      <w:pPr>
        <w:pStyle w:val="Instructionsberschrift3"/>
        <w:rPr>
          <w:b/>
          <w:lang w:val="en-GB"/>
        </w:rPr>
      </w:pPr>
      <w:r w:rsidRPr="00D43D39">
        <w:rPr>
          <w:b/>
          <w:lang w:val="en-GB"/>
        </w:rPr>
        <w:t>Instructions concerning specific positions</w:t>
      </w:r>
    </w:p>
    <w:p w:rsidRPr="00D43D39" w:rsidR="00E13CE3" w:rsidP="00E13CE3" w:rsidRDefault="00E13CE3" w14:paraId="5DB21603" w14:textId="77777777">
      <w:pPr>
        <w:spacing w:before="8"/>
        <w:rPr>
          <w:rFonts w:ascii="Times New Roman" w:hAnsi="Times New Roman" w:eastAsia="Cambria" w:cs="Times New Roman"/>
          <w:color w:val="000000" w:themeColor="text1"/>
          <w:sz w:val="20"/>
          <w:szCs w:val="20"/>
          <w:lang w:val="en-GB"/>
        </w:rPr>
      </w:pPr>
    </w:p>
    <w:tbl>
      <w:tblPr>
        <w:tblW w:w="0" w:type="auto"/>
        <w:tblCellMar>
          <w:top w:w="57" w:type="dxa"/>
          <w:left w:w="57" w:type="dxa"/>
          <w:bottom w:w="57" w:type="dxa"/>
          <w:right w:w="0" w:type="dxa"/>
        </w:tblCellMar>
        <w:tblLook w:val="01E0" w:firstRow="1" w:lastRow="1" w:firstColumn="1" w:lastColumn="1" w:noHBand="0" w:noVBand="0"/>
      </w:tblPr>
      <w:tblGrid>
        <w:gridCol w:w="929"/>
        <w:gridCol w:w="8097"/>
      </w:tblGrid>
      <w:tr w:rsidRPr="00D43D39" w:rsidR="00D22EB0" w:rsidTr="3C351E67" w14:paraId="7269622E" w14:textId="77777777">
        <w:trPr>
          <w:tblHeader/>
        </w:trPr>
        <w:tc>
          <w:tcPr>
            <w:tcW w:w="0" w:type="auto"/>
            <w:tcBorders>
              <w:top w:val="single" w:color="1A171C" w:sz="4" w:space="0"/>
              <w:left w:val="nil"/>
              <w:bottom w:val="single" w:color="1A171C" w:sz="4" w:space="0"/>
              <w:right w:val="single" w:color="1A171C" w:sz="4" w:space="0"/>
            </w:tcBorders>
            <w:shd w:val="clear" w:color="auto" w:fill="E4E5E5"/>
            <w:tcMar/>
          </w:tcPr>
          <w:p w:rsidRPr="00D43D39" w:rsidR="00E13CE3" w:rsidP="008017B4" w:rsidRDefault="00E13CE3" w14:paraId="14035439" w14:textId="77777777">
            <w:pPr>
              <w:pStyle w:val="TableParagraph"/>
              <w:spacing w:before="66"/>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Columns</w:t>
            </w:r>
          </w:p>
        </w:tc>
        <w:tc>
          <w:tcPr>
            <w:tcW w:w="0" w:type="auto"/>
            <w:tcBorders>
              <w:top w:val="single" w:color="1A171C" w:sz="4" w:space="0"/>
              <w:left w:val="single" w:color="1A171C" w:sz="4" w:space="0"/>
              <w:bottom w:val="single" w:color="1A171C" w:sz="4" w:space="0"/>
              <w:right w:val="nil"/>
            </w:tcBorders>
            <w:shd w:val="clear" w:color="auto" w:fill="E4E5E5"/>
            <w:tcMar/>
          </w:tcPr>
          <w:p w:rsidRPr="00D43D39" w:rsidR="00E13CE3" w:rsidP="001E5EDF" w:rsidRDefault="00E13CE3" w14:paraId="5EC2CE18" w14:textId="77777777">
            <w:pPr>
              <w:pStyle w:val="TableParagraph"/>
              <w:spacing w:before="66"/>
              <w:ind w:right="1"/>
              <w:jc w:val="center"/>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Pr="00D43D39" w:rsidR="00D22EB0" w:rsidTr="3C351E67" w14:paraId="2F685174" w14:textId="77777777">
        <w:tc>
          <w:tcPr>
            <w:tcW w:w="0" w:type="auto"/>
            <w:tcBorders>
              <w:top w:val="single" w:color="1A171C" w:sz="4" w:space="0"/>
              <w:left w:val="nil"/>
              <w:bottom w:val="single" w:color="1A171C" w:sz="4" w:space="0"/>
              <w:right w:val="single" w:color="1A171C" w:sz="4" w:space="0"/>
            </w:tcBorders>
            <w:tcMar/>
          </w:tcPr>
          <w:p w:rsidRPr="00D43D39" w:rsidR="00E13CE3" w:rsidP="001E5EDF" w:rsidRDefault="00E13CE3" w14:paraId="00B9CCA5" w14:textId="77777777">
            <w:pPr>
              <w:pStyle w:val="TableParagraph"/>
              <w:spacing w:before="106"/>
              <w:ind w:left="-1"/>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2"/>
                <w:sz w:val="20"/>
                <w:szCs w:val="20"/>
                <w:lang w:val="en-GB"/>
              </w:rPr>
              <w:t>0</w:t>
            </w:r>
            <w:r w:rsidRPr="00D43D39" w:rsidR="00B43F4E">
              <w:rPr>
                <w:rFonts w:ascii="Times New Roman" w:hAnsi="Times New Roman" w:cs="Times New Roman"/>
                <w:color w:val="000000" w:themeColor="text1"/>
                <w:spacing w:val="-2"/>
                <w:sz w:val="20"/>
                <w:szCs w:val="20"/>
                <w:lang w:val="en-GB"/>
              </w:rPr>
              <w:t>0</w:t>
            </w:r>
            <w:r w:rsidRPr="00D43D39">
              <w:rPr>
                <w:rFonts w:ascii="Times New Roman" w:hAnsi="Times New Roman" w:cs="Times New Roman"/>
                <w:color w:val="000000" w:themeColor="text1"/>
                <w:spacing w:val="-2"/>
                <w:sz w:val="20"/>
                <w:szCs w:val="20"/>
                <w:lang w:val="en-GB"/>
              </w:rPr>
              <w:t>10</w:t>
            </w:r>
          </w:p>
        </w:tc>
        <w:tc>
          <w:tcPr>
            <w:tcW w:w="0" w:type="auto"/>
            <w:tcBorders>
              <w:top w:val="single" w:color="1A171C" w:sz="4" w:space="0"/>
              <w:left w:val="single" w:color="1A171C" w:sz="4" w:space="0"/>
              <w:bottom w:val="single" w:color="1A171C" w:sz="4" w:space="0"/>
              <w:right w:val="nil"/>
            </w:tcBorders>
            <w:tcMar/>
          </w:tcPr>
          <w:p w:rsidRPr="00D43D39" w:rsidR="00E13CE3" w:rsidP="001E5EDF" w:rsidRDefault="00E13CE3" w14:paraId="72EC8764" w14:textId="77777777">
            <w:pPr>
              <w:pStyle w:val="TableParagraph"/>
              <w:spacing w:before="108"/>
              <w:ind w:left="85"/>
              <w:rPr>
                <w:rFonts w:ascii="Times New Roman" w:hAnsi="Times New Roman" w:cs="Times New Roman"/>
                <w:b/>
                <w:color w:val="000000" w:themeColor="text1"/>
                <w:w w:val="95"/>
                <w:sz w:val="20"/>
                <w:szCs w:val="20"/>
                <w:lang w:val="en-GB"/>
              </w:rPr>
            </w:pPr>
            <w:r w:rsidRPr="00D43D39">
              <w:rPr>
                <w:rFonts w:ascii="Times New Roman" w:hAnsi="Times New Roman" w:cs="Times New Roman"/>
                <w:b/>
                <w:color w:val="000000" w:themeColor="text1"/>
                <w:w w:val="95"/>
                <w:sz w:val="20"/>
                <w:szCs w:val="20"/>
                <w:lang w:val="en-GB"/>
              </w:rPr>
              <w:t>Name</w:t>
            </w:r>
          </w:p>
          <w:p w:rsidRPr="00D43D39" w:rsidR="007D6F7E" w:rsidP="007B56D0" w:rsidRDefault="00420BE2" w14:paraId="77130308" w14:textId="77777777">
            <w:pPr>
              <w:pStyle w:val="TableParagraph"/>
              <w:spacing w:before="108"/>
              <w:ind w:left="85"/>
              <w:rPr>
                <w:rFonts w:ascii="Times New Roman" w:hAnsi="Times New Roman" w:eastAsia="Book Antiqua" w:cs="Times New Roman"/>
                <w:color w:val="000000" w:themeColor="text1"/>
                <w:sz w:val="20"/>
                <w:szCs w:val="20"/>
                <w:lang w:val="en-GB"/>
              </w:rPr>
            </w:pPr>
            <w:r w:rsidRPr="00D43D39">
              <w:rPr>
                <w:rFonts w:ascii="Times New Roman" w:hAnsi="Times New Roman" w:eastAsia="Book Antiqua" w:cs="Times New Roman"/>
                <w:color w:val="000000" w:themeColor="text1"/>
                <w:sz w:val="20"/>
                <w:szCs w:val="20"/>
                <w:lang w:val="en-GB"/>
              </w:rPr>
              <w:t xml:space="preserve">Name of the </w:t>
            </w:r>
            <w:r w:rsidRPr="00D43D39" w:rsidR="00937708">
              <w:rPr>
                <w:rFonts w:ascii="Times New Roman" w:hAnsi="Times New Roman" w:eastAsia="Book Antiqua" w:cs="Times New Roman"/>
                <w:color w:val="000000" w:themeColor="text1"/>
                <w:sz w:val="20"/>
                <w:szCs w:val="20"/>
                <w:lang w:val="en-GB"/>
              </w:rPr>
              <w:t>entity</w:t>
            </w:r>
            <w:r w:rsidRPr="00D43D39" w:rsidR="008301A4">
              <w:rPr>
                <w:rFonts w:ascii="Times New Roman" w:hAnsi="Times New Roman" w:eastAsia="Book Antiqua" w:cs="Times New Roman"/>
                <w:color w:val="000000" w:themeColor="text1"/>
                <w:sz w:val="20"/>
                <w:szCs w:val="20"/>
                <w:lang w:val="en-GB"/>
              </w:rPr>
              <w:t xml:space="preserve">. Official name as it </w:t>
            </w:r>
            <w:r w:rsidRPr="00D43D39" w:rsidR="007B56D0">
              <w:rPr>
                <w:rFonts w:ascii="Times New Roman" w:hAnsi="Times New Roman" w:eastAsia="Book Antiqua" w:cs="Times New Roman"/>
                <w:color w:val="000000" w:themeColor="text1"/>
                <w:sz w:val="20"/>
                <w:szCs w:val="20"/>
                <w:lang w:val="en-GB"/>
              </w:rPr>
              <w:t>appears</w:t>
            </w:r>
            <w:r w:rsidRPr="00D43D39" w:rsidR="008301A4">
              <w:rPr>
                <w:rFonts w:ascii="Times New Roman" w:hAnsi="Times New Roman" w:eastAsia="Book Antiqua" w:cs="Times New Roman"/>
                <w:color w:val="000000" w:themeColor="text1"/>
                <w:sz w:val="20"/>
                <w:szCs w:val="20"/>
                <w:lang w:val="en-GB"/>
              </w:rPr>
              <w:t xml:space="preserve"> in corporate acts, including the indication of the </w:t>
            </w:r>
            <w:r w:rsidRPr="00D43D39" w:rsidR="007B56D0">
              <w:rPr>
                <w:rFonts w:ascii="Times New Roman" w:hAnsi="Times New Roman" w:eastAsia="Book Antiqua" w:cs="Times New Roman"/>
                <w:color w:val="000000" w:themeColor="text1"/>
                <w:sz w:val="20"/>
                <w:szCs w:val="20"/>
                <w:lang w:val="en-GB"/>
              </w:rPr>
              <w:t xml:space="preserve">legal </w:t>
            </w:r>
            <w:r w:rsidRPr="00D43D39" w:rsidR="008301A4">
              <w:rPr>
                <w:rFonts w:ascii="Times New Roman" w:hAnsi="Times New Roman" w:eastAsia="Book Antiqua" w:cs="Times New Roman"/>
                <w:color w:val="000000" w:themeColor="text1"/>
                <w:sz w:val="20"/>
                <w:szCs w:val="20"/>
                <w:lang w:val="en-GB"/>
              </w:rPr>
              <w:t>form.</w:t>
            </w:r>
          </w:p>
        </w:tc>
      </w:tr>
      <w:tr w:rsidRPr="00D43D39" w:rsidR="00D22EB0" w:rsidTr="3C351E67" w14:paraId="10239521" w14:textId="77777777">
        <w:tc>
          <w:tcPr>
            <w:tcW w:w="0" w:type="auto"/>
            <w:tcBorders>
              <w:top w:val="single" w:color="1A171C" w:sz="4" w:space="0"/>
              <w:left w:val="nil"/>
              <w:bottom w:val="single" w:color="1A171C" w:sz="4" w:space="0"/>
              <w:right w:val="single" w:color="1A171C" w:sz="4" w:space="0"/>
            </w:tcBorders>
            <w:tcMar/>
          </w:tcPr>
          <w:p w:rsidRPr="00D43D39" w:rsidR="00E13CE3" w:rsidP="001E5EDF" w:rsidRDefault="00E13CE3" w14:paraId="5009993E" w14:textId="77777777">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Pr="00D43D39" w:rsidR="00B43F4E">
              <w:rPr>
                <w:rFonts w:ascii="Times New Roman" w:hAnsi="Times New Roman" w:cs="Times New Roman"/>
                <w:color w:val="000000" w:themeColor="text1"/>
                <w:spacing w:val="-2"/>
                <w:sz w:val="20"/>
                <w:szCs w:val="20"/>
                <w:lang w:val="en-GB"/>
              </w:rPr>
              <w:t>0</w:t>
            </w:r>
            <w:r w:rsidRPr="00D43D39">
              <w:rPr>
                <w:rFonts w:ascii="Times New Roman" w:hAnsi="Times New Roman" w:cs="Times New Roman"/>
                <w:color w:val="000000" w:themeColor="text1"/>
                <w:spacing w:val="-2"/>
                <w:sz w:val="20"/>
                <w:szCs w:val="20"/>
                <w:lang w:val="en-GB"/>
              </w:rPr>
              <w:t>20</w:t>
            </w:r>
          </w:p>
        </w:tc>
        <w:tc>
          <w:tcPr>
            <w:tcW w:w="0" w:type="auto"/>
            <w:tcBorders>
              <w:top w:val="single" w:color="1A171C" w:sz="4" w:space="0"/>
              <w:left w:val="single" w:color="1A171C" w:sz="4" w:space="0"/>
              <w:bottom w:val="single" w:color="1A171C" w:sz="4" w:space="0"/>
              <w:right w:val="nil"/>
            </w:tcBorders>
            <w:tcMar/>
          </w:tcPr>
          <w:p w:rsidRPr="00D43D39" w:rsidR="00E13CE3" w:rsidP="00AF189E" w:rsidRDefault="009651A7" w14:paraId="1B48D204" w14:textId="77777777">
            <w:pPr>
              <w:pStyle w:val="TableParagraph"/>
              <w:spacing w:before="108"/>
              <w:ind w:left="85"/>
              <w:rPr>
                <w:rFonts w:ascii="Times New Roman" w:hAnsi="Times New Roman" w:cs="Times New Roman"/>
                <w:b/>
                <w:color w:val="000000" w:themeColor="text1"/>
                <w:w w:val="95"/>
                <w:sz w:val="20"/>
                <w:szCs w:val="20"/>
                <w:lang w:val="en-GB"/>
              </w:rPr>
            </w:pPr>
            <w:r w:rsidRPr="00D43D39">
              <w:rPr>
                <w:rFonts w:ascii="Times New Roman" w:hAnsi="Times New Roman" w:cs="Times New Roman"/>
                <w:b/>
                <w:color w:val="000000" w:themeColor="text1"/>
                <w:w w:val="95"/>
                <w:sz w:val="20"/>
                <w:szCs w:val="20"/>
                <w:lang w:val="en-GB"/>
              </w:rPr>
              <w:t>Code</w:t>
            </w:r>
          </w:p>
          <w:p w:rsidRPr="00D43D39" w:rsidR="00C64A45" w:rsidP="008F14EB" w:rsidRDefault="007B56D0" w14:paraId="53ADABE8" w14:textId="77777777">
            <w:pPr>
              <w:pStyle w:val="TableParagraph"/>
              <w:spacing w:before="108"/>
              <w:ind w:left="85"/>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C</w:t>
            </w:r>
            <w:r w:rsidRPr="00D43D39" w:rsidR="004C0A59">
              <w:rPr>
                <w:rFonts w:ascii="Times New Roman" w:hAnsi="Times New Roman" w:cs="Times New Roman"/>
                <w:color w:val="000000" w:themeColor="text1"/>
                <w:spacing w:val="-2"/>
                <w:w w:val="95"/>
                <w:sz w:val="20"/>
                <w:szCs w:val="20"/>
                <w:lang w:val="en-GB"/>
              </w:rPr>
              <w:t xml:space="preserve">ode of the </w:t>
            </w:r>
            <w:r w:rsidRPr="00D43D39" w:rsidR="00937708">
              <w:rPr>
                <w:rFonts w:ascii="Times New Roman" w:hAnsi="Times New Roman" w:cs="Times New Roman"/>
                <w:color w:val="000000" w:themeColor="text1"/>
                <w:spacing w:val="-2"/>
                <w:w w:val="95"/>
                <w:sz w:val="20"/>
                <w:szCs w:val="20"/>
                <w:lang w:val="en-GB"/>
              </w:rPr>
              <w:t>e</w:t>
            </w:r>
            <w:r w:rsidRPr="00D43D39" w:rsidR="008F14EB">
              <w:rPr>
                <w:rFonts w:ascii="Times New Roman" w:hAnsi="Times New Roman" w:cs="Times New Roman"/>
                <w:color w:val="000000" w:themeColor="text1"/>
                <w:spacing w:val="-2"/>
                <w:w w:val="95"/>
                <w:sz w:val="20"/>
                <w:szCs w:val="20"/>
                <w:lang w:val="en-GB"/>
              </w:rPr>
              <w:t>ntity</w:t>
            </w:r>
            <w:r w:rsidRPr="00D43D39" w:rsidR="004C0A59">
              <w:rPr>
                <w:rFonts w:ascii="Times New Roman" w:hAnsi="Times New Roman" w:cs="Times New Roman"/>
                <w:color w:val="000000" w:themeColor="text1"/>
                <w:spacing w:val="-2"/>
                <w:w w:val="95"/>
                <w:sz w:val="20"/>
                <w:szCs w:val="20"/>
                <w:lang w:val="en-GB"/>
              </w:rPr>
              <w:t xml:space="preserve">. </w:t>
            </w:r>
            <w:r w:rsidRPr="00D43D39" w:rsidR="00937708">
              <w:rPr>
                <w:rFonts w:ascii="Times New Roman" w:hAnsi="Times New Roman" w:cs="Times New Roman"/>
                <w:color w:val="000000" w:themeColor="text1"/>
                <w:spacing w:val="-2"/>
                <w:w w:val="95"/>
                <w:sz w:val="20"/>
                <w:szCs w:val="20"/>
                <w:lang w:val="en-GB"/>
              </w:rPr>
              <w:t>For institutions t</w:t>
            </w:r>
            <w:r w:rsidRPr="00D43D39" w:rsidR="004C0A59">
              <w:rPr>
                <w:rFonts w:ascii="Times New Roman" w:hAnsi="Times New Roman" w:cs="Times New Roman"/>
                <w:color w:val="000000" w:themeColor="text1"/>
                <w:spacing w:val="-2"/>
                <w:w w:val="95"/>
                <w:sz w:val="20"/>
                <w:szCs w:val="20"/>
                <w:lang w:val="en-GB"/>
              </w:rPr>
              <w:t xml:space="preserve">he code </w:t>
            </w:r>
            <w:r w:rsidRPr="00D43D39" w:rsidR="00937708">
              <w:rPr>
                <w:rFonts w:ascii="Times New Roman" w:hAnsi="Times New Roman" w:cs="Times New Roman"/>
                <w:color w:val="000000" w:themeColor="text1"/>
                <w:spacing w:val="-2"/>
                <w:w w:val="95"/>
                <w:sz w:val="20"/>
                <w:szCs w:val="20"/>
                <w:lang w:val="en-GB"/>
              </w:rPr>
              <w:t xml:space="preserve">shall be the </w:t>
            </w:r>
            <w:r w:rsidRPr="00D43D39" w:rsidR="00C64A45">
              <w:rPr>
                <w:rFonts w:ascii="Times New Roman" w:hAnsi="Times New Roman" w:cs="Times New Roman"/>
                <w:color w:val="000000" w:themeColor="text1"/>
                <w:spacing w:val="-2"/>
                <w:sz w:val="20"/>
                <w:szCs w:val="20"/>
                <w:lang w:val="en-GB"/>
              </w:rPr>
              <w:t>20-digit,</w:t>
            </w:r>
            <w:r w:rsidRPr="00D43D39" w:rsidR="00C64A45">
              <w:rPr>
                <w:rFonts w:ascii="Times New Roman" w:hAnsi="Times New Roman" w:cs="Times New Roman"/>
                <w:color w:val="000000" w:themeColor="text1"/>
                <w:spacing w:val="17"/>
                <w:sz w:val="20"/>
                <w:szCs w:val="20"/>
                <w:lang w:val="en-GB"/>
              </w:rPr>
              <w:t xml:space="preserve"> </w:t>
            </w:r>
            <w:r w:rsidRPr="00D43D39" w:rsidR="00C64A45">
              <w:rPr>
                <w:rFonts w:ascii="Times New Roman" w:hAnsi="Times New Roman" w:cs="Times New Roman"/>
                <w:color w:val="000000" w:themeColor="text1"/>
                <w:sz w:val="20"/>
                <w:szCs w:val="20"/>
                <w:lang w:val="en-GB"/>
              </w:rPr>
              <w:t>alphanumeric</w:t>
            </w:r>
            <w:r w:rsidRPr="00D43D39" w:rsidR="00C64A45">
              <w:rPr>
                <w:rFonts w:ascii="Times New Roman" w:hAnsi="Times New Roman" w:cs="Times New Roman"/>
                <w:color w:val="000000" w:themeColor="text1"/>
                <w:spacing w:val="-2"/>
                <w:w w:val="95"/>
                <w:sz w:val="20"/>
                <w:szCs w:val="20"/>
                <w:lang w:val="en-GB"/>
              </w:rPr>
              <w:t xml:space="preserve"> </w:t>
            </w:r>
            <w:r w:rsidRPr="00D43D39" w:rsidR="00937708">
              <w:rPr>
                <w:rFonts w:ascii="Times New Roman" w:hAnsi="Times New Roman" w:cs="Times New Roman"/>
                <w:color w:val="000000" w:themeColor="text1"/>
                <w:spacing w:val="-2"/>
                <w:w w:val="95"/>
                <w:sz w:val="20"/>
                <w:szCs w:val="20"/>
                <w:lang w:val="en-GB"/>
              </w:rPr>
              <w:t xml:space="preserve">LEI code. For other entities </w:t>
            </w:r>
            <w:r w:rsidRPr="00D43D39" w:rsidR="00C64A45">
              <w:rPr>
                <w:rFonts w:ascii="Times New Roman" w:hAnsi="Times New Roman" w:cs="Times New Roman"/>
                <w:color w:val="000000" w:themeColor="text1"/>
                <w:spacing w:val="-2"/>
                <w:w w:val="95"/>
                <w:sz w:val="20"/>
                <w:szCs w:val="20"/>
                <w:lang w:val="en-GB"/>
              </w:rPr>
              <w:t xml:space="preserve">the code shall be the </w:t>
            </w:r>
            <w:r w:rsidRPr="00D43D39" w:rsidR="00C64A45">
              <w:rPr>
                <w:rFonts w:ascii="Times New Roman" w:hAnsi="Times New Roman" w:cs="Times New Roman"/>
                <w:color w:val="000000" w:themeColor="text1"/>
                <w:spacing w:val="-2"/>
                <w:sz w:val="20"/>
                <w:szCs w:val="20"/>
                <w:lang w:val="en-GB"/>
              </w:rPr>
              <w:t>20-digit,</w:t>
            </w:r>
            <w:r w:rsidRPr="00D43D39" w:rsidR="00C64A45">
              <w:rPr>
                <w:rFonts w:ascii="Times New Roman" w:hAnsi="Times New Roman" w:cs="Times New Roman"/>
                <w:color w:val="000000" w:themeColor="text1"/>
                <w:spacing w:val="17"/>
                <w:sz w:val="20"/>
                <w:szCs w:val="20"/>
                <w:lang w:val="en-GB"/>
              </w:rPr>
              <w:t xml:space="preserve"> </w:t>
            </w:r>
            <w:r w:rsidRPr="00D43D39" w:rsidR="00C64A45">
              <w:rPr>
                <w:rFonts w:ascii="Times New Roman" w:hAnsi="Times New Roman" w:cs="Times New Roman"/>
                <w:color w:val="000000" w:themeColor="text1"/>
                <w:sz w:val="20"/>
                <w:szCs w:val="20"/>
                <w:lang w:val="en-GB"/>
              </w:rPr>
              <w:t>alphanumeric</w:t>
            </w:r>
            <w:r w:rsidRPr="00D43D39" w:rsidR="00C64A45">
              <w:rPr>
                <w:rFonts w:ascii="Times New Roman" w:hAnsi="Times New Roman" w:cs="Times New Roman"/>
                <w:color w:val="000000" w:themeColor="text1"/>
                <w:spacing w:val="-2"/>
                <w:w w:val="95"/>
                <w:sz w:val="20"/>
                <w:szCs w:val="20"/>
                <w:lang w:val="en-GB"/>
              </w:rPr>
              <w:t xml:space="preserve"> LEI code, or if not available a code under a uniform codification applicable in the Union, or if not available a national code.</w:t>
            </w:r>
          </w:p>
          <w:p w:rsidRPr="00D43D39" w:rsidR="004C0A59" w:rsidP="00C64A45" w:rsidRDefault="008535D5" w14:paraId="48A8D5EC" w14:textId="77777777">
            <w:pPr>
              <w:pStyle w:val="TableParagraph"/>
              <w:spacing w:before="108"/>
              <w:ind w:left="85"/>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The code shall be </w:t>
            </w:r>
            <w:r w:rsidRPr="00D43D39" w:rsidR="00C64A45">
              <w:rPr>
                <w:rFonts w:ascii="Times New Roman" w:hAnsi="Times New Roman" w:cs="Times New Roman"/>
                <w:color w:val="000000" w:themeColor="text1"/>
                <w:spacing w:val="-2"/>
                <w:w w:val="95"/>
                <w:sz w:val="20"/>
                <w:szCs w:val="20"/>
                <w:lang w:val="en-GB"/>
              </w:rPr>
              <w:t xml:space="preserve">unique and </w:t>
            </w:r>
            <w:r w:rsidRPr="00D43D39">
              <w:rPr>
                <w:rFonts w:ascii="Times New Roman" w:hAnsi="Times New Roman" w:cs="Times New Roman"/>
                <w:color w:val="000000" w:themeColor="text1"/>
                <w:spacing w:val="-2"/>
                <w:w w:val="95"/>
                <w:sz w:val="20"/>
                <w:szCs w:val="20"/>
                <w:lang w:val="en-GB"/>
              </w:rPr>
              <w:t>used consistently across the templates.</w:t>
            </w:r>
            <w:r w:rsidRPr="00D43D39" w:rsidR="00E93682">
              <w:rPr>
                <w:rFonts w:ascii="Times New Roman" w:hAnsi="Times New Roman" w:cs="Times New Roman"/>
                <w:color w:val="000000" w:themeColor="text1"/>
                <w:spacing w:val="-2"/>
                <w:w w:val="95"/>
                <w:sz w:val="20"/>
                <w:szCs w:val="20"/>
                <w:lang w:val="en-GB"/>
              </w:rPr>
              <w:t xml:space="preserve"> The code shall always have a value.</w:t>
            </w:r>
          </w:p>
        </w:tc>
      </w:tr>
      <w:tr w:rsidRPr="00D43D39" w:rsidR="001B6F5E" w:rsidTr="3C351E67" w14:paraId="7FF3FDBB" w14:textId="77777777">
        <w:tc>
          <w:tcPr>
            <w:tcW w:w="0" w:type="auto"/>
            <w:tcBorders>
              <w:top w:val="single" w:color="1A171C" w:sz="4" w:space="0"/>
              <w:left w:val="nil"/>
              <w:bottom w:val="single" w:color="1A171C" w:sz="4" w:space="0"/>
              <w:right w:val="single" w:color="1A171C" w:sz="4" w:space="0"/>
            </w:tcBorders>
            <w:tcMar/>
          </w:tcPr>
          <w:p w:rsidRPr="00D43D39" w:rsidR="001B6F5E" w:rsidP="001E5EDF" w:rsidRDefault="001B6F5E" w14:paraId="4830701D" w14:textId="26FEDA96">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0025</w:t>
            </w:r>
          </w:p>
        </w:tc>
        <w:tc>
          <w:tcPr>
            <w:tcW w:w="0" w:type="auto"/>
            <w:tcBorders>
              <w:top w:val="single" w:color="1A171C" w:sz="4" w:space="0"/>
              <w:left w:val="single" w:color="1A171C" w:sz="4" w:space="0"/>
              <w:bottom w:val="single" w:color="1A171C" w:sz="4" w:space="0"/>
              <w:right w:val="nil"/>
            </w:tcBorders>
            <w:tcMar/>
          </w:tcPr>
          <w:p w:rsidRPr="00D43D39" w:rsidR="001B6F5E" w:rsidP="001E5EDF" w:rsidRDefault="001B6F5E" w14:paraId="69AB8541"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Type of code</w:t>
            </w:r>
          </w:p>
          <w:p w:rsidR="00161C05" w:rsidP="00161C05" w:rsidRDefault="00161C05" w14:paraId="11B2703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hAnsi="Times New Roman" w:eastAsia="Cambria" w:cs="Times New Roman"/>
                <w:color w:val="000000" w:themeColor="text1"/>
                <w:spacing w:val="-2"/>
                <w:w w:val="95"/>
                <w:sz w:val="20"/>
                <w:szCs w:val="20"/>
                <w:lang w:val="en-GB"/>
              </w:rPr>
              <w:t xml:space="preserve"> preferably the LEI code.</w:t>
            </w:r>
          </w:p>
          <w:p w:rsidR="00161C05" w:rsidP="00161C05" w:rsidRDefault="00161C05" w14:paraId="05880317" w14:textId="6A3E3845">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BC38B6">
              <w:rPr>
                <w:rFonts w:ascii="Times New Roman" w:hAnsi="Times New Roman" w:eastAsia="Cambria" w:cs="Times New Roman"/>
                <w:color w:val="000000" w:themeColor="text1"/>
                <w:spacing w:val="-2"/>
                <w:w w:val="95"/>
                <w:sz w:val="20"/>
                <w:szCs w:val="20"/>
                <w:lang w:val="en-GB"/>
              </w:rPr>
              <w:t xml:space="preserve">, or if not available </w:t>
            </w:r>
            <w:r w:rsidR="009D3860">
              <w:rPr>
                <w:rFonts w:ascii="Times New Roman" w:hAnsi="Times New Roman" w:eastAsia="Cambria" w:cs="Times New Roman"/>
                <w:color w:val="000000" w:themeColor="text1"/>
                <w:spacing w:val="-2"/>
                <w:w w:val="95"/>
                <w:sz w:val="20"/>
                <w:szCs w:val="20"/>
                <w:lang w:val="en-GB"/>
              </w:rPr>
              <w:t xml:space="preserve">report </w:t>
            </w:r>
            <w:r w:rsidRPr="00BC38B6">
              <w:rPr>
                <w:rFonts w:ascii="Times New Roman" w:hAnsi="Times New Roman" w:eastAsia="Cambria" w:cs="Times New Roman"/>
                <w:color w:val="000000" w:themeColor="text1"/>
                <w:spacing w:val="-2"/>
                <w:w w:val="95"/>
                <w:sz w:val="20"/>
                <w:szCs w:val="20"/>
                <w:lang w:val="en-GB"/>
              </w:rPr>
              <w:t>a national code</w:t>
            </w:r>
            <w:r>
              <w:rPr>
                <w:rFonts w:ascii="Times New Roman" w:hAnsi="Times New Roman" w:eastAsia="Cambria" w:cs="Times New Roman"/>
                <w:color w:val="000000" w:themeColor="text1"/>
                <w:spacing w:val="-2"/>
                <w:w w:val="95"/>
                <w:sz w:val="20"/>
                <w:szCs w:val="20"/>
                <w:lang w:val="en-GB"/>
              </w:rPr>
              <w:t>.</w:t>
            </w:r>
          </w:p>
          <w:p w:rsidRPr="00D43D39" w:rsidR="001B6F5E" w:rsidP="00161C05" w:rsidRDefault="00161C05" w14:paraId="0549EC1E" w14:textId="4DEB4EAA">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BC38B6">
              <w:rPr>
                <w:rFonts w:ascii="Times New Roman" w:hAnsi="Times New Roman" w:cs="Times New Roman"/>
                <w:bCs/>
                <w:color w:val="000000" w:themeColor="text1"/>
                <w:sz w:val="20"/>
                <w:szCs w:val="20"/>
                <w:lang w:val="en-GB"/>
              </w:rPr>
              <w:t>The identification of entities shall be made in a consistent way across the templates.</w:t>
            </w:r>
          </w:p>
        </w:tc>
      </w:tr>
      <w:tr w:rsidRPr="00D43D39" w:rsidR="00D22EB0" w:rsidTr="3C351E67" w14:paraId="44B59D25" w14:textId="77777777">
        <w:tc>
          <w:tcPr>
            <w:tcW w:w="0" w:type="auto"/>
            <w:tcBorders>
              <w:top w:val="single" w:color="1A171C" w:sz="4" w:space="0"/>
              <w:left w:val="nil"/>
              <w:bottom w:val="single" w:color="1A171C" w:sz="4" w:space="0"/>
              <w:right w:val="single" w:color="1A171C" w:sz="4" w:space="0"/>
            </w:tcBorders>
            <w:tcMar/>
          </w:tcPr>
          <w:p w:rsidRPr="00D43D39" w:rsidR="00E13CE3" w:rsidP="001E5EDF" w:rsidRDefault="00E13CE3" w14:paraId="76E62365" w14:textId="77777777">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Pr="00D43D39" w:rsidR="00B43F4E">
              <w:rPr>
                <w:rFonts w:ascii="Times New Roman" w:hAnsi="Times New Roman" w:cs="Times New Roman"/>
                <w:color w:val="000000" w:themeColor="text1"/>
                <w:spacing w:val="-2"/>
                <w:sz w:val="20"/>
                <w:szCs w:val="20"/>
                <w:lang w:val="en-GB"/>
              </w:rPr>
              <w:t>0</w:t>
            </w:r>
            <w:r w:rsidRPr="00D43D39">
              <w:rPr>
                <w:rFonts w:ascii="Times New Roman" w:hAnsi="Times New Roman" w:cs="Times New Roman"/>
                <w:color w:val="000000" w:themeColor="text1"/>
                <w:spacing w:val="-2"/>
                <w:sz w:val="20"/>
                <w:szCs w:val="20"/>
                <w:lang w:val="en-GB"/>
              </w:rPr>
              <w:t>40</w:t>
            </w:r>
          </w:p>
        </w:tc>
        <w:tc>
          <w:tcPr>
            <w:tcW w:w="0" w:type="auto"/>
            <w:tcBorders>
              <w:top w:val="single" w:color="1A171C" w:sz="4" w:space="0"/>
              <w:left w:val="single" w:color="1A171C" w:sz="4" w:space="0"/>
              <w:bottom w:val="single" w:color="1A171C" w:sz="4" w:space="0"/>
              <w:right w:val="nil"/>
            </w:tcBorders>
            <w:tcMar/>
          </w:tcPr>
          <w:p w:rsidRPr="00D43D39" w:rsidR="00E13CE3" w:rsidP="001E5EDF" w:rsidRDefault="00E13CE3" w14:paraId="75E8D77E" w14:textId="77777777">
            <w:pPr>
              <w:pStyle w:val="TableParagraph"/>
              <w:spacing w:before="108"/>
              <w:ind w:left="85"/>
              <w:rPr>
                <w:rFonts w:ascii="Times New Roman" w:hAnsi="Times New Roman" w:cs="Times New Roman"/>
                <w:b/>
                <w:color w:val="000000" w:themeColor="text1"/>
                <w:spacing w:val="-1"/>
                <w:w w:val="90"/>
                <w:sz w:val="20"/>
                <w:szCs w:val="20"/>
                <w:lang w:val="en-GB"/>
              </w:rPr>
            </w:pPr>
            <w:r w:rsidRPr="00D43D39">
              <w:rPr>
                <w:rFonts w:ascii="Times New Roman" w:hAnsi="Times New Roman" w:cs="Times New Roman"/>
                <w:b/>
                <w:color w:val="000000" w:themeColor="text1"/>
                <w:spacing w:val="-1"/>
                <w:w w:val="90"/>
                <w:sz w:val="20"/>
                <w:szCs w:val="20"/>
                <w:lang w:val="en-GB"/>
              </w:rPr>
              <w:t>Entity Type</w:t>
            </w:r>
          </w:p>
          <w:p w:rsidRPr="00D43D39" w:rsidR="00E13CE3" w:rsidP="001E5EDF" w:rsidRDefault="00E13CE3" w14:paraId="009FFC15" w14:textId="77777777">
            <w:pPr>
              <w:pStyle w:val="TableParagraph"/>
              <w:spacing w:before="108"/>
              <w:ind w:left="85"/>
              <w:rPr>
                <w:rFonts w:ascii="Times New Roman" w:hAnsi="Times New Roman" w:cs="Times New Roman"/>
                <w:color w:val="000000" w:themeColor="text1"/>
                <w:spacing w:val="-1"/>
                <w:w w:val="90"/>
                <w:sz w:val="20"/>
                <w:szCs w:val="20"/>
                <w:lang w:val="en-GB"/>
              </w:rPr>
            </w:pPr>
            <w:r w:rsidRPr="00D43D39">
              <w:rPr>
                <w:rFonts w:ascii="Times New Roman" w:hAnsi="Times New Roman" w:cs="Times New Roman"/>
                <w:color w:val="000000" w:themeColor="text1"/>
                <w:spacing w:val="-1"/>
                <w:w w:val="90"/>
                <w:sz w:val="20"/>
                <w:szCs w:val="20"/>
                <w:lang w:val="en-GB"/>
              </w:rPr>
              <w:t>The entity type</w:t>
            </w:r>
            <w:r w:rsidRPr="00D43D39" w:rsidR="007644C5">
              <w:rPr>
                <w:rFonts w:ascii="Times New Roman" w:hAnsi="Times New Roman" w:cs="Times New Roman"/>
                <w:color w:val="000000" w:themeColor="text1"/>
                <w:spacing w:val="-1"/>
                <w:w w:val="90"/>
                <w:sz w:val="20"/>
                <w:szCs w:val="20"/>
                <w:lang w:val="en-GB"/>
              </w:rPr>
              <w:t>, by sequential order of priority</w:t>
            </w:r>
            <w:r w:rsidRPr="00D43D39" w:rsidR="002B3B7F">
              <w:rPr>
                <w:rFonts w:ascii="Times New Roman" w:hAnsi="Times New Roman" w:cs="Times New Roman"/>
                <w:color w:val="000000" w:themeColor="text1"/>
                <w:spacing w:val="-1"/>
                <w:w w:val="90"/>
                <w:sz w:val="20"/>
                <w:szCs w:val="20"/>
                <w:lang w:val="en-GB"/>
              </w:rPr>
              <w:t>,</w:t>
            </w:r>
            <w:r w:rsidRPr="00D43D39">
              <w:rPr>
                <w:rFonts w:ascii="Times New Roman" w:hAnsi="Times New Roman" w:cs="Times New Roman"/>
                <w:color w:val="000000" w:themeColor="text1"/>
                <w:spacing w:val="-1"/>
                <w:w w:val="90"/>
                <w:sz w:val="20"/>
                <w:szCs w:val="20"/>
                <w:lang w:val="en-GB"/>
              </w:rPr>
              <w:t xml:space="preserve"> shall be one of the following:</w:t>
            </w:r>
          </w:p>
          <w:p w:rsidRPr="00D43D39" w:rsidR="004E4AD0" w:rsidP="00715DAB" w:rsidRDefault="00FC6D1E" w14:paraId="1496561F" w14:textId="77777777">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Pr="00D43D39" w:rsidR="00EE1625">
              <w:rPr>
                <w:rFonts w:ascii="Times New Roman" w:hAnsi="Times New Roman" w:cs="Times New Roman"/>
                <w:color w:val="000000" w:themeColor="text1"/>
                <w:sz w:val="20"/>
                <w:szCs w:val="20"/>
                <w:lang w:val="en-GB"/>
              </w:rPr>
              <w:t>Credit institution</w:t>
            </w:r>
            <w:r w:rsidRPr="00D43D39">
              <w:rPr>
                <w:rFonts w:ascii="Times New Roman" w:hAnsi="Times New Roman" w:cs="Times New Roman"/>
                <w:color w:val="000000" w:themeColor="text1"/>
                <w:sz w:val="20"/>
                <w:szCs w:val="20"/>
                <w:lang w:val="en-GB"/>
              </w:rPr>
              <w:t>’</w:t>
            </w:r>
          </w:p>
          <w:p w:rsidRPr="00D43D39" w:rsidR="00EE1625" w:rsidP="3C351E67" w:rsidRDefault="004E4AD0" w14:paraId="6672A858" w14:textId="099E9C9D">
            <w:pPr>
              <w:pStyle w:val="TableParagraph"/>
              <w:spacing w:before="108"/>
              <w:ind w:left="445"/>
              <w:rPr>
                <w:rFonts w:ascii="Times New Roman" w:hAnsi="Times New Roman" w:cs="Times New Roman"/>
                <w:color w:val="000000" w:themeColor="text1"/>
                <w:sz w:val="20"/>
                <w:szCs w:val="20"/>
                <w:lang w:val="en-US"/>
              </w:rPr>
            </w:pPr>
            <w:r w:rsidRPr="3C351E67" w:rsidR="004E4AD0">
              <w:rPr>
                <w:rFonts w:ascii="Times New Roman" w:hAnsi="Times New Roman" w:cs="Times New Roman"/>
                <w:color w:val="000000" w:themeColor="text1"/>
                <w:sz w:val="20"/>
                <w:szCs w:val="20"/>
                <w:lang w:val="en-US"/>
              </w:rPr>
              <w:t xml:space="preserve">This category shall cover credit institutions </w:t>
            </w:r>
            <w:r w:rsidRPr="3C351E67" w:rsidR="002472D0">
              <w:rPr>
                <w:rFonts w:ascii="Times New Roman" w:hAnsi="Times New Roman" w:cs="Times New Roman"/>
                <w:color w:val="000000" w:themeColor="text1"/>
                <w:sz w:val="20"/>
                <w:szCs w:val="20"/>
                <w:lang w:val="en-US"/>
              </w:rPr>
              <w:t xml:space="preserve">as defined in point (1) of Article 4(1) of </w:t>
            </w:r>
            <w:r w:rsidRPr="3C351E67" w:rsidR="00633ADF">
              <w:rPr>
                <w:rFonts w:ascii="Times New Roman" w:hAnsi="Times New Roman" w:cs="Times New Roman"/>
                <w:color w:val="000000" w:themeColor="text1"/>
                <w:sz w:val="20"/>
                <w:szCs w:val="20"/>
                <w:lang w:val="en-US"/>
              </w:rPr>
              <w:t>Regulation (EU) No 575/2013</w:t>
            </w:r>
            <w:r w:rsidRPr="3C351E67" w:rsidR="000B669C">
              <w:rPr>
                <w:rFonts w:ascii="Times New Roman" w:hAnsi="Times New Roman" w:cs="Times New Roman"/>
                <w:color w:val="000000" w:themeColor="text1"/>
                <w:sz w:val="20"/>
                <w:szCs w:val="20"/>
                <w:lang w:val="en-US"/>
              </w:rPr>
              <w:t xml:space="preserve">, </w:t>
            </w:r>
            <w:r w:rsidRPr="3C351E67" w:rsidR="002472D0">
              <w:rPr>
                <w:rFonts w:ascii="Times New Roman" w:hAnsi="Times New Roman" w:cs="Times New Roman"/>
                <w:color w:val="000000" w:themeColor="text1"/>
                <w:sz w:val="20"/>
                <w:szCs w:val="20"/>
                <w:lang w:val="en-US"/>
              </w:rPr>
              <w:t xml:space="preserve">not including the entities referred to in Article 2(5) of </w:t>
            </w:r>
            <w:r w:rsidRPr="3C351E67" w:rsidR="00633ADF">
              <w:rPr>
                <w:rFonts w:ascii="Times New Roman" w:hAnsi="Times New Roman" w:cs="Times New Roman"/>
                <w:color w:val="000000" w:themeColor="text1"/>
                <w:sz w:val="20"/>
                <w:szCs w:val="20"/>
                <w:lang w:val="en-US"/>
              </w:rPr>
              <w:t xml:space="preserve">Directive </w:t>
            </w:r>
            <w:r w:rsidRPr="3C351E67" w:rsidR="551C8F15">
              <w:rPr>
                <w:rFonts w:ascii="Times New Roman" w:hAnsi="Times New Roman" w:cs="Times New Roman"/>
                <w:color w:val="000000" w:themeColor="text1"/>
                <w:sz w:val="20"/>
                <w:szCs w:val="20"/>
                <w:lang w:val="en-US"/>
              </w:rPr>
              <w:t>(EU) 20</w:t>
            </w:r>
            <w:r w:rsidRPr="3C351E67" w:rsidR="00612D5B">
              <w:rPr>
                <w:rFonts w:ascii="Times New Roman" w:hAnsi="Times New Roman" w:cs="Times New Roman"/>
                <w:color w:val="000000" w:themeColor="text1"/>
                <w:sz w:val="20"/>
                <w:szCs w:val="20"/>
                <w:lang w:val="en-US"/>
              </w:rPr>
              <w:t>13</w:t>
            </w:r>
            <w:r w:rsidRPr="3C351E67" w:rsidR="551C8F15">
              <w:rPr>
                <w:rFonts w:ascii="Times New Roman" w:hAnsi="Times New Roman" w:cs="Times New Roman"/>
                <w:color w:val="000000" w:themeColor="text1"/>
                <w:sz w:val="20"/>
                <w:szCs w:val="20"/>
                <w:lang w:val="en-US"/>
              </w:rPr>
              <w:t>/</w:t>
            </w:r>
            <w:r w:rsidRPr="3C351E67" w:rsidR="00612D5B">
              <w:rPr>
                <w:rFonts w:ascii="Times New Roman" w:hAnsi="Times New Roman" w:cs="Times New Roman"/>
                <w:color w:val="000000" w:themeColor="text1"/>
                <w:sz w:val="20"/>
                <w:szCs w:val="20"/>
                <w:lang w:val="en-US"/>
              </w:rPr>
              <w:t>36/EU</w:t>
            </w:r>
            <w:r w:rsidRPr="3C351E67" w:rsidR="00633ADF">
              <w:rPr>
                <w:rStyle w:val="FootnoteReference"/>
                <w:rFonts w:ascii="Times New Roman" w:hAnsi="Times New Roman" w:cs="Times New Roman"/>
                <w:color w:val="000000" w:themeColor="text1"/>
                <w:lang w:val="en-US"/>
              </w:rPr>
              <w:footnoteReference w:id="7"/>
            </w:r>
            <w:r w:rsidRPr="3C351E67" w:rsidR="002472D0">
              <w:rPr>
                <w:rFonts w:ascii="Times New Roman" w:hAnsi="Times New Roman" w:cs="Times New Roman"/>
                <w:color w:val="000000" w:themeColor="text1"/>
                <w:sz w:val="20"/>
                <w:szCs w:val="20"/>
                <w:lang w:val="en-US"/>
              </w:rPr>
              <w:t>;</w:t>
            </w:r>
            <w:r w:rsidRPr="3C351E67" w:rsidR="007644C5">
              <w:rPr>
                <w:rFonts w:ascii="Times New Roman" w:hAnsi="Times New Roman" w:cs="Times New Roman"/>
                <w:color w:val="000000" w:themeColor="text1"/>
                <w:sz w:val="20"/>
                <w:szCs w:val="20"/>
                <w:lang w:val="en-US"/>
              </w:rPr>
              <w:t xml:space="preserve"> </w:t>
            </w:r>
          </w:p>
          <w:p w:rsidRPr="00D43D39" w:rsidR="00761ED3" w:rsidP="00715DAB" w:rsidRDefault="00FC6D1E" w14:paraId="57B12F71" w14:textId="61CB0A92">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Pr="00D43D39" w:rsidR="00EE1625">
              <w:rPr>
                <w:rFonts w:ascii="Times New Roman" w:hAnsi="Times New Roman" w:cs="Times New Roman"/>
                <w:color w:val="000000" w:themeColor="text1"/>
                <w:sz w:val="20"/>
                <w:szCs w:val="20"/>
                <w:lang w:val="en-GB"/>
              </w:rPr>
              <w:t>Investment firm</w:t>
            </w:r>
            <w:r w:rsidRPr="00D43D39" w:rsidR="00761ED3">
              <w:rPr>
                <w:rFonts w:ascii="Times New Roman" w:hAnsi="Times New Roman" w:cs="Times New Roman"/>
                <w:color w:val="000000" w:themeColor="text1"/>
                <w:sz w:val="20"/>
                <w:szCs w:val="20"/>
                <w:lang w:val="en-GB"/>
              </w:rPr>
              <w:t xml:space="preserve"> subject to the initial capital requirement laid down in Article </w:t>
            </w:r>
            <w:r w:rsidRPr="00D43D39" w:rsidR="73DB3A73">
              <w:rPr>
                <w:rFonts w:ascii="Times New Roman" w:hAnsi="Times New Roman" w:cs="Times New Roman"/>
                <w:color w:val="000000" w:themeColor="text1"/>
                <w:sz w:val="20"/>
                <w:szCs w:val="20"/>
                <w:lang w:val="en-GB"/>
              </w:rPr>
              <w:t>9(1)</w:t>
            </w:r>
            <w:r w:rsidRPr="00D43D39" w:rsidR="00761ED3">
              <w:rPr>
                <w:rFonts w:ascii="Times New Roman" w:hAnsi="Times New Roman" w:cs="Times New Roman"/>
                <w:color w:val="000000" w:themeColor="text1"/>
                <w:sz w:val="20"/>
                <w:szCs w:val="20"/>
                <w:lang w:val="en-GB"/>
              </w:rPr>
              <w:t xml:space="preserve"> of Directive </w:t>
            </w:r>
            <w:r w:rsidRPr="00D43D39" w:rsidR="00770F00">
              <w:rPr>
                <w:rFonts w:ascii="Times New Roman" w:hAnsi="Times New Roman" w:cs="Times New Roman"/>
                <w:color w:val="000000" w:themeColor="text1"/>
                <w:sz w:val="20"/>
                <w:szCs w:val="20"/>
                <w:lang w:val="en-GB"/>
              </w:rPr>
              <w:t>(EU) 2019/2034</w:t>
            </w:r>
            <w:r w:rsidRPr="00D43D39" w:rsidR="00761ED3">
              <w:rPr>
                <w:rFonts w:ascii="Times New Roman" w:hAnsi="Times New Roman" w:cs="Times New Roman"/>
                <w:color w:val="000000" w:themeColor="text1"/>
                <w:sz w:val="20"/>
                <w:szCs w:val="20"/>
                <w:lang w:val="en-GB"/>
              </w:rPr>
              <w:t>’</w:t>
            </w:r>
          </w:p>
          <w:p w:rsidRPr="00D43D39" w:rsidR="00EE1625" w:rsidP="00761ED3" w:rsidRDefault="004E4AD0" w14:paraId="4375E0C3" w14:textId="7E6EE0AF">
            <w:pPr>
              <w:pStyle w:val="TableParagraph"/>
              <w:spacing w:before="108"/>
              <w:ind w:left="445"/>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category shall cover investment firms </w:t>
            </w:r>
            <w:r w:rsidRPr="00D43D39" w:rsidR="002472D0">
              <w:rPr>
                <w:rFonts w:ascii="Times New Roman" w:hAnsi="Times New Roman" w:cs="Times New Roman"/>
                <w:color w:val="000000" w:themeColor="text1"/>
                <w:sz w:val="20"/>
                <w:szCs w:val="20"/>
                <w:lang w:val="en-GB"/>
              </w:rPr>
              <w:t xml:space="preserve">as defined </w:t>
            </w:r>
            <w:r w:rsidRPr="00D43D39" w:rsidR="009D1049">
              <w:rPr>
                <w:rFonts w:ascii="Times New Roman" w:hAnsi="Times New Roman" w:cs="Times New Roman"/>
                <w:color w:val="000000" w:themeColor="text1"/>
                <w:sz w:val="20"/>
                <w:szCs w:val="20"/>
                <w:lang w:val="en-GB"/>
              </w:rPr>
              <w:t xml:space="preserve">in </w:t>
            </w:r>
            <w:r w:rsidRPr="00D43D39" w:rsidR="00CA01FD">
              <w:rPr>
                <w:rFonts w:ascii="Times New Roman" w:hAnsi="Times New Roman" w:cs="Times New Roman"/>
                <w:color w:val="000000" w:themeColor="text1"/>
                <w:sz w:val="20"/>
                <w:szCs w:val="20"/>
                <w:lang w:val="en-GB"/>
              </w:rPr>
              <w:t>Article 4(1)</w:t>
            </w:r>
            <w:r w:rsidRPr="00D43D39" w:rsidR="009D1049">
              <w:rPr>
                <w:rFonts w:ascii="Times New Roman" w:hAnsi="Times New Roman" w:cs="Times New Roman"/>
                <w:color w:val="000000" w:themeColor="text1"/>
                <w:sz w:val="20"/>
                <w:szCs w:val="20"/>
                <w:lang w:val="en-GB"/>
              </w:rPr>
              <w:t>, point (22)</w:t>
            </w:r>
            <w:r w:rsidRPr="00D43D39" w:rsidR="00CA01FD">
              <w:rPr>
                <w:rFonts w:ascii="Times New Roman" w:hAnsi="Times New Roman" w:cs="Times New Roman"/>
                <w:color w:val="000000" w:themeColor="text1"/>
                <w:sz w:val="20"/>
                <w:szCs w:val="20"/>
                <w:lang w:val="en-GB"/>
              </w:rPr>
              <w:t xml:space="preserve"> of Regulation (EU) 2019/2033</w:t>
            </w:r>
            <w:r w:rsidRPr="005F5507" w:rsidR="00B278BB">
              <w:rPr>
                <w:rStyle w:val="FootnoteReference"/>
                <w:rFonts w:ascii="Times New Roman" w:hAnsi="Times New Roman" w:cs="Times New Roman"/>
                <w:color w:val="000000" w:themeColor="text1"/>
                <w:lang w:val="en-GB"/>
              </w:rPr>
              <w:footnoteReference w:id="8"/>
            </w:r>
            <w:r w:rsidRPr="00D43D39" w:rsidR="000B669C">
              <w:rPr>
                <w:rFonts w:ascii="Times New Roman" w:hAnsi="Times New Roman" w:cs="Times New Roman"/>
                <w:color w:val="000000" w:themeColor="text1"/>
                <w:sz w:val="20"/>
                <w:szCs w:val="20"/>
                <w:lang w:val="en-GB"/>
              </w:rPr>
              <w:t xml:space="preserve"> </w:t>
            </w:r>
            <w:r w:rsidRPr="00D43D39" w:rsidR="002472D0">
              <w:rPr>
                <w:rFonts w:ascii="Times New Roman" w:hAnsi="Times New Roman" w:cs="Times New Roman"/>
                <w:color w:val="000000" w:themeColor="text1"/>
                <w:sz w:val="20"/>
                <w:szCs w:val="20"/>
                <w:lang w:val="en-GB"/>
              </w:rPr>
              <w:t xml:space="preserve">that </w:t>
            </w:r>
            <w:r w:rsidRPr="00D43D39">
              <w:rPr>
                <w:rFonts w:ascii="Times New Roman" w:hAnsi="Times New Roman" w:cs="Times New Roman"/>
                <w:color w:val="000000" w:themeColor="text1"/>
                <w:sz w:val="20"/>
                <w:szCs w:val="20"/>
                <w:lang w:val="en-GB"/>
              </w:rPr>
              <w:t xml:space="preserve">are </w:t>
            </w:r>
            <w:r w:rsidRPr="00D43D39" w:rsidR="002472D0">
              <w:rPr>
                <w:rFonts w:ascii="Times New Roman" w:hAnsi="Times New Roman" w:cs="Times New Roman"/>
                <w:color w:val="000000" w:themeColor="text1"/>
                <w:sz w:val="20"/>
                <w:szCs w:val="20"/>
                <w:lang w:val="en-GB"/>
              </w:rPr>
              <w:t xml:space="preserve">subject to the initial capital requirement laid down in </w:t>
            </w:r>
            <w:r w:rsidRPr="00D43D39" w:rsidR="00494724">
              <w:rPr>
                <w:rFonts w:ascii="Times New Roman" w:hAnsi="Times New Roman" w:cs="Times New Roman"/>
                <w:color w:val="000000" w:themeColor="text1"/>
                <w:sz w:val="20"/>
                <w:szCs w:val="20"/>
                <w:lang w:val="en-GB"/>
              </w:rPr>
              <w:t>9(1) of Directive (EU) 2019/2034</w:t>
            </w:r>
            <w:r w:rsidRPr="005F5507" w:rsidR="00454906">
              <w:rPr>
                <w:rStyle w:val="FootnoteReference"/>
                <w:rFonts w:ascii="Times New Roman" w:hAnsi="Times New Roman" w:cs="Times New Roman"/>
                <w:color w:val="000000" w:themeColor="text1"/>
                <w:lang w:val="en-GB"/>
              </w:rPr>
              <w:footnoteReference w:id="9"/>
            </w:r>
            <w:r w:rsidRPr="00D43D39" w:rsidR="000B669C">
              <w:rPr>
                <w:rFonts w:ascii="Times New Roman" w:hAnsi="Times New Roman" w:cs="Times New Roman"/>
                <w:color w:val="000000" w:themeColor="text1"/>
                <w:sz w:val="20"/>
                <w:szCs w:val="20"/>
                <w:lang w:val="en-GB"/>
              </w:rPr>
              <w:t>.</w:t>
            </w:r>
          </w:p>
          <w:p w:rsidRPr="00D43D39" w:rsidR="009B13D7" w:rsidP="00715DAB" w:rsidRDefault="000B669C" w14:paraId="1C3C6319" w14:textId="76240711">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Pr="00D43D39" w:rsidR="00761ED3">
              <w:rPr>
                <w:rFonts w:ascii="Times New Roman" w:hAnsi="Times New Roman" w:cs="Times New Roman"/>
                <w:color w:val="000000" w:themeColor="text1"/>
                <w:sz w:val="20"/>
                <w:szCs w:val="20"/>
                <w:lang w:val="en-GB"/>
              </w:rPr>
              <w:t xml:space="preserve">Investment firm not subject to the initial capital requirement laid down in Article </w:t>
            </w:r>
            <w:r w:rsidRPr="00D43D39" w:rsidR="000E5705">
              <w:rPr>
                <w:rFonts w:ascii="Times New Roman" w:hAnsi="Times New Roman" w:cs="Times New Roman"/>
                <w:color w:val="000000" w:themeColor="text1"/>
                <w:sz w:val="20"/>
                <w:szCs w:val="20"/>
                <w:lang w:val="en-GB"/>
              </w:rPr>
              <w:t>9</w:t>
            </w:r>
            <w:r w:rsidRPr="00D43D39" w:rsidR="00761ED3">
              <w:rPr>
                <w:rFonts w:ascii="Times New Roman" w:hAnsi="Times New Roman" w:cs="Times New Roman"/>
                <w:color w:val="000000" w:themeColor="text1"/>
                <w:sz w:val="20"/>
                <w:szCs w:val="20"/>
                <w:lang w:val="en-GB"/>
              </w:rPr>
              <w:t>(</w:t>
            </w:r>
            <w:r w:rsidRPr="00D43D39" w:rsidR="000E5705">
              <w:rPr>
                <w:rFonts w:ascii="Times New Roman" w:hAnsi="Times New Roman" w:cs="Times New Roman"/>
                <w:color w:val="000000" w:themeColor="text1"/>
                <w:sz w:val="20"/>
                <w:szCs w:val="20"/>
                <w:lang w:val="en-GB"/>
              </w:rPr>
              <w:t>1</w:t>
            </w:r>
            <w:r w:rsidRPr="00D43D39" w:rsidR="00761ED3">
              <w:rPr>
                <w:rFonts w:ascii="Times New Roman" w:hAnsi="Times New Roman" w:cs="Times New Roman"/>
                <w:color w:val="000000" w:themeColor="text1"/>
                <w:sz w:val="20"/>
                <w:szCs w:val="20"/>
                <w:lang w:val="en-GB"/>
              </w:rPr>
              <w:t xml:space="preserve">) of Directive </w:t>
            </w:r>
            <w:r w:rsidRPr="00D43D39" w:rsidR="000E5705">
              <w:rPr>
                <w:rFonts w:ascii="Times New Roman" w:hAnsi="Times New Roman" w:cs="Times New Roman"/>
                <w:color w:val="000000" w:themeColor="text1"/>
                <w:sz w:val="20"/>
                <w:szCs w:val="20"/>
                <w:lang w:val="en-GB"/>
              </w:rPr>
              <w:t>(EU) 2019/2034</w:t>
            </w:r>
            <w:r w:rsidRPr="00D43D39">
              <w:rPr>
                <w:rFonts w:ascii="Times New Roman" w:hAnsi="Times New Roman" w:cs="Times New Roman"/>
                <w:color w:val="000000" w:themeColor="text1"/>
                <w:sz w:val="20"/>
                <w:szCs w:val="20"/>
                <w:lang w:val="en-GB"/>
              </w:rPr>
              <w:t>’</w:t>
            </w:r>
          </w:p>
          <w:p w:rsidRPr="00D43D39" w:rsidR="00761ED3" w:rsidP="00715DAB" w:rsidRDefault="00FC6D1E" w14:paraId="53B269C8" w14:textId="77777777">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Pr="00D43D39" w:rsidR="009B13D7">
              <w:rPr>
                <w:rFonts w:ascii="Times New Roman" w:hAnsi="Times New Roman" w:cs="Times New Roman"/>
                <w:color w:val="000000" w:themeColor="text1"/>
                <w:sz w:val="20"/>
                <w:szCs w:val="20"/>
                <w:lang w:val="en-GB"/>
              </w:rPr>
              <w:t>F</w:t>
            </w:r>
            <w:r w:rsidRPr="00D43D39" w:rsidR="00761ED3">
              <w:rPr>
                <w:rFonts w:ascii="Times New Roman" w:hAnsi="Times New Roman" w:cs="Times New Roman"/>
                <w:color w:val="000000" w:themeColor="text1"/>
                <w:sz w:val="20"/>
                <w:szCs w:val="20"/>
                <w:lang w:val="en-GB"/>
              </w:rPr>
              <w:t>inancial institution</w:t>
            </w:r>
            <w:r w:rsidRPr="00D43D39">
              <w:rPr>
                <w:rFonts w:ascii="Times New Roman" w:hAnsi="Times New Roman" w:cs="Times New Roman"/>
                <w:color w:val="000000" w:themeColor="text1"/>
                <w:sz w:val="20"/>
                <w:szCs w:val="20"/>
                <w:lang w:val="en-GB"/>
              </w:rPr>
              <w:t>’</w:t>
            </w:r>
          </w:p>
          <w:p w:rsidRPr="00D43D39" w:rsidR="002472D0" w:rsidP="00761ED3" w:rsidRDefault="00377E0E" w14:paraId="7E91043B" w14:textId="77777777">
            <w:pPr>
              <w:pStyle w:val="TableParagraph"/>
              <w:spacing w:before="108"/>
              <w:ind w:left="445"/>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category shall cover financial institutions </w:t>
            </w:r>
            <w:r w:rsidRPr="00D43D39" w:rsidR="002472D0">
              <w:rPr>
                <w:rFonts w:ascii="Times New Roman" w:hAnsi="Times New Roman" w:cs="Times New Roman"/>
                <w:color w:val="000000" w:themeColor="text1"/>
                <w:sz w:val="20"/>
                <w:szCs w:val="20"/>
                <w:lang w:val="en-GB"/>
              </w:rPr>
              <w:t xml:space="preserve">as defined in point (26) of Article 4(1) of </w:t>
            </w:r>
            <w:r w:rsidRPr="00D43D39" w:rsidR="000B669C">
              <w:rPr>
                <w:rFonts w:ascii="Times New Roman" w:hAnsi="Times New Roman" w:cs="Times New Roman"/>
                <w:color w:val="000000" w:themeColor="text1"/>
                <w:sz w:val="20"/>
                <w:szCs w:val="20"/>
                <w:lang w:val="en-GB"/>
              </w:rPr>
              <w:t xml:space="preserve">the </w:t>
            </w:r>
            <w:r w:rsidRPr="00D43D39" w:rsidR="00D444D0">
              <w:rPr>
                <w:rFonts w:ascii="Times New Roman" w:hAnsi="Times New Roman" w:cs="Times New Roman"/>
                <w:color w:val="000000" w:themeColor="text1"/>
                <w:sz w:val="20"/>
                <w:szCs w:val="20"/>
                <w:lang w:val="en-GB"/>
              </w:rPr>
              <w:t>Regulation (EU) No 575/2013</w:t>
            </w:r>
            <w:r w:rsidRPr="00D43D39" w:rsidR="00713231">
              <w:rPr>
                <w:rFonts w:ascii="Times New Roman" w:hAnsi="Times New Roman" w:cs="Times New Roman"/>
                <w:color w:val="000000" w:themeColor="text1"/>
                <w:sz w:val="20"/>
                <w:szCs w:val="20"/>
                <w:lang w:val="en-GB"/>
              </w:rPr>
              <w:t>, other than those classified as ‘holding company’ as described in point e) below.</w:t>
            </w:r>
          </w:p>
          <w:p w:rsidRPr="00D43D39" w:rsidR="00761ED3" w:rsidP="00715DAB" w:rsidRDefault="00FC6D1E" w14:paraId="1C5C3ED3" w14:textId="77777777">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‘Holding company’</w:t>
            </w:r>
          </w:p>
          <w:p w:rsidRPr="00D43D39" w:rsidR="00761ED3" w:rsidP="00761ED3" w:rsidRDefault="00761ED3" w14:paraId="19E2F401" w14:textId="77777777">
            <w:pPr>
              <w:pStyle w:val="TableParagraph"/>
              <w:spacing w:before="108"/>
              <w:ind w:left="445"/>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category shall cover </w:t>
            </w:r>
            <w:r w:rsidRPr="00D43D39" w:rsidR="00377E0E">
              <w:rPr>
                <w:rFonts w:ascii="Times New Roman" w:hAnsi="Times New Roman" w:cs="Times New Roman"/>
                <w:color w:val="000000" w:themeColor="text1"/>
                <w:sz w:val="20"/>
                <w:szCs w:val="20"/>
                <w:lang w:val="en-GB"/>
              </w:rPr>
              <w:t xml:space="preserve">any of </w:t>
            </w:r>
            <w:r w:rsidRPr="00D43D39">
              <w:rPr>
                <w:rFonts w:ascii="Times New Roman" w:hAnsi="Times New Roman" w:cs="Times New Roman"/>
                <w:color w:val="000000" w:themeColor="text1"/>
                <w:sz w:val="20"/>
                <w:szCs w:val="20"/>
                <w:lang w:val="en-GB"/>
              </w:rPr>
              <w:t>the following:</w:t>
            </w:r>
          </w:p>
          <w:p w:rsidRPr="00D43D39" w:rsidR="00EE1625" w:rsidP="00715DAB" w:rsidRDefault="00EE1625" w14:paraId="32B78B8D" w14:textId="77777777">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Financial holding company</w:t>
            </w:r>
            <w:r w:rsidRPr="00D43D39" w:rsidR="002472D0">
              <w:rPr>
                <w:rFonts w:ascii="Times New Roman" w:hAnsi="Times New Roman" w:cs="Times New Roman"/>
                <w:color w:val="000000" w:themeColor="text1"/>
                <w:sz w:val="20"/>
                <w:szCs w:val="20"/>
                <w:lang w:val="en-GB"/>
              </w:rPr>
              <w:t xml:space="preserve"> as defined in point (20) of Article 4(1) of </w:t>
            </w:r>
            <w:r w:rsidRPr="00D43D39" w:rsidR="00D444D0">
              <w:rPr>
                <w:rFonts w:ascii="Times New Roman" w:hAnsi="Times New Roman" w:cs="Times New Roman"/>
                <w:color w:val="000000" w:themeColor="text1"/>
                <w:sz w:val="20"/>
                <w:szCs w:val="20"/>
                <w:lang w:val="en-GB"/>
              </w:rPr>
              <w:t xml:space="preserve">Regulation (EU) No </w:t>
            </w:r>
            <w:r w:rsidRPr="00D43D39" w:rsidR="00D444D0">
              <w:rPr>
                <w:rFonts w:ascii="Times New Roman" w:hAnsi="Times New Roman" w:cs="Times New Roman"/>
                <w:color w:val="000000" w:themeColor="text1"/>
                <w:sz w:val="20"/>
                <w:szCs w:val="20"/>
                <w:lang w:val="en-GB"/>
              </w:rPr>
              <w:t>575/2013</w:t>
            </w:r>
            <w:r w:rsidRPr="00D43D39" w:rsidR="000B669C">
              <w:rPr>
                <w:rFonts w:ascii="Times New Roman" w:hAnsi="Times New Roman" w:cs="Times New Roman"/>
                <w:color w:val="000000" w:themeColor="text1"/>
                <w:sz w:val="20"/>
                <w:szCs w:val="20"/>
                <w:lang w:val="en-GB"/>
              </w:rPr>
              <w:t>;</w:t>
            </w:r>
          </w:p>
          <w:p w:rsidRPr="00D43D39" w:rsidR="00EE1625" w:rsidP="00715DAB" w:rsidRDefault="00EE1625" w14:paraId="46717B1C" w14:textId="77777777">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Mixed financial holding company</w:t>
            </w:r>
            <w:r w:rsidRPr="00D43D39" w:rsidR="002472D0">
              <w:rPr>
                <w:rFonts w:ascii="Times New Roman" w:hAnsi="Times New Roman" w:cs="Times New Roman"/>
                <w:color w:val="000000" w:themeColor="text1"/>
                <w:sz w:val="20"/>
                <w:szCs w:val="20"/>
                <w:lang w:val="en-GB"/>
              </w:rPr>
              <w:t xml:space="preserve"> as defined in point (21) of Article 4(1) of </w:t>
            </w:r>
            <w:r w:rsidRPr="00D43D39" w:rsidR="00D444D0">
              <w:rPr>
                <w:rFonts w:ascii="Times New Roman" w:hAnsi="Times New Roman" w:cs="Times New Roman"/>
                <w:color w:val="000000" w:themeColor="text1"/>
                <w:sz w:val="20"/>
                <w:szCs w:val="20"/>
                <w:lang w:val="en-GB"/>
              </w:rPr>
              <w:t>Regulation (EU) No 575/2013</w:t>
            </w:r>
            <w:r w:rsidRPr="00D43D39" w:rsidR="000B669C">
              <w:rPr>
                <w:rFonts w:ascii="Times New Roman" w:hAnsi="Times New Roman" w:cs="Times New Roman"/>
                <w:color w:val="000000" w:themeColor="text1"/>
                <w:sz w:val="20"/>
                <w:szCs w:val="20"/>
                <w:lang w:val="en-GB"/>
              </w:rPr>
              <w:t>;</w:t>
            </w:r>
          </w:p>
          <w:p w:rsidRPr="00D43D39" w:rsidR="00EE1625" w:rsidP="00715DAB" w:rsidRDefault="00EE1625" w14:paraId="0A8CC7AD" w14:textId="77777777">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Mixed activity holding company</w:t>
            </w:r>
            <w:r w:rsidRPr="00D43D39" w:rsidR="002472D0">
              <w:rPr>
                <w:rFonts w:ascii="Times New Roman" w:hAnsi="Times New Roman" w:cs="Times New Roman"/>
                <w:color w:val="000000" w:themeColor="text1"/>
                <w:sz w:val="20"/>
                <w:szCs w:val="20"/>
                <w:lang w:val="en-GB"/>
              </w:rPr>
              <w:t xml:space="preserve"> as defined in point (22) of Article 4(1) of </w:t>
            </w:r>
            <w:r w:rsidRPr="00D43D39" w:rsidR="00D444D0">
              <w:rPr>
                <w:rFonts w:ascii="Times New Roman" w:hAnsi="Times New Roman" w:cs="Times New Roman"/>
                <w:color w:val="000000" w:themeColor="text1"/>
                <w:sz w:val="20"/>
                <w:szCs w:val="20"/>
                <w:lang w:val="en-GB"/>
              </w:rPr>
              <w:t>Regulation (EU) No 575/2013</w:t>
            </w:r>
            <w:r w:rsidRPr="00D43D39" w:rsidR="000B669C">
              <w:rPr>
                <w:rFonts w:ascii="Times New Roman" w:hAnsi="Times New Roman" w:cs="Times New Roman"/>
                <w:color w:val="000000" w:themeColor="text1"/>
                <w:sz w:val="20"/>
                <w:szCs w:val="20"/>
                <w:lang w:val="en-GB"/>
              </w:rPr>
              <w:t>;</w:t>
            </w:r>
          </w:p>
          <w:p w:rsidRPr="00D43D39" w:rsidR="00EE1625" w:rsidP="00715DAB" w:rsidRDefault="002472D0" w14:paraId="55D4FDE8" w14:textId="77777777">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P</w:t>
            </w:r>
            <w:r w:rsidRPr="00D43D39" w:rsidR="00EE1625">
              <w:rPr>
                <w:rFonts w:ascii="Times New Roman" w:hAnsi="Times New Roman" w:cs="Times New Roman"/>
                <w:color w:val="000000" w:themeColor="text1"/>
                <w:sz w:val="20"/>
                <w:szCs w:val="20"/>
                <w:lang w:val="en-GB"/>
              </w:rPr>
              <w:t>arent financial holding companies</w:t>
            </w:r>
            <w:r w:rsidRPr="00D43D39">
              <w:rPr>
                <w:rFonts w:ascii="Times New Roman" w:hAnsi="Times New Roman" w:cs="Times New Roman"/>
                <w:color w:val="000000" w:themeColor="text1"/>
                <w:sz w:val="20"/>
                <w:szCs w:val="20"/>
                <w:lang w:val="en-GB"/>
              </w:rPr>
              <w:t xml:space="preserve"> as defined in point (30) of Article 4(1) of </w:t>
            </w:r>
            <w:r w:rsidRPr="00D43D39" w:rsidR="00D444D0">
              <w:rPr>
                <w:rFonts w:ascii="Times New Roman" w:hAnsi="Times New Roman" w:cs="Times New Roman"/>
                <w:color w:val="000000" w:themeColor="text1"/>
                <w:sz w:val="20"/>
                <w:szCs w:val="20"/>
                <w:lang w:val="en-GB"/>
              </w:rPr>
              <w:t>Regulation (EU) No 575/2013</w:t>
            </w:r>
            <w:r w:rsidRPr="00D43D39" w:rsidR="000B669C">
              <w:rPr>
                <w:rFonts w:ascii="Times New Roman" w:hAnsi="Times New Roman" w:cs="Times New Roman"/>
                <w:color w:val="000000" w:themeColor="text1"/>
                <w:sz w:val="20"/>
                <w:szCs w:val="20"/>
                <w:lang w:val="en-GB"/>
              </w:rPr>
              <w:t>;</w:t>
            </w:r>
          </w:p>
          <w:p w:rsidRPr="00D43D39" w:rsidR="00EE1625" w:rsidP="00715DAB" w:rsidRDefault="00EE1625" w14:paraId="671D80C0" w14:textId="77777777">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Union parent financial holding company</w:t>
            </w:r>
            <w:r w:rsidRPr="00D43D39" w:rsidR="002472D0">
              <w:rPr>
                <w:rFonts w:ascii="Times New Roman" w:hAnsi="Times New Roman" w:cs="Times New Roman"/>
                <w:color w:val="000000" w:themeColor="text1"/>
                <w:sz w:val="20"/>
                <w:szCs w:val="20"/>
                <w:lang w:val="en-GB"/>
              </w:rPr>
              <w:t xml:space="preserve"> as defined in point (31) of Article 4(1) of </w:t>
            </w:r>
            <w:r w:rsidRPr="00D43D39" w:rsidR="00D444D0">
              <w:rPr>
                <w:rFonts w:ascii="Times New Roman" w:hAnsi="Times New Roman" w:cs="Times New Roman"/>
                <w:color w:val="000000" w:themeColor="text1"/>
                <w:sz w:val="20"/>
                <w:szCs w:val="20"/>
                <w:lang w:val="en-GB"/>
              </w:rPr>
              <w:t>Regulation (EU) No 575/2013</w:t>
            </w:r>
            <w:r w:rsidRPr="00D43D39" w:rsidR="000B669C">
              <w:rPr>
                <w:rFonts w:ascii="Times New Roman" w:hAnsi="Times New Roman" w:cs="Times New Roman"/>
                <w:color w:val="000000" w:themeColor="text1"/>
                <w:sz w:val="20"/>
                <w:szCs w:val="20"/>
                <w:lang w:val="en-GB"/>
              </w:rPr>
              <w:t>;</w:t>
            </w:r>
          </w:p>
          <w:p w:rsidRPr="00D43D39" w:rsidR="00EE1625" w:rsidP="00715DAB" w:rsidRDefault="00EE1625" w14:paraId="71E12CEC" w14:textId="77777777">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Parent mixed financial holding company in a Member State</w:t>
            </w:r>
            <w:r w:rsidRPr="00D43D39" w:rsidR="002472D0">
              <w:rPr>
                <w:rFonts w:ascii="Times New Roman" w:hAnsi="Times New Roman" w:cs="Times New Roman"/>
                <w:color w:val="000000" w:themeColor="text1"/>
                <w:sz w:val="20"/>
                <w:szCs w:val="20"/>
                <w:lang w:val="en-GB"/>
              </w:rPr>
              <w:t xml:space="preserve"> as defined in point (32) of Article 4(1)of </w:t>
            </w:r>
            <w:r w:rsidRPr="00D43D39" w:rsidR="00D444D0">
              <w:rPr>
                <w:rFonts w:ascii="Times New Roman" w:hAnsi="Times New Roman" w:cs="Times New Roman"/>
                <w:color w:val="000000" w:themeColor="text1"/>
                <w:sz w:val="20"/>
                <w:szCs w:val="20"/>
                <w:lang w:val="en-GB"/>
              </w:rPr>
              <w:t>Regulation (EU) No 575/2013</w:t>
            </w:r>
            <w:r w:rsidRPr="00D43D39" w:rsidR="000B669C">
              <w:rPr>
                <w:rFonts w:ascii="Times New Roman" w:hAnsi="Times New Roman" w:cs="Times New Roman"/>
                <w:color w:val="000000" w:themeColor="text1"/>
                <w:sz w:val="20"/>
                <w:szCs w:val="20"/>
                <w:lang w:val="en-GB"/>
              </w:rPr>
              <w:t>;</w:t>
            </w:r>
          </w:p>
          <w:p w:rsidRPr="00D43D39" w:rsidR="002472D0" w:rsidP="00715DAB" w:rsidRDefault="002472D0" w14:paraId="66855E81" w14:textId="77777777">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Union parent mixed financial holding companies as defined in point (33) of Article 4(1) of </w:t>
            </w:r>
            <w:r w:rsidRPr="00D43D39" w:rsidR="00D444D0">
              <w:rPr>
                <w:rFonts w:ascii="Times New Roman" w:hAnsi="Times New Roman" w:cs="Times New Roman"/>
                <w:color w:val="000000" w:themeColor="text1"/>
                <w:sz w:val="20"/>
                <w:szCs w:val="20"/>
                <w:lang w:val="en-GB"/>
              </w:rPr>
              <w:t>Regulation (EU) No 575/2013.</w:t>
            </w:r>
          </w:p>
          <w:p w:rsidRPr="00D43D39" w:rsidR="0039173B" w:rsidP="00715DAB" w:rsidRDefault="00FC6D1E" w14:paraId="258775F9" w14:textId="77777777">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Pr="00D43D39" w:rsidR="002472D0">
              <w:rPr>
                <w:rFonts w:ascii="Times New Roman" w:hAnsi="Times New Roman" w:cs="Times New Roman"/>
                <w:color w:val="000000" w:themeColor="text1"/>
                <w:sz w:val="20"/>
                <w:szCs w:val="20"/>
                <w:lang w:val="en-GB"/>
              </w:rPr>
              <w:t xml:space="preserve">Insurance </w:t>
            </w:r>
            <w:r w:rsidRPr="00D43D39" w:rsidR="0087299D">
              <w:rPr>
                <w:rFonts w:ascii="Times New Roman" w:hAnsi="Times New Roman" w:cs="Times New Roman"/>
                <w:color w:val="000000" w:themeColor="text1"/>
                <w:sz w:val="20"/>
                <w:szCs w:val="20"/>
                <w:lang w:val="en-GB"/>
              </w:rPr>
              <w:t>undertaking</w:t>
            </w:r>
            <w:r w:rsidRPr="00D43D39">
              <w:rPr>
                <w:rFonts w:ascii="Times New Roman" w:hAnsi="Times New Roman" w:cs="Times New Roman"/>
                <w:color w:val="000000" w:themeColor="text1"/>
                <w:sz w:val="20"/>
                <w:szCs w:val="20"/>
                <w:lang w:val="en-GB"/>
              </w:rPr>
              <w:t>’</w:t>
            </w:r>
          </w:p>
          <w:p w:rsidRPr="006167BA" w:rsidR="00EE1625" w:rsidP="001C34E8" w:rsidRDefault="3147FC91" w14:paraId="5194845F" w14:textId="77777777">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category shall cover insurance undertakings </w:t>
            </w:r>
            <w:r w:rsidRPr="00D43D39" w:rsidR="3F936992">
              <w:rPr>
                <w:rFonts w:ascii="Times New Roman" w:hAnsi="Times New Roman" w:cs="Times New Roman"/>
                <w:color w:val="000000" w:themeColor="text1"/>
                <w:sz w:val="20"/>
                <w:szCs w:val="20"/>
                <w:lang w:val="en-GB"/>
              </w:rPr>
              <w:t>as defined in Article 13 of Directive 2009/138/EC</w:t>
            </w:r>
            <w:r w:rsidRPr="00D43D39" w:rsidR="576E2C65">
              <w:rPr>
                <w:rFonts w:ascii="Times New Roman" w:hAnsi="Times New Roman" w:cs="Times New Roman"/>
                <w:color w:val="000000" w:themeColor="text1"/>
                <w:sz w:val="20"/>
                <w:szCs w:val="20"/>
                <w:lang w:val="en-GB"/>
              </w:rPr>
              <w:t xml:space="preserve"> of </w:t>
            </w:r>
            <w:r w:rsidRPr="006167BA" w:rsidR="576E2C65">
              <w:rPr>
                <w:rFonts w:ascii="Times New Roman" w:hAnsi="Times New Roman" w:cs="Times New Roman"/>
                <w:color w:val="000000" w:themeColor="text1"/>
                <w:sz w:val="20"/>
                <w:szCs w:val="20"/>
                <w:lang w:val="en-GB"/>
              </w:rPr>
              <w:t>the European Parliament and of the Council</w:t>
            </w:r>
            <w:r w:rsidRPr="005F5507" w:rsidR="00CF3EBF">
              <w:rPr>
                <w:rFonts w:ascii="Times New Roman" w:hAnsi="Times New Roman" w:cs="Times New Roman"/>
              </w:rPr>
              <w:footnoteReference w:id="10"/>
            </w:r>
            <w:r w:rsidRPr="006167BA" w:rsidR="7F31DC99">
              <w:rPr>
                <w:rFonts w:ascii="Times New Roman" w:hAnsi="Times New Roman" w:cs="Times New Roman"/>
                <w:color w:val="000000" w:themeColor="text1"/>
                <w:sz w:val="20"/>
                <w:szCs w:val="20"/>
                <w:lang w:val="en-GB"/>
              </w:rPr>
              <w:t>.</w:t>
            </w:r>
          </w:p>
          <w:p w:rsidRPr="005F5507" w:rsidR="004B713E" w:rsidP="001C34E8" w:rsidRDefault="00987EB3" w14:paraId="0E2AC6E8" w14:textId="23AFAE5F">
            <w:pPr>
              <w:pStyle w:val="TableParagraph"/>
              <w:numPr>
                <w:ilvl w:val="0"/>
                <w:numId w:val="67"/>
              </w:numPr>
              <w:spacing w:before="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5F5507" w:rsidR="4F887B9C">
              <w:rPr>
                <w:rFonts w:ascii="Times New Roman" w:hAnsi="Times New Roman" w:cs="Times New Roman"/>
                <w:color w:val="000000" w:themeColor="text1"/>
                <w:sz w:val="20"/>
                <w:szCs w:val="20"/>
              </w:rPr>
              <w:t xml:space="preserve">mportant </w:t>
            </w:r>
            <w:r w:rsidRPr="005F5507" w:rsidR="4F887B9C">
              <w:rPr>
                <w:rFonts w:ascii="Times New Roman" w:hAnsi="Times New Roman" w:cs="Times New Roman"/>
                <w:color w:val="000000" w:themeColor="text1"/>
                <w:sz w:val="20"/>
                <w:szCs w:val="20"/>
                <w:lang w:val="en-GB"/>
              </w:rPr>
              <w:t>service</w:t>
            </w:r>
            <w:r w:rsidRPr="005F5507" w:rsidR="4F887B9C">
              <w:rPr>
                <w:rFonts w:ascii="Times New Roman" w:hAnsi="Times New Roman" w:cs="Times New Roman"/>
                <w:color w:val="000000" w:themeColor="text1"/>
                <w:sz w:val="20"/>
                <w:szCs w:val="20"/>
              </w:rPr>
              <w:t xml:space="preserve"> provider</w:t>
            </w:r>
            <w:r>
              <w:rPr>
                <w:rFonts w:ascii="Times New Roman" w:hAnsi="Times New Roman" w:cs="Times New Roman"/>
                <w:color w:val="000000" w:themeColor="text1"/>
                <w:sz w:val="20"/>
                <w:szCs w:val="20"/>
              </w:rPr>
              <w:t>’ within the group, connected to critical functions and/or significant economic operations.</w:t>
            </w:r>
          </w:p>
          <w:p w:rsidRPr="005F5507" w:rsidR="5E2F2DB1" w:rsidP="001C34E8" w:rsidRDefault="5E2F2DB1" w14:paraId="119DA99E" w14:textId="602B268B">
            <w:pPr>
              <w:pStyle w:val="TableParagraph"/>
              <w:spacing w:before="108"/>
              <w:rPr>
                <w:rFonts w:ascii="Times New Roman" w:hAnsi="Times New Roman" w:cs="Times New Roman"/>
                <w:color w:val="000000" w:themeColor="text1"/>
                <w:sz w:val="20"/>
                <w:szCs w:val="20"/>
                <w:lang w:val="en-GB"/>
              </w:rPr>
            </w:pPr>
          </w:p>
          <w:p w:rsidRPr="00D43D39" w:rsidR="00EE1625" w:rsidRDefault="09A466AC" w14:paraId="2F0A99A8" w14:textId="48DED8BD">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Pr="00D43D39" w:rsidR="014803D0">
              <w:rPr>
                <w:rFonts w:ascii="Times New Roman" w:hAnsi="Times New Roman" w:cs="Times New Roman"/>
                <w:color w:val="000000" w:themeColor="text1"/>
                <w:sz w:val="20"/>
                <w:szCs w:val="20"/>
                <w:lang w:val="en-GB"/>
              </w:rPr>
              <w:t>O</w:t>
            </w:r>
            <w:r w:rsidRPr="00D43D39" w:rsidR="3FF47411">
              <w:rPr>
                <w:rFonts w:ascii="Times New Roman" w:hAnsi="Times New Roman" w:cs="Times New Roman"/>
                <w:color w:val="000000" w:themeColor="text1"/>
                <w:sz w:val="20"/>
                <w:szCs w:val="20"/>
                <w:lang w:val="en-GB"/>
              </w:rPr>
              <w:t xml:space="preserve">ther </w:t>
            </w:r>
            <w:r w:rsidRPr="00D43D39" w:rsidR="014803D0">
              <w:rPr>
                <w:rFonts w:ascii="Times New Roman" w:hAnsi="Times New Roman" w:cs="Times New Roman"/>
                <w:color w:val="000000" w:themeColor="text1"/>
                <w:sz w:val="20"/>
                <w:szCs w:val="20"/>
                <w:lang w:val="en-GB"/>
              </w:rPr>
              <w:t xml:space="preserve">entity </w:t>
            </w:r>
            <w:r w:rsidRPr="00D43D39" w:rsidR="3FF47411">
              <w:rPr>
                <w:rFonts w:ascii="Times New Roman" w:hAnsi="Times New Roman" w:cs="Times New Roman"/>
                <w:color w:val="000000" w:themeColor="text1"/>
                <w:sz w:val="20"/>
                <w:szCs w:val="20"/>
                <w:lang w:val="en-GB"/>
              </w:rPr>
              <w:t>type</w:t>
            </w:r>
            <w:r w:rsidRPr="00D43D39">
              <w:rPr>
                <w:rFonts w:ascii="Times New Roman" w:hAnsi="Times New Roman" w:cs="Times New Roman"/>
                <w:color w:val="000000" w:themeColor="text1"/>
                <w:sz w:val="20"/>
                <w:szCs w:val="20"/>
                <w:lang w:val="en-GB"/>
              </w:rPr>
              <w:t>’</w:t>
            </w:r>
            <w:r w:rsidRPr="00D43D39" w:rsidR="67C033B8">
              <w:rPr>
                <w:rFonts w:ascii="Times New Roman" w:hAnsi="Times New Roman" w:cs="Times New Roman"/>
                <w:color w:val="000000" w:themeColor="text1"/>
                <w:sz w:val="20"/>
                <w:szCs w:val="20"/>
                <w:lang w:val="en-GB"/>
              </w:rPr>
              <w:t>, where the entity is not capture</w:t>
            </w:r>
            <w:r w:rsidRPr="00D43D39" w:rsidR="26DAA35D">
              <w:rPr>
                <w:rFonts w:ascii="Times New Roman" w:hAnsi="Times New Roman" w:cs="Times New Roman"/>
                <w:color w:val="000000" w:themeColor="text1"/>
                <w:sz w:val="20"/>
                <w:szCs w:val="20"/>
                <w:lang w:val="en-GB"/>
              </w:rPr>
              <w:t>d</w:t>
            </w:r>
            <w:r w:rsidRPr="00D43D39" w:rsidR="67C033B8">
              <w:rPr>
                <w:rFonts w:ascii="Times New Roman" w:hAnsi="Times New Roman" w:cs="Times New Roman"/>
                <w:color w:val="000000" w:themeColor="text1"/>
                <w:sz w:val="20"/>
                <w:szCs w:val="20"/>
                <w:lang w:val="en-GB"/>
              </w:rPr>
              <w:t xml:space="preserve"> by </w:t>
            </w:r>
            <w:r w:rsidRPr="00D43D39" w:rsidR="7098937D">
              <w:rPr>
                <w:rFonts w:ascii="Times New Roman" w:hAnsi="Times New Roman" w:cs="Times New Roman"/>
                <w:color w:val="000000" w:themeColor="text1"/>
                <w:sz w:val="20"/>
                <w:szCs w:val="20"/>
                <w:lang w:val="en-GB"/>
              </w:rPr>
              <w:t xml:space="preserve">any of </w:t>
            </w:r>
            <w:r w:rsidRPr="00D43D39" w:rsidR="67C033B8">
              <w:rPr>
                <w:rFonts w:ascii="Times New Roman" w:hAnsi="Times New Roman" w:cs="Times New Roman"/>
                <w:color w:val="000000" w:themeColor="text1"/>
                <w:sz w:val="20"/>
                <w:szCs w:val="20"/>
                <w:lang w:val="en-GB"/>
              </w:rPr>
              <w:t>the above mentioned categories.</w:t>
            </w:r>
            <w:r w:rsidRPr="005F5507">
              <w:rPr>
                <w:rFonts w:ascii="Times New Roman" w:hAnsi="Times New Roman" w:cs="Times New Roman"/>
              </w:rPr>
              <w:br/>
            </w:r>
            <w:r w:rsidRPr="00D43D39" w:rsidR="33717689">
              <w:rPr>
                <w:rFonts w:ascii="Times New Roman" w:hAnsi="Times New Roman" w:cs="Times New Roman"/>
                <w:color w:val="000000" w:themeColor="text1"/>
                <w:sz w:val="20"/>
                <w:szCs w:val="20"/>
                <w:lang w:val="en-GB"/>
              </w:rPr>
              <w:t>(i.e. important funding provider)</w:t>
            </w:r>
          </w:p>
        </w:tc>
      </w:tr>
      <w:tr w:rsidRPr="00D43D39" w:rsidR="00D22EB0" w:rsidTr="3C351E67" w14:paraId="0E5D9608" w14:textId="77777777">
        <w:tc>
          <w:tcPr>
            <w:tcW w:w="0" w:type="auto"/>
            <w:tcBorders>
              <w:top w:val="single" w:color="1A171C" w:sz="4" w:space="0"/>
              <w:left w:val="nil"/>
              <w:bottom w:val="single" w:color="1A171C" w:sz="4" w:space="0"/>
              <w:right w:val="single" w:color="1A171C" w:sz="4" w:space="0"/>
            </w:tcBorders>
            <w:tcMar/>
          </w:tcPr>
          <w:p w:rsidRPr="00D43D39" w:rsidR="00027265" w:rsidP="00DF47E6" w:rsidRDefault="00B43F4E" w14:paraId="065A697D" w14:textId="77777777">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Pr="00D43D39" w:rsidR="00027265">
              <w:rPr>
                <w:rFonts w:ascii="Times New Roman" w:hAnsi="Times New Roman" w:cs="Times New Roman"/>
                <w:color w:val="000000" w:themeColor="text1"/>
                <w:spacing w:val="-2"/>
                <w:sz w:val="20"/>
                <w:szCs w:val="20"/>
                <w:lang w:val="en-GB"/>
              </w:rPr>
              <w:t>050</w:t>
            </w:r>
          </w:p>
        </w:tc>
        <w:tc>
          <w:tcPr>
            <w:tcW w:w="0" w:type="auto"/>
            <w:tcBorders>
              <w:top w:val="single" w:color="1A171C" w:sz="4" w:space="0"/>
              <w:left w:val="single" w:color="1A171C" w:sz="4" w:space="0"/>
              <w:bottom w:val="single" w:color="1A171C" w:sz="4" w:space="0"/>
              <w:right w:val="nil"/>
            </w:tcBorders>
            <w:tcMar/>
          </w:tcPr>
          <w:p w:rsidRPr="00D43D39" w:rsidR="00027265" w:rsidP="00DF47E6" w:rsidRDefault="00027265" w14:paraId="558D9A1B" w14:textId="77777777">
            <w:pPr>
              <w:pStyle w:val="TableParagraph"/>
              <w:spacing w:before="108"/>
              <w:ind w:left="85"/>
              <w:rPr>
                <w:rFonts w:ascii="Times New Roman" w:hAnsi="Times New Roman" w:cs="Times New Roman"/>
                <w:b/>
                <w:color w:val="000000" w:themeColor="text1"/>
                <w:spacing w:val="-1"/>
                <w:w w:val="90"/>
                <w:sz w:val="20"/>
                <w:szCs w:val="20"/>
                <w:lang w:val="en-GB"/>
              </w:rPr>
            </w:pPr>
            <w:r w:rsidRPr="00D43D39">
              <w:rPr>
                <w:rFonts w:ascii="Times New Roman" w:hAnsi="Times New Roman" w:cs="Times New Roman"/>
                <w:b/>
                <w:color w:val="000000" w:themeColor="text1"/>
                <w:spacing w:val="-1"/>
                <w:w w:val="90"/>
                <w:sz w:val="20"/>
                <w:szCs w:val="20"/>
                <w:lang w:val="en-GB"/>
              </w:rPr>
              <w:t>Country</w:t>
            </w:r>
          </w:p>
          <w:p w:rsidRPr="00D43D39" w:rsidR="00027265" w:rsidP="00ED6757" w:rsidRDefault="00027265" w14:paraId="345DD267" w14:textId="77777777">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The ISO 3166-1-alpha-2 code of the country of incorporation of the entity</w:t>
            </w:r>
            <w:r w:rsidRPr="00D43D39" w:rsidR="00981657">
              <w:rPr>
                <w:rFonts w:ascii="Times New Roman" w:hAnsi="Times New Roman" w:cs="Times New Roman"/>
                <w:color w:val="000000" w:themeColor="text1"/>
                <w:spacing w:val="-2"/>
                <w:w w:val="95"/>
                <w:sz w:val="20"/>
                <w:szCs w:val="20"/>
                <w:lang w:val="en-GB"/>
              </w:rPr>
              <w:t>, which may be a Member State or a third country</w:t>
            </w:r>
            <w:r w:rsidRPr="00D43D39">
              <w:rPr>
                <w:rFonts w:ascii="Times New Roman" w:hAnsi="Times New Roman" w:cs="Times New Roman"/>
                <w:color w:val="000000" w:themeColor="text1"/>
                <w:spacing w:val="-2"/>
                <w:w w:val="95"/>
                <w:sz w:val="20"/>
                <w:szCs w:val="20"/>
                <w:lang w:val="en-GB"/>
              </w:rPr>
              <w:t>.</w:t>
            </w:r>
          </w:p>
        </w:tc>
      </w:tr>
      <w:tr w:rsidRPr="00D43D39" w:rsidR="001B6F5E" w:rsidTr="3C351E67" w14:paraId="58F60348" w14:textId="77777777">
        <w:tc>
          <w:tcPr>
            <w:tcW w:w="0" w:type="auto"/>
            <w:tcBorders>
              <w:top w:val="single" w:color="1A171C" w:sz="4" w:space="0"/>
              <w:left w:val="nil"/>
              <w:bottom w:val="single" w:color="1A171C" w:sz="4" w:space="0"/>
              <w:right w:val="single" w:color="1A171C" w:sz="4" w:space="0"/>
            </w:tcBorders>
            <w:tcMar/>
          </w:tcPr>
          <w:p w:rsidRPr="00D43D39" w:rsidR="001B6F5E" w:rsidP="00DF47E6" w:rsidRDefault="001B6F5E" w14:paraId="424E9BEB" w14:textId="448906AC">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0055</w:t>
            </w:r>
          </w:p>
        </w:tc>
        <w:tc>
          <w:tcPr>
            <w:tcW w:w="0" w:type="auto"/>
            <w:tcBorders>
              <w:top w:val="single" w:color="1A171C" w:sz="4" w:space="0"/>
              <w:left w:val="single" w:color="1A171C" w:sz="4" w:space="0"/>
              <w:bottom w:val="single" w:color="1A171C" w:sz="4" w:space="0"/>
              <w:right w:val="nil"/>
            </w:tcBorders>
            <w:tcMar/>
          </w:tcPr>
          <w:p w:rsidRPr="00D43D39" w:rsidR="001B6F5E" w:rsidP="00DF47E6" w:rsidRDefault="001B6F5E" w14:paraId="039AF305" w14:textId="77777777">
            <w:pPr>
              <w:pStyle w:val="TableParagraph"/>
              <w:spacing w:before="108"/>
              <w:ind w:left="85"/>
              <w:rPr>
                <w:rFonts w:ascii="Times New Roman" w:hAnsi="Times New Roman" w:cs="Times New Roman"/>
                <w:b/>
                <w:color w:val="000000" w:themeColor="text1"/>
                <w:spacing w:val="-1"/>
                <w:w w:val="90"/>
                <w:sz w:val="20"/>
                <w:szCs w:val="20"/>
                <w:lang w:val="en-GB"/>
              </w:rPr>
            </w:pPr>
            <w:r w:rsidRPr="00D43D39">
              <w:rPr>
                <w:rFonts w:ascii="Times New Roman" w:hAnsi="Times New Roman" w:cs="Times New Roman"/>
                <w:b/>
                <w:color w:val="000000" w:themeColor="text1"/>
                <w:spacing w:val="-1"/>
                <w:w w:val="90"/>
                <w:sz w:val="20"/>
                <w:szCs w:val="20"/>
                <w:lang w:val="en-GB"/>
              </w:rPr>
              <w:t>LEI of POE of Resolution Group</w:t>
            </w:r>
          </w:p>
          <w:p w:rsidRPr="005F5507" w:rsidR="001B6F5E" w:rsidP="00DF47E6" w:rsidRDefault="001B6F5E" w14:paraId="5CC05126" w14:textId="17D53223">
            <w:pPr>
              <w:pStyle w:val="TableParagraph"/>
              <w:spacing w:before="108"/>
              <w:ind w:left="85"/>
              <w:rPr>
                <w:rFonts w:ascii="Times New Roman" w:hAnsi="Times New Roman" w:cs="Times New Roman"/>
                <w:bCs/>
                <w:color w:val="000000" w:themeColor="text1"/>
                <w:spacing w:val="-1"/>
                <w:w w:val="90"/>
                <w:sz w:val="20"/>
                <w:szCs w:val="20"/>
                <w:lang w:val="en-GB"/>
              </w:rPr>
            </w:pPr>
            <w:r w:rsidRPr="00D43D39">
              <w:rPr>
                <w:rFonts w:ascii="Times New Roman" w:hAnsi="Times New Roman" w:cs="Times New Roman"/>
                <w:bCs/>
                <w:color w:val="000000" w:themeColor="text1"/>
                <w:spacing w:val="-1"/>
                <w:w w:val="90"/>
                <w:sz w:val="20"/>
                <w:szCs w:val="20"/>
                <w:lang w:val="en-GB"/>
              </w:rPr>
              <w:t>LEI code identifying the Point of Entry of the resolution group to which the entity identified in 0010 belongs.</w:t>
            </w:r>
          </w:p>
        </w:tc>
      </w:tr>
      <w:tr w:rsidRPr="00D43D39" w:rsidR="00D22EB0" w:rsidTr="3C351E67" w14:paraId="25843994" w14:textId="77777777">
        <w:tc>
          <w:tcPr>
            <w:tcW w:w="0" w:type="auto"/>
            <w:tcBorders>
              <w:top w:val="single" w:color="1A171C" w:sz="4" w:space="0"/>
              <w:left w:val="nil"/>
              <w:bottom w:val="single" w:color="1A171C" w:sz="4" w:space="0"/>
              <w:right w:val="single" w:color="1A171C" w:sz="4" w:space="0"/>
            </w:tcBorders>
            <w:tcMar/>
          </w:tcPr>
          <w:p w:rsidRPr="00D43D39" w:rsidR="00E74F98" w:rsidP="001E5EDF" w:rsidRDefault="00CF6A09" w14:paraId="74529DF9" w14:textId="77777777">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Pr="00D43D39" w:rsidR="00B43F4E">
              <w:rPr>
                <w:rFonts w:ascii="Times New Roman" w:hAnsi="Times New Roman" w:cs="Times New Roman"/>
                <w:color w:val="000000" w:themeColor="text1"/>
                <w:spacing w:val="-2"/>
                <w:sz w:val="20"/>
                <w:szCs w:val="20"/>
                <w:lang w:val="en-GB"/>
              </w:rPr>
              <w:t>0</w:t>
            </w:r>
            <w:r w:rsidRPr="00D43D39">
              <w:rPr>
                <w:rFonts w:ascii="Times New Roman" w:hAnsi="Times New Roman" w:cs="Times New Roman"/>
                <w:color w:val="000000" w:themeColor="text1"/>
                <w:spacing w:val="-2"/>
                <w:sz w:val="20"/>
                <w:szCs w:val="20"/>
                <w:lang w:val="en-GB"/>
              </w:rPr>
              <w:t>70</w:t>
            </w:r>
          </w:p>
        </w:tc>
        <w:tc>
          <w:tcPr>
            <w:tcW w:w="0" w:type="auto"/>
            <w:tcBorders>
              <w:top w:val="single" w:color="1A171C" w:sz="4" w:space="0"/>
              <w:left w:val="single" w:color="1A171C" w:sz="4" w:space="0"/>
              <w:bottom w:val="single" w:color="1A171C" w:sz="4" w:space="0"/>
              <w:right w:val="nil"/>
            </w:tcBorders>
            <w:tcMar/>
          </w:tcPr>
          <w:p w:rsidRPr="00D43D39" w:rsidR="00E74F98" w:rsidP="5E2F2DB1" w:rsidRDefault="30380EC0" w14:paraId="20834787" w14:textId="77777777">
            <w:pPr>
              <w:pStyle w:val="TableParagraph"/>
              <w:spacing w:before="108"/>
              <w:ind w:left="85"/>
              <w:jc w:val="both"/>
              <w:rPr>
                <w:rFonts w:ascii="Times New Roman" w:hAnsi="Times New Roman" w:cs="Times New Roman"/>
                <w:b/>
                <w:bCs/>
                <w:color w:val="000000" w:themeColor="text1"/>
                <w:spacing w:val="-2"/>
                <w:w w:val="95"/>
                <w:sz w:val="20"/>
                <w:szCs w:val="20"/>
                <w:lang w:val="en-GB"/>
              </w:rPr>
            </w:pPr>
            <w:r w:rsidRPr="00D43D39">
              <w:rPr>
                <w:rFonts w:ascii="Times New Roman" w:hAnsi="Times New Roman" w:cs="Times New Roman"/>
                <w:b/>
                <w:bCs/>
                <w:color w:val="000000" w:themeColor="text1"/>
                <w:spacing w:val="-2"/>
                <w:w w:val="95"/>
                <w:sz w:val="20"/>
                <w:szCs w:val="20"/>
                <w:lang w:val="en-GB"/>
              </w:rPr>
              <w:t>Article 7 CRR Waiver</w:t>
            </w:r>
          </w:p>
          <w:p w:rsidRPr="00D43D39" w:rsidR="00E74F98" w:rsidP="001E5EDF" w:rsidRDefault="00E74F98" w14:paraId="675BD970" w14:textId="77777777">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Report the following abbreviations:</w:t>
            </w:r>
          </w:p>
          <w:p w:rsidRPr="00D43D39" w:rsidR="00E74F98" w:rsidP="00E74F98" w:rsidRDefault="00E74F98" w14:paraId="49B17DE5" w14:textId="77777777">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Y – if the </w:t>
            </w:r>
            <w:r w:rsidRPr="00D43D39" w:rsidR="00135FA8">
              <w:rPr>
                <w:rFonts w:ascii="Times New Roman" w:hAnsi="Times New Roman" w:cs="Times New Roman"/>
                <w:color w:val="000000" w:themeColor="text1"/>
                <w:spacing w:val="-2"/>
                <w:w w:val="95"/>
                <w:sz w:val="20"/>
                <w:szCs w:val="20"/>
                <w:lang w:val="en-GB"/>
              </w:rPr>
              <w:t>c</w:t>
            </w:r>
            <w:r w:rsidRPr="00D43D39">
              <w:rPr>
                <w:rFonts w:ascii="Times New Roman" w:hAnsi="Times New Roman" w:cs="Times New Roman"/>
                <w:color w:val="000000" w:themeColor="text1"/>
                <w:spacing w:val="-2"/>
                <w:w w:val="95"/>
                <w:sz w:val="20"/>
                <w:szCs w:val="20"/>
                <w:lang w:val="en-GB"/>
              </w:rPr>
              <w:t xml:space="preserve">ompetent authority </w:t>
            </w:r>
            <w:r w:rsidRPr="00D43D39" w:rsidR="004B113F">
              <w:rPr>
                <w:rFonts w:ascii="Times New Roman" w:hAnsi="Times New Roman" w:cs="Times New Roman"/>
                <w:color w:val="000000" w:themeColor="text1"/>
                <w:spacing w:val="-2"/>
                <w:w w:val="95"/>
                <w:sz w:val="20"/>
                <w:szCs w:val="20"/>
                <w:lang w:val="en-GB"/>
              </w:rPr>
              <w:t xml:space="preserve">has </w:t>
            </w:r>
            <w:r w:rsidRPr="00D43D39">
              <w:rPr>
                <w:rFonts w:ascii="Times New Roman" w:hAnsi="Times New Roman" w:cs="Times New Roman"/>
                <w:color w:val="000000" w:themeColor="text1"/>
                <w:spacing w:val="-2"/>
                <w:w w:val="95"/>
                <w:sz w:val="20"/>
                <w:szCs w:val="20"/>
                <w:lang w:val="en-GB"/>
              </w:rPr>
              <w:t xml:space="preserve">waived the application of Article 6(1) </w:t>
            </w:r>
            <w:r w:rsidRPr="00D43D39" w:rsidR="00D444D0">
              <w:rPr>
                <w:rFonts w:ascii="Times New Roman" w:hAnsi="Times New Roman" w:cs="Times New Roman"/>
                <w:color w:val="000000" w:themeColor="text1"/>
                <w:spacing w:val="-2"/>
                <w:w w:val="95"/>
                <w:sz w:val="20"/>
                <w:szCs w:val="20"/>
                <w:lang w:val="en-GB"/>
              </w:rPr>
              <w:t xml:space="preserve">of </w:t>
            </w:r>
            <w:r w:rsidRPr="00D43D39" w:rsidR="00D444D0">
              <w:rPr>
                <w:rFonts w:ascii="Times New Roman" w:hAnsi="Times New Roman" w:cs="Times New Roman"/>
                <w:color w:val="000000" w:themeColor="text1"/>
                <w:sz w:val="20"/>
                <w:szCs w:val="20"/>
                <w:lang w:val="en-GB"/>
              </w:rPr>
              <w:t>Regulation (EU) No 575/2013</w:t>
            </w:r>
            <w:r w:rsidRPr="00D43D39">
              <w:rPr>
                <w:rFonts w:ascii="Times New Roman" w:hAnsi="Times New Roman" w:cs="Times New Roman"/>
                <w:color w:val="000000" w:themeColor="text1"/>
                <w:spacing w:val="-2"/>
                <w:w w:val="95"/>
                <w:sz w:val="20"/>
                <w:szCs w:val="20"/>
                <w:lang w:val="en-GB"/>
              </w:rPr>
              <w:t xml:space="preserve"> according to Article 7 </w:t>
            </w:r>
            <w:r w:rsidRPr="00D43D39" w:rsidR="00D444D0">
              <w:rPr>
                <w:rFonts w:ascii="Times New Roman" w:hAnsi="Times New Roman" w:cs="Times New Roman"/>
                <w:color w:val="000000" w:themeColor="text1"/>
                <w:spacing w:val="-2"/>
                <w:w w:val="95"/>
                <w:sz w:val="20"/>
                <w:szCs w:val="20"/>
                <w:lang w:val="en-GB"/>
              </w:rPr>
              <w:t xml:space="preserve">of </w:t>
            </w:r>
            <w:r w:rsidRPr="00D43D39" w:rsidR="00D444D0">
              <w:rPr>
                <w:rFonts w:ascii="Times New Roman" w:hAnsi="Times New Roman" w:cs="Times New Roman"/>
                <w:color w:val="000000" w:themeColor="text1"/>
                <w:sz w:val="20"/>
                <w:szCs w:val="20"/>
                <w:lang w:val="en-GB"/>
              </w:rPr>
              <w:t>Regulation (EU) No 575/2013</w:t>
            </w:r>
            <w:r w:rsidRPr="00D43D39" w:rsidR="00D444D0">
              <w:rPr>
                <w:rFonts w:ascii="Times New Roman" w:hAnsi="Times New Roman" w:cs="Times New Roman"/>
                <w:color w:val="000000" w:themeColor="text1"/>
                <w:spacing w:val="-2"/>
                <w:w w:val="95"/>
                <w:sz w:val="20"/>
                <w:szCs w:val="20"/>
                <w:lang w:val="en-GB"/>
              </w:rPr>
              <w:t>;</w:t>
            </w:r>
          </w:p>
          <w:p w:rsidRPr="00D43D39" w:rsidR="00E74F98" w:rsidP="00D444D0" w:rsidRDefault="00E74F98" w14:paraId="39379CB9"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N </w:t>
            </w:r>
            <w:r w:rsidRPr="00D43D39" w:rsidR="00ED6757">
              <w:rPr>
                <w:rFonts w:ascii="Times New Roman" w:hAnsi="Times New Roman" w:cs="Times New Roman"/>
                <w:color w:val="000000" w:themeColor="text1"/>
                <w:spacing w:val="-2"/>
                <w:w w:val="95"/>
                <w:sz w:val="20"/>
                <w:szCs w:val="20"/>
                <w:lang w:val="en-GB"/>
              </w:rPr>
              <w:t>–</w:t>
            </w:r>
            <w:r w:rsidRPr="00D43D39">
              <w:rPr>
                <w:rFonts w:ascii="Times New Roman" w:hAnsi="Times New Roman" w:cs="Times New Roman"/>
                <w:color w:val="000000" w:themeColor="text1"/>
                <w:spacing w:val="-2"/>
                <w:w w:val="95"/>
                <w:sz w:val="20"/>
                <w:szCs w:val="20"/>
                <w:lang w:val="en-GB"/>
              </w:rPr>
              <w:t xml:space="preserve"> otherwise</w:t>
            </w:r>
            <w:r w:rsidRPr="00D43D39" w:rsidR="00573846">
              <w:rPr>
                <w:rFonts w:ascii="Times New Roman" w:hAnsi="Times New Roman" w:cs="Times New Roman"/>
                <w:color w:val="000000" w:themeColor="text1"/>
                <w:spacing w:val="-2"/>
                <w:w w:val="95"/>
                <w:sz w:val="20"/>
                <w:szCs w:val="20"/>
                <w:lang w:val="en-GB"/>
              </w:rPr>
              <w:t>.</w:t>
            </w:r>
          </w:p>
        </w:tc>
      </w:tr>
      <w:tr w:rsidRPr="00D43D39" w:rsidR="5E2F2DB1" w:rsidTr="3C351E67" w14:paraId="38015344" w14:textId="77777777">
        <w:tc>
          <w:tcPr>
            <w:tcW w:w="1064" w:type="dxa"/>
            <w:tcBorders>
              <w:top w:val="single" w:color="1A171C" w:sz="4" w:space="0"/>
              <w:left w:val="nil"/>
              <w:bottom w:val="single" w:color="1A171C" w:sz="4" w:space="0"/>
              <w:right w:val="single" w:color="1A171C" w:sz="4" w:space="0"/>
            </w:tcBorders>
            <w:tcMar/>
          </w:tcPr>
          <w:p w:rsidRPr="00D43D39" w:rsidR="5E2F2DB1" w:rsidP="001C34E8" w:rsidRDefault="006F3BD8" w14:paraId="1C4AEA85" w14:textId="43806492">
            <w:pPr>
              <w:pStyle w:val="TableParagrap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pacing w:val="-2"/>
                <w:sz w:val="20"/>
                <w:szCs w:val="20"/>
                <w:lang w:val="en-GB"/>
              </w:rPr>
              <w:t>0080</w:t>
            </w:r>
          </w:p>
        </w:tc>
        <w:tc>
          <w:tcPr>
            <w:tcW w:w="7962" w:type="dxa"/>
            <w:tcBorders>
              <w:top w:val="single" w:color="1A171C" w:sz="4" w:space="0"/>
              <w:left w:val="single" w:color="1A171C" w:sz="4" w:space="0"/>
              <w:bottom w:val="single" w:color="1A171C" w:sz="4" w:space="0"/>
              <w:right w:val="nil"/>
            </w:tcBorders>
            <w:tcMar/>
          </w:tcPr>
          <w:p w:rsidRPr="00D43D39" w:rsidR="7CBC9346" w:rsidP="001C34E8" w:rsidRDefault="7CBC9346" w14:paraId="43546156" w14:textId="13C58139">
            <w:pPr>
              <w:pStyle w:val="TableParagraph"/>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Article 8 CRR Waiver</w:t>
            </w:r>
          </w:p>
          <w:p w:rsidRPr="00D43D39" w:rsidR="5E2F2DB1" w:rsidP="5E2F2DB1" w:rsidRDefault="5E2F2DB1" w14:paraId="1A778A7E" w14:textId="6BBD5882">
            <w:pPr>
              <w:pStyle w:val="TableParagraph"/>
              <w:jc w:val="both"/>
              <w:rPr>
                <w:rFonts w:ascii="Times New Roman" w:hAnsi="Times New Roman" w:cs="Times New Roman"/>
                <w:b/>
                <w:bCs/>
                <w:color w:val="000000" w:themeColor="text1"/>
                <w:sz w:val="20"/>
                <w:szCs w:val="20"/>
                <w:lang w:val="en-GB"/>
              </w:rPr>
            </w:pPr>
          </w:p>
          <w:p w:rsidRPr="00D43D39" w:rsidR="7CBC9346" w:rsidP="5E2F2DB1" w:rsidRDefault="7CBC9346" w14:paraId="40848451" w14:textId="77777777">
            <w:pPr>
              <w:pStyle w:val="TableParagraph"/>
              <w:spacing w:before="108"/>
              <w:ind w:left="85"/>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Report the following abbreviations:</w:t>
            </w:r>
          </w:p>
          <w:p w:rsidRPr="00D43D39" w:rsidR="7CBC9346" w:rsidP="5E2F2DB1" w:rsidRDefault="7CBC9346" w14:paraId="2B31C7CA" w14:textId="72359878">
            <w:pPr>
              <w:pStyle w:val="TableParagraph"/>
              <w:spacing w:before="108"/>
              <w:ind w:left="85"/>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Y – if the competent authority has waived the application of Part Six of Regulation (EU) No 575/2013 according to Article 8 of Regulation (EU) No 575/2013;</w:t>
            </w:r>
          </w:p>
          <w:p w:rsidRPr="00D43D39" w:rsidR="7CBC9346" w:rsidP="5E2F2DB1" w:rsidRDefault="7CBC9346" w14:paraId="6DFEC664" w14:textId="22DE0DF2">
            <w:pPr>
              <w:pStyle w:val="TableParagraph"/>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z w:val="20"/>
                <w:szCs w:val="20"/>
                <w:lang w:val="en-GB"/>
              </w:rPr>
              <w:t>N – otherwise.</w:t>
            </w:r>
          </w:p>
        </w:tc>
      </w:tr>
      <w:tr w:rsidRPr="00D43D39" w:rsidR="5E2F2DB1" w:rsidTr="3C351E67" w14:paraId="1E3B9E66" w14:textId="77777777">
        <w:tc>
          <w:tcPr>
            <w:tcW w:w="1064" w:type="dxa"/>
            <w:tcBorders>
              <w:top w:val="single" w:color="1A171C" w:sz="4" w:space="0"/>
              <w:left w:val="nil"/>
              <w:bottom w:val="single" w:color="1A171C" w:sz="4" w:space="0"/>
              <w:right w:val="single" w:color="1A171C" w:sz="4" w:space="0"/>
            </w:tcBorders>
            <w:tcMar/>
          </w:tcPr>
          <w:p w:rsidRPr="00D43D39" w:rsidR="5E2F2DB1" w:rsidP="001C34E8" w:rsidRDefault="006F3BD8" w14:paraId="2C91012F" w14:textId="445BD318">
            <w:pPr>
              <w:pStyle w:val="TableParagrap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0090</w:t>
            </w:r>
          </w:p>
        </w:tc>
        <w:tc>
          <w:tcPr>
            <w:tcW w:w="7962" w:type="dxa"/>
            <w:tcBorders>
              <w:top w:val="single" w:color="1A171C" w:sz="4" w:space="0"/>
              <w:left w:val="single" w:color="1A171C" w:sz="4" w:space="0"/>
              <w:bottom w:val="single" w:color="1A171C" w:sz="4" w:space="0"/>
              <w:right w:val="nil"/>
            </w:tcBorders>
            <w:tcMar/>
          </w:tcPr>
          <w:p w:rsidRPr="00D43D39" w:rsidR="28D261B4" w:rsidP="5E2F2DB1" w:rsidRDefault="28D261B4" w14:paraId="4FC8A39B" w14:textId="6B8D3CE1">
            <w:pPr>
              <w:pStyle w:val="TableParagraph"/>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Subject to</w:t>
            </w:r>
            <w:r w:rsidRPr="00D43D39" w:rsidR="06686DA2">
              <w:rPr>
                <w:rFonts w:ascii="Times New Roman" w:hAnsi="Times New Roman" w:cs="Times New Roman"/>
                <w:b/>
                <w:bCs/>
                <w:color w:val="000000" w:themeColor="text1"/>
                <w:sz w:val="20"/>
                <w:szCs w:val="20"/>
                <w:lang w:val="en-GB"/>
              </w:rPr>
              <w:t xml:space="preserve"> Article 9 CRR</w:t>
            </w:r>
          </w:p>
          <w:p w:rsidRPr="00D43D39" w:rsidR="5E2F2DB1" w:rsidP="5E2F2DB1" w:rsidRDefault="5E2F2DB1" w14:paraId="17BE50C5" w14:textId="6BBD5882">
            <w:pPr>
              <w:pStyle w:val="TableParagraph"/>
              <w:jc w:val="both"/>
              <w:rPr>
                <w:rFonts w:ascii="Times New Roman" w:hAnsi="Times New Roman" w:cs="Times New Roman"/>
                <w:b/>
                <w:bCs/>
                <w:color w:val="000000" w:themeColor="text1"/>
                <w:sz w:val="20"/>
                <w:szCs w:val="20"/>
                <w:lang w:val="en-GB"/>
              </w:rPr>
            </w:pPr>
          </w:p>
          <w:p w:rsidRPr="00D43D39" w:rsidR="06686DA2" w:rsidP="5E2F2DB1" w:rsidRDefault="06686DA2" w14:paraId="4FBA0A63" w14:textId="77777777">
            <w:pPr>
              <w:pStyle w:val="TableParagraph"/>
              <w:spacing w:before="108"/>
              <w:ind w:left="85"/>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Report the following abbreviations:</w:t>
            </w:r>
          </w:p>
          <w:p w:rsidRPr="00D43D39" w:rsidR="06686DA2" w:rsidP="5E2F2DB1" w:rsidRDefault="06686DA2" w14:paraId="186D824C" w14:textId="1060B2C8">
            <w:pPr>
              <w:pStyle w:val="TableParagraph"/>
              <w:spacing w:before="108"/>
              <w:ind w:left="85"/>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Y – if the</w:t>
            </w:r>
            <w:r w:rsidRPr="00D43D39" w:rsidR="34028CA8">
              <w:rPr>
                <w:rFonts w:ascii="Times New Roman" w:hAnsi="Times New Roman" w:cs="Times New Roman"/>
                <w:color w:val="000000" w:themeColor="text1"/>
                <w:sz w:val="20"/>
                <w:szCs w:val="20"/>
                <w:lang w:val="en-GB"/>
              </w:rPr>
              <w:t xml:space="preserve"> </w:t>
            </w:r>
            <w:r w:rsidRPr="00D43D39" w:rsidR="3AFC52D0">
              <w:rPr>
                <w:rFonts w:ascii="Times New Roman" w:hAnsi="Times New Roman" w:cs="Times New Roman"/>
                <w:color w:val="000000" w:themeColor="text1"/>
                <w:sz w:val="20"/>
                <w:szCs w:val="20"/>
                <w:lang w:val="en-GB"/>
              </w:rPr>
              <w:t>entity</w:t>
            </w:r>
            <w:r w:rsidRPr="00D43D39" w:rsidR="34028CA8">
              <w:rPr>
                <w:rFonts w:ascii="Times New Roman" w:hAnsi="Times New Roman" w:cs="Times New Roman"/>
                <w:color w:val="000000" w:themeColor="text1"/>
                <w:sz w:val="20"/>
                <w:szCs w:val="20"/>
                <w:lang w:val="en-GB"/>
              </w:rPr>
              <w:t xml:space="preserve"> meet</w:t>
            </w:r>
            <w:r w:rsidRPr="00D43D39" w:rsidR="1A228BCD">
              <w:rPr>
                <w:rFonts w:ascii="Times New Roman" w:hAnsi="Times New Roman" w:cs="Times New Roman"/>
                <w:color w:val="000000" w:themeColor="text1"/>
                <w:sz w:val="20"/>
                <w:szCs w:val="20"/>
                <w:lang w:val="en-GB"/>
              </w:rPr>
              <w:t>s</w:t>
            </w:r>
            <w:r w:rsidRPr="00D43D39" w:rsidR="34028CA8">
              <w:rPr>
                <w:rFonts w:ascii="Times New Roman" w:hAnsi="Times New Roman" w:cs="Times New Roman"/>
                <w:color w:val="000000" w:themeColor="text1"/>
                <w:sz w:val="20"/>
                <w:szCs w:val="20"/>
                <w:lang w:val="en-GB"/>
              </w:rPr>
              <w:t xml:space="preserve"> the conditions laid down in points (c) and (d) of Article 7(1) and </w:t>
            </w:r>
            <w:r w:rsidRPr="00D43D39" w:rsidR="6E618C2B">
              <w:rPr>
                <w:rFonts w:ascii="Times New Roman" w:hAnsi="Times New Roman" w:cs="Times New Roman"/>
                <w:color w:val="000000" w:themeColor="text1"/>
                <w:sz w:val="20"/>
                <w:szCs w:val="20"/>
                <w:lang w:val="en-GB"/>
              </w:rPr>
              <w:t xml:space="preserve">its </w:t>
            </w:r>
            <w:r w:rsidRPr="00D43D39" w:rsidR="34028CA8">
              <w:rPr>
                <w:rFonts w:ascii="Times New Roman" w:hAnsi="Times New Roman" w:cs="Times New Roman"/>
                <w:color w:val="000000" w:themeColor="text1"/>
                <w:sz w:val="20"/>
                <w:szCs w:val="20"/>
                <w:lang w:val="en-GB"/>
              </w:rPr>
              <w:t>material exposures or material liabilities are to th</w:t>
            </w:r>
            <w:r w:rsidRPr="00D43D39" w:rsidR="5F4DD56F">
              <w:rPr>
                <w:rFonts w:ascii="Times New Roman" w:hAnsi="Times New Roman" w:cs="Times New Roman"/>
                <w:color w:val="000000" w:themeColor="text1"/>
                <w:sz w:val="20"/>
                <w:szCs w:val="20"/>
                <w:lang w:val="en-GB"/>
              </w:rPr>
              <w:t>e</w:t>
            </w:r>
            <w:r w:rsidRPr="00D43D39" w:rsidR="34028CA8">
              <w:rPr>
                <w:rFonts w:ascii="Times New Roman" w:hAnsi="Times New Roman" w:cs="Times New Roman"/>
                <w:color w:val="000000" w:themeColor="text1"/>
                <w:sz w:val="20"/>
                <w:szCs w:val="20"/>
                <w:lang w:val="en-GB"/>
              </w:rPr>
              <w:t xml:space="preserve"> parent institution </w:t>
            </w:r>
            <w:r w:rsidRPr="00D43D39">
              <w:rPr>
                <w:rFonts w:ascii="Times New Roman" w:hAnsi="Times New Roman" w:cs="Times New Roman"/>
                <w:color w:val="000000" w:themeColor="text1"/>
                <w:sz w:val="20"/>
                <w:szCs w:val="20"/>
                <w:lang w:val="en-GB"/>
              </w:rPr>
              <w:t>Regulation (EU) No 575/2013 according to Article 8 of Regulation (EU) No 575/2013</w:t>
            </w:r>
            <w:r w:rsidRPr="00D43D39" w:rsidR="3103AEA6">
              <w:rPr>
                <w:rFonts w:ascii="Times New Roman" w:hAnsi="Times New Roman" w:cs="Times New Roman"/>
                <w:color w:val="000000" w:themeColor="text1"/>
                <w:sz w:val="20"/>
                <w:szCs w:val="20"/>
                <w:lang w:val="en-GB"/>
              </w:rPr>
              <w:t xml:space="preserve"> and are therefore </w:t>
            </w:r>
            <w:r w:rsidRPr="00D43D39" w:rsidR="57B31F33">
              <w:rPr>
                <w:rFonts w:ascii="Times New Roman" w:hAnsi="Times New Roman" w:cs="Times New Roman"/>
                <w:color w:val="000000" w:themeColor="text1"/>
                <w:sz w:val="20"/>
                <w:szCs w:val="20"/>
                <w:lang w:val="en-GB"/>
              </w:rPr>
              <w:t xml:space="preserve">incorporated in the </w:t>
            </w:r>
            <w:r w:rsidRPr="00D43D39" w:rsidR="6183F098">
              <w:rPr>
                <w:rFonts w:ascii="Times New Roman" w:hAnsi="Times New Roman" w:cs="Times New Roman"/>
                <w:color w:val="000000" w:themeColor="text1"/>
                <w:sz w:val="20"/>
                <w:szCs w:val="20"/>
                <w:lang w:val="en-GB"/>
              </w:rPr>
              <w:t>calculation of the requirement of the parent institution under article 6(1).</w:t>
            </w:r>
          </w:p>
          <w:p w:rsidRPr="00D43D39" w:rsidR="06686DA2" w:rsidP="5E2F2DB1" w:rsidRDefault="06686DA2" w14:paraId="2668E74C" w14:textId="22DE0DF2">
            <w:pPr>
              <w:pStyle w:val="TableParagraph"/>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z w:val="20"/>
                <w:szCs w:val="20"/>
                <w:lang w:val="en-GB"/>
              </w:rPr>
              <w:t>N – otherwise.</w:t>
            </w:r>
          </w:p>
          <w:p w:rsidRPr="00D43D39" w:rsidR="5E2F2DB1" w:rsidP="5E2F2DB1" w:rsidRDefault="5E2F2DB1" w14:paraId="611B0211" w14:textId="6B183985">
            <w:pPr>
              <w:pStyle w:val="TableParagraph"/>
              <w:jc w:val="both"/>
              <w:rPr>
                <w:rFonts w:ascii="Times New Roman" w:hAnsi="Times New Roman" w:cs="Times New Roman"/>
                <w:b/>
                <w:bCs/>
                <w:color w:val="000000" w:themeColor="text1"/>
                <w:sz w:val="20"/>
                <w:szCs w:val="20"/>
                <w:lang w:val="en-GB"/>
              </w:rPr>
            </w:pPr>
          </w:p>
        </w:tc>
      </w:tr>
      <w:tr w:rsidRPr="00D43D39" w:rsidR="00D22EB0" w:rsidTr="3C351E67" w14:paraId="014DE4E3" w14:textId="77777777">
        <w:tc>
          <w:tcPr>
            <w:tcW w:w="0" w:type="auto"/>
            <w:tcBorders>
              <w:top w:val="single" w:color="1A171C" w:sz="4" w:space="0"/>
              <w:left w:val="nil"/>
              <w:bottom w:val="single" w:color="1A171C" w:sz="4" w:space="0"/>
              <w:right w:val="single" w:color="1A171C" w:sz="4" w:space="0"/>
            </w:tcBorders>
            <w:tcMar/>
          </w:tcPr>
          <w:p w:rsidRPr="00D43D39" w:rsidR="00EA468E" w:rsidRDefault="00EA468E" w14:paraId="5CA1AA78" w14:textId="1E77A6BE">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Pr="00D43D39" w:rsidR="006F3BD8">
              <w:rPr>
                <w:rFonts w:ascii="Times New Roman" w:hAnsi="Times New Roman" w:cs="Times New Roman"/>
                <w:color w:val="000000" w:themeColor="text1"/>
                <w:spacing w:val="-2"/>
                <w:sz w:val="20"/>
                <w:szCs w:val="20"/>
                <w:lang w:val="en-GB"/>
              </w:rPr>
              <w:t>100</w:t>
            </w:r>
          </w:p>
        </w:tc>
        <w:tc>
          <w:tcPr>
            <w:tcW w:w="0" w:type="auto"/>
            <w:tcBorders>
              <w:top w:val="single" w:color="1A171C" w:sz="4" w:space="0"/>
              <w:left w:val="single" w:color="1A171C" w:sz="4" w:space="0"/>
              <w:bottom w:val="single" w:color="1A171C" w:sz="4" w:space="0"/>
              <w:right w:val="nil"/>
            </w:tcBorders>
            <w:tcMar/>
          </w:tcPr>
          <w:p w:rsidRPr="00D43D39" w:rsidR="00EA468E" w:rsidP="004842F3" w:rsidRDefault="00EA468E" w14:paraId="4115B747"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Article 1</w:t>
            </w:r>
            <w:r w:rsidRPr="00D43D39" w:rsidR="00135FA8">
              <w:rPr>
                <w:rFonts w:ascii="Times New Roman" w:hAnsi="Times New Roman" w:cs="Times New Roman"/>
                <w:b/>
                <w:color w:val="000000" w:themeColor="text1"/>
                <w:spacing w:val="-2"/>
                <w:w w:val="95"/>
                <w:sz w:val="20"/>
                <w:szCs w:val="20"/>
                <w:lang w:val="en-GB"/>
              </w:rPr>
              <w:t>0</w:t>
            </w:r>
            <w:r w:rsidRPr="00D43D39">
              <w:rPr>
                <w:rFonts w:ascii="Times New Roman" w:hAnsi="Times New Roman" w:cs="Times New Roman"/>
                <w:b/>
                <w:color w:val="000000" w:themeColor="text1"/>
                <w:spacing w:val="-2"/>
                <w:w w:val="95"/>
                <w:sz w:val="20"/>
                <w:szCs w:val="20"/>
                <w:lang w:val="en-GB"/>
              </w:rPr>
              <w:t xml:space="preserve"> CRR Waiver</w:t>
            </w:r>
          </w:p>
          <w:p w:rsidRPr="00D43D39" w:rsidR="00EA468E" w:rsidP="004842F3" w:rsidRDefault="00EA468E" w14:paraId="7924F808" w14:textId="77777777">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Report the following abbreviations:</w:t>
            </w:r>
          </w:p>
          <w:p w:rsidRPr="00D43D39" w:rsidR="00EA468E" w:rsidP="004842F3" w:rsidRDefault="00EA468E" w14:paraId="1A4C3190" w14:textId="77777777">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Y – if the </w:t>
            </w:r>
            <w:r w:rsidRPr="00D43D39" w:rsidR="00135FA8">
              <w:rPr>
                <w:rFonts w:ascii="Times New Roman" w:hAnsi="Times New Roman" w:cs="Times New Roman"/>
                <w:color w:val="000000" w:themeColor="text1"/>
                <w:spacing w:val="-2"/>
                <w:w w:val="95"/>
                <w:sz w:val="20"/>
                <w:szCs w:val="20"/>
                <w:lang w:val="en-GB"/>
              </w:rPr>
              <w:t>c</w:t>
            </w:r>
            <w:r w:rsidRPr="00D43D39">
              <w:rPr>
                <w:rFonts w:ascii="Times New Roman" w:hAnsi="Times New Roman" w:cs="Times New Roman"/>
                <w:color w:val="000000" w:themeColor="text1"/>
                <w:spacing w:val="-2"/>
                <w:w w:val="95"/>
                <w:sz w:val="20"/>
                <w:szCs w:val="20"/>
                <w:lang w:val="en-GB"/>
              </w:rPr>
              <w:t xml:space="preserve">ompetent authority has </w:t>
            </w:r>
            <w:r w:rsidRPr="00D43D39" w:rsidR="005E07FD">
              <w:rPr>
                <w:rFonts w:ascii="Times New Roman" w:hAnsi="Times New Roman" w:cs="Times New Roman"/>
                <w:color w:val="000000" w:themeColor="text1"/>
                <w:spacing w:val="-2"/>
                <w:w w:val="95"/>
                <w:sz w:val="20"/>
                <w:szCs w:val="20"/>
                <w:lang w:val="en-GB"/>
              </w:rPr>
              <w:t xml:space="preserve">applied a waiver pursuant </w:t>
            </w:r>
            <w:r w:rsidRPr="00D43D39">
              <w:rPr>
                <w:rFonts w:ascii="Times New Roman" w:hAnsi="Times New Roman" w:cs="Times New Roman"/>
                <w:color w:val="000000" w:themeColor="text1"/>
                <w:spacing w:val="-2"/>
                <w:w w:val="95"/>
                <w:sz w:val="20"/>
                <w:szCs w:val="20"/>
                <w:lang w:val="en-GB"/>
              </w:rPr>
              <w:t xml:space="preserve">to Article 10 </w:t>
            </w:r>
            <w:r w:rsidRPr="00D43D39" w:rsidR="00573846">
              <w:rPr>
                <w:rFonts w:ascii="Times New Roman" w:hAnsi="Times New Roman" w:cs="Times New Roman"/>
                <w:color w:val="000000" w:themeColor="text1"/>
                <w:spacing w:val="-2"/>
                <w:w w:val="95"/>
                <w:sz w:val="20"/>
                <w:szCs w:val="20"/>
                <w:lang w:val="en-GB"/>
              </w:rPr>
              <w:t>of Regulation (EU) No 575/2013.</w:t>
            </w:r>
          </w:p>
          <w:p w:rsidRPr="00D43D39" w:rsidR="00EA468E" w:rsidP="004842F3" w:rsidRDefault="00EA468E" w14:paraId="78160F17"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N – otherwise</w:t>
            </w:r>
            <w:r w:rsidRPr="00D43D39" w:rsidR="00573846">
              <w:rPr>
                <w:rFonts w:ascii="Times New Roman" w:hAnsi="Times New Roman" w:cs="Times New Roman"/>
                <w:color w:val="000000" w:themeColor="text1"/>
                <w:spacing w:val="-2"/>
                <w:w w:val="95"/>
                <w:sz w:val="20"/>
                <w:szCs w:val="20"/>
                <w:lang w:val="en-GB"/>
              </w:rPr>
              <w:t>.</w:t>
            </w:r>
          </w:p>
        </w:tc>
      </w:tr>
      <w:tr w:rsidRPr="00D43D39" w:rsidR="00D22EB0" w:rsidTr="3C351E67" w14:paraId="36538BAE" w14:textId="77777777">
        <w:tc>
          <w:tcPr>
            <w:tcW w:w="0" w:type="auto"/>
            <w:tcBorders>
              <w:top w:val="single" w:color="1A171C" w:sz="4" w:space="0"/>
              <w:left w:val="nil"/>
              <w:bottom w:val="single" w:color="1A171C" w:sz="4" w:space="0"/>
              <w:right w:val="single" w:color="1A171C" w:sz="4" w:space="0"/>
            </w:tcBorders>
            <w:tcMar/>
          </w:tcPr>
          <w:p w:rsidRPr="00D43D39" w:rsidR="00E13CE3" w:rsidRDefault="006F3BD8" w14:paraId="245291F0" w14:textId="57A9FB6F">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0110</w:t>
            </w:r>
          </w:p>
        </w:tc>
        <w:tc>
          <w:tcPr>
            <w:tcW w:w="0" w:type="auto"/>
            <w:tcBorders>
              <w:top w:val="single" w:color="1A171C" w:sz="4" w:space="0"/>
              <w:left w:val="single" w:color="1A171C" w:sz="4" w:space="0"/>
              <w:bottom w:val="single" w:color="1A171C" w:sz="4" w:space="0"/>
              <w:right w:val="nil"/>
            </w:tcBorders>
            <w:tcMar/>
          </w:tcPr>
          <w:p w:rsidRPr="00D43D39" w:rsidR="00E13CE3" w:rsidP="001E5EDF" w:rsidRDefault="00E13CE3" w14:paraId="0EB563E2" w14:textId="77777777">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Total assets</w:t>
            </w:r>
          </w:p>
          <w:p w:rsidRPr="00D43D39" w:rsidR="00E13CE3" w:rsidP="00064140" w:rsidRDefault="00064140" w14:paraId="5FC57CD9" w14:textId="77777777">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Total assets as defined </w:t>
            </w:r>
            <w:r w:rsidRPr="00D43D39" w:rsidR="00310A05">
              <w:rPr>
                <w:rFonts w:ascii="Times New Roman" w:hAnsi="Times New Roman" w:cs="Times New Roman"/>
                <w:color w:val="000000" w:themeColor="text1"/>
                <w:spacing w:val="-2"/>
                <w:w w:val="95"/>
                <w:sz w:val="20"/>
                <w:szCs w:val="20"/>
                <w:lang w:val="en-GB"/>
              </w:rPr>
              <w:t xml:space="preserve">for </w:t>
            </w:r>
            <w:r w:rsidRPr="00D43D39" w:rsidR="00E13CE3">
              <w:rPr>
                <w:rFonts w:ascii="Times New Roman" w:hAnsi="Times New Roman" w:cs="Times New Roman"/>
                <w:color w:val="000000" w:themeColor="text1"/>
                <w:spacing w:val="-2"/>
                <w:w w:val="95"/>
                <w:sz w:val="20"/>
                <w:szCs w:val="20"/>
                <w:lang w:val="en-GB"/>
              </w:rPr>
              <w:t>FINREP</w:t>
            </w:r>
            <w:r w:rsidRPr="00D43D39" w:rsidR="00310A05">
              <w:rPr>
                <w:rFonts w:ascii="Times New Roman" w:hAnsi="Times New Roman" w:cs="Times New Roman"/>
                <w:color w:val="000000" w:themeColor="text1"/>
                <w:spacing w:val="-2"/>
                <w:w w:val="95"/>
                <w:sz w:val="20"/>
                <w:szCs w:val="20"/>
                <w:lang w:val="en-GB"/>
              </w:rPr>
              <w:t xml:space="preserve"> {</w:t>
            </w:r>
            <w:r w:rsidRPr="00D43D39" w:rsidR="00E13CE3">
              <w:rPr>
                <w:rFonts w:ascii="Times New Roman" w:hAnsi="Times New Roman" w:cs="Times New Roman"/>
                <w:color w:val="000000" w:themeColor="text1"/>
                <w:spacing w:val="-2"/>
                <w:w w:val="95"/>
                <w:sz w:val="20"/>
                <w:szCs w:val="20"/>
                <w:lang w:val="en-GB"/>
              </w:rPr>
              <w:t>F</w:t>
            </w:r>
            <w:r w:rsidRPr="00D43D39" w:rsidR="00310A05">
              <w:rPr>
                <w:rFonts w:ascii="Times New Roman" w:hAnsi="Times New Roman" w:cs="Times New Roman"/>
                <w:color w:val="000000" w:themeColor="text1"/>
                <w:spacing w:val="-2"/>
                <w:w w:val="95"/>
                <w:sz w:val="20"/>
                <w:szCs w:val="20"/>
                <w:lang w:val="en-GB"/>
              </w:rPr>
              <w:t xml:space="preserve"> 0</w:t>
            </w:r>
            <w:r w:rsidRPr="00D43D39" w:rsidR="00E13CE3">
              <w:rPr>
                <w:rFonts w:ascii="Times New Roman" w:hAnsi="Times New Roman" w:cs="Times New Roman"/>
                <w:color w:val="000000" w:themeColor="text1"/>
                <w:spacing w:val="-2"/>
                <w:w w:val="95"/>
                <w:sz w:val="20"/>
                <w:szCs w:val="20"/>
                <w:lang w:val="en-GB"/>
              </w:rPr>
              <w:t>1.</w:t>
            </w:r>
            <w:r w:rsidRPr="00D43D39" w:rsidR="00310A05">
              <w:rPr>
                <w:rFonts w:ascii="Times New Roman" w:hAnsi="Times New Roman" w:cs="Times New Roman"/>
                <w:color w:val="000000" w:themeColor="text1"/>
                <w:spacing w:val="-2"/>
                <w:w w:val="95"/>
                <w:sz w:val="20"/>
                <w:szCs w:val="20"/>
                <w:lang w:val="en-GB"/>
              </w:rPr>
              <w:t>0</w:t>
            </w:r>
            <w:r w:rsidRPr="00D43D39" w:rsidR="00E13CE3">
              <w:rPr>
                <w:rFonts w:ascii="Times New Roman" w:hAnsi="Times New Roman" w:cs="Times New Roman"/>
                <w:color w:val="000000" w:themeColor="text1"/>
                <w:spacing w:val="-2"/>
                <w:w w:val="95"/>
                <w:sz w:val="20"/>
                <w:szCs w:val="20"/>
                <w:lang w:val="en-GB"/>
              </w:rPr>
              <w:t>1</w:t>
            </w:r>
            <w:r w:rsidRPr="00D43D39" w:rsidR="00310A05">
              <w:rPr>
                <w:rFonts w:ascii="Times New Roman" w:hAnsi="Times New Roman" w:cs="Times New Roman"/>
                <w:color w:val="000000" w:themeColor="text1"/>
                <w:spacing w:val="-2"/>
                <w:w w:val="95"/>
                <w:sz w:val="20"/>
                <w:szCs w:val="20"/>
                <w:lang w:val="en-GB"/>
              </w:rPr>
              <w:t>;</w:t>
            </w:r>
            <w:r w:rsidRPr="00D43D39" w:rsidR="00E13CE3">
              <w:rPr>
                <w:rFonts w:ascii="Times New Roman" w:hAnsi="Times New Roman" w:cs="Times New Roman"/>
                <w:color w:val="000000" w:themeColor="text1"/>
                <w:spacing w:val="-2"/>
                <w:w w:val="95"/>
                <w:sz w:val="20"/>
                <w:szCs w:val="20"/>
                <w:lang w:val="en-GB"/>
              </w:rPr>
              <w:t>380</w:t>
            </w:r>
            <w:r w:rsidRPr="00D43D39" w:rsidR="00310A05">
              <w:rPr>
                <w:rFonts w:ascii="Times New Roman" w:hAnsi="Times New Roman" w:cs="Times New Roman"/>
                <w:color w:val="000000" w:themeColor="text1"/>
                <w:spacing w:val="-2"/>
                <w:w w:val="95"/>
                <w:sz w:val="20"/>
                <w:szCs w:val="20"/>
                <w:lang w:val="en-GB"/>
              </w:rPr>
              <w:t>,</w:t>
            </w:r>
            <w:r w:rsidRPr="00D43D39" w:rsidR="00E13CE3">
              <w:rPr>
                <w:rFonts w:ascii="Times New Roman" w:hAnsi="Times New Roman" w:cs="Times New Roman"/>
                <w:color w:val="000000" w:themeColor="text1"/>
                <w:spacing w:val="-2"/>
                <w:w w:val="95"/>
                <w:sz w:val="20"/>
                <w:szCs w:val="20"/>
                <w:lang w:val="en-GB"/>
              </w:rPr>
              <w:t>010</w:t>
            </w:r>
            <w:r w:rsidRPr="00D43D39" w:rsidR="00310A05">
              <w:rPr>
                <w:rFonts w:ascii="Times New Roman" w:hAnsi="Times New Roman" w:cs="Times New Roman"/>
                <w:color w:val="000000" w:themeColor="text1"/>
                <w:spacing w:val="-2"/>
                <w:w w:val="95"/>
                <w:sz w:val="20"/>
                <w:szCs w:val="20"/>
                <w:lang w:val="en-GB"/>
              </w:rPr>
              <w:t>}</w:t>
            </w:r>
          </w:p>
        </w:tc>
      </w:tr>
      <w:tr w:rsidRPr="00D43D39" w:rsidR="00D22EB0" w:rsidTr="3C351E67" w14:paraId="2879BAD8" w14:textId="77777777">
        <w:tc>
          <w:tcPr>
            <w:tcW w:w="0" w:type="auto"/>
            <w:tcBorders>
              <w:top w:val="single" w:color="1A171C" w:sz="4" w:space="0"/>
              <w:left w:val="nil"/>
              <w:bottom w:val="single" w:color="1A171C" w:sz="4" w:space="0"/>
              <w:right w:val="single" w:color="1A171C" w:sz="4" w:space="0"/>
            </w:tcBorders>
            <w:tcMar/>
          </w:tcPr>
          <w:p w:rsidRPr="00D43D39" w:rsidR="00E13CE3" w:rsidRDefault="006F3BD8" w14:paraId="3E225127" w14:textId="163EBD26">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01</w:t>
            </w:r>
            <w:r w:rsidR="00C30342">
              <w:rPr>
                <w:rFonts w:ascii="Times New Roman" w:hAnsi="Times New Roman" w:cs="Times New Roman"/>
                <w:color w:val="000000" w:themeColor="text1"/>
                <w:spacing w:val="-2"/>
                <w:sz w:val="20"/>
                <w:szCs w:val="20"/>
                <w:lang w:val="en-GB"/>
              </w:rPr>
              <w:t>5</w:t>
            </w:r>
            <w:r w:rsidRPr="00D43D39">
              <w:rPr>
                <w:rFonts w:ascii="Times New Roman" w:hAnsi="Times New Roman" w:cs="Times New Roman"/>
                <w:color w:val="000000" w:themeColor="text1"/>
                <w:spacing w:val="-2"/>
                <w:sz w:val="20"/>
                <w:szCs w:val="20"/>
                <w:lang w:val="en-GB"/>
              </w:rPr>
              <w:t>0</w:t>
            </w:r>
          </w:p>
        </w:tc>
        <w:tc>
          <w:tcPr>
            <w:tcW w:w="0" w:type="auto"/>
            <w:tcBorders>
              <w:top w:val="single" w:color="1A171C" w:sz="4" w:space="0"/>
              <w:left w:val="single" w:color="1A171C" w:sz="4" w:space="0"/>
              <w:bottom w:val="single" w:color="1A171C" w:sz="4" w:space="0"/>
              <w:right w:val="nil"/>
            </w:tcBorders>
            <w:tcMar/>
          </w:tcPr>
          <w:p w:rsidRPr="00D43D39" w:rsidR="00E13CE3" w:rsidP="00C8615D" w:rsidRDefault="00213AEA" w14:paraId="45900ED3" w14:textId="77777777">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 xml:space="preserve">Total </w:t>
            </w:r>
            <w:r w:rsidRPr="00D43D39" w:rsidR="00E13CE3">
              <w:rPr>
                <w:rFonts w:ascii="Times New Roman" w:hAnsi="Times New Roman" w:cs="Times New Roman"/>
                <w:b/>
                <w:color w:val="000000" w:themeColor="text1"/>
                <w:spacing w:val="-2"/>
                <w:w w:val="95"/>
                <w:sz w:val="20"/>
                <w:szCs w:val="20"/>
                <w:lang w:val="en-GB"/>
              </w:rPr>
              <w:t>Risk Exposure amount</w:t>
            </w:r>
          </w:p>
          <w:p w:rsidRPr="00D43D39" w:rsidR="00E13CE3" w:rsidP="00310A05" w:rsidRDefault="00310A05" w14:paraId="42957D55" w14:textId="77777777">
            <w:pPr>
              <w:pStyle w:val="TableParagraph"/>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Total risk exposure amount as defined for </w:t>
            </w:r>
            <w:r w:rsidRPr="00D43D39" w:rsidR="00E13CE3">
              <w:rPr>
                <w:rFonts w:ascii="Times New Roman" w:hAnsi="Times New Roman" w:cs="Times New Roman"/>
                <w:color w:val="000000" w:themeColor="text1"/>
                <w:spacing w:val="-2"/>
                <w:w w:val="95"/>
                <w:sz w:val="20"/>
                <w:szCs w:val="20"/>
                <w:lang w:val="en-GB"/>
              </w:rPr>
              <w:t>COREP</w:t>
            </w:r>
            <w:r w:rsidRPr="00D43D39">
              <w:rPr>
                <w:rFonts w:ascii="Times New Roman" w:hAnsi="Times New Roman" w:cs="Times New Roman"/>
                <w:color w:val="000000" w:themeColor="text1"/>
                <w:spacing w:val="-2"/>
                <w:w w:val="95"/>
                <w:sz w:val="20"/>
                <w:szCs w:val="20"/>
                <w:lang w:val="en-GB"/>
              </w:rPr>
              <w:t xml:space="preserve"> (OF):</w:t>
            </w:r>
            <w:r w:rsidRPr="00D43D39" w:rsidR="00E13CE3">
              <w:rPr>
                <w:rFonts w:ascii="Times New Roman" w:hAnsi="Times New Roman" w:cs="Times New Roman"/>
                <w:color w:val="000000" w:themeColor="text1"/>
                <w:spacing w:val="-2"/>
                <w:w w:val="95"/>
                <w:sz w:val="20"/>
                <w:szCs w:val="20"/>
                <w:lang w:val="en-GB"/>
              </w:rPr>
              <w:t xml:space="preserve"> </w:t>
            </w:r>
            <w:r w:rsidRPr="00D43D39">
              <w:rPr>
                <w:rFonts w:ascii="Times New Roman" w:hAnsi="Times New Roman" w:cs="Times New Roman"/>
                <w:color w:val="000000" w:themeColor="text1"/>
                <w:spacing w:val="-2"/>
                <w:w w:val="95"/>
                <w:sz w:val="20"/>
                <w:szCs w:val="20"/>
                <w:lang w:val="en-GB"/>
              </w:rPr>
              <w:t>{</w:t>
            </w:r>
            <w:r w:rsidRPr="00D43D39" w:rsidR="00E13CE3">
              <w:rPr>
                <w:rFonts w:ascii="Times New Roman" w:hAnsi="Times New Roman" w:cs="Times New Roman"/>
                <w:color w:val="000000" w:themeColor="text1"/>
                <w:spacing w:val="-2"/>
                <w:w w:val="95"/>
                <w:sz w:val="20"/>
                <w:szCs w:val="20"/>
                <w:lang w:val="en-GB"/>
              </w:rPr>
              <w:t>C</w:t>
            </w:r>
            <w:r w:rsidRPr="00D43D39">
              <w:rPr>
                <w:rFonts w:ascii="Times New Roman" w:hAnsi="Times New Roman" w:cs="Times New Roman"/>
                <w:color w:val="000000" w:themeColor="text1"/>
                <w:spacing w:val="-2"/>
                <w:w w:val="95"/>
                <w:sz w:val="20"/>
                <w:szCs w:val="20"/>
                <w:lang w:val="en-GB"/>
              </w:rPr>
              <w:t xml:space="preserve"> </w:t>
            </w:r>
            <w:r w:rsidRPr="00D43D39" w:rsidR="00E13CE3">
              <w:rPr>
                <w:rFonts w:ascii="Times New Roman" w:hAnsi="Times New Roman" w:cs="Times New Roman"/>
                <w:color w:val="000000" w:themeColor="text1"/>
                <w:spacing w:val="-2"/>
                <w:w w:val="95"/>
                <w:sz w:val="20"/>
                <w:szCs w:val="20"/>
                <w:lang w:val="en-GB"/>
              </w:rPr>
              <w:t>02.00</w:t>
            </w:r>
            <w:r w:rsidRPr="00D43D39">
              <w:rPr>
                <w:rFonts w:ascii="Times New Roman" w:hAnsi="Times New Roman" w:cs="Times New Roman"/>
                <w:color w:val="000000" w:themeColor="text1"/>
                <w:spacing w:val="-2"/>
                <w:w w:val="95"/>
                <w:sz w:val="20"/>
                <w:szCs w:val="20"/>
                <w:lang w:val="en-GB"/>
              </w:rPr>
              <w:t>;</w:t>
            </w:r>
            <w:r w:rsidRPr="00D43D39" w:rsidR="00E13CE3">
              <w:rPr>
                <w:rFonts w:ascii="Times New Roman" w:hAnsi="Times New Roman" w:cs="Times New Roman"/>
                <w:color w:val="000000" w:themeColor="text1"/>
                <w:spacing w:val="-2"/>
                <w:w w:val="95"/>
                <w:sz w:val="20"/>
                <w:szCs w:val="20"/>
                <w:lang w:val="en-GB"/>
              </w:rPr>
              <w:t>010</w:t>
            </w:r>
            <w:r w:rsidRPr="00D43D39">
              <w:rPr>
                <w:rFonts w:ascii="Times New Roman" w:hAnsi="Times New Roman" w:cs="Times New Roman"/>
                <w:color w:val="000000" w:themeColor="text1"/>
                <w:spacing w:val="-2"/>
                <w:w w:val="95"/>
                <w:sz w:val="20"/>
                <w:szCs w:val="20"/>
                <w:lang w:val="en-GB"/>
              </w:rPr>
              <w:t>;</w:t>
            </w:r>
            <w:r w:rsidRPr="00D43D39" w:rsidR="00E13CE3">
              <w:rPr>
                <w:rFonts w:ascii="Times New Roman" w:hAnsi="Times New Roman" w:cs="Times New Roman"/>
                <w:color w:val="000000" w:themeColor="text1"/>
                <w:spacing w:val="-2"/>
                <w:w w:val="95"/>
                <w:sz w:val="20"/>
                <w:szCs w:val="20"/>
                <w:lang w:val="en-GB"/>
              </w:rPr>
              <w:t>010</w:t>
            </w:r>
            <w:r w:rsidRPr="00D43D39">
              <w:rPr>
                <w:rFonts w:ascii="Times New Roman" w:hAnsi="Times New Roman" w:cs="Times New Roman"/>
                <w:color w:val="000000" w:themeColor="text1"/>
                <w:spacing w:val="-2"/>
                <w:w w:val="95"/>
                <w:sz w:val="20"/>
                <w:szCs w:val="20"/>
                <w:lang w:val="en-GB"/>
              </w:rPr>
              <w:t>}</w:t>
            </w:r>
          </w:p>
          <w:p w:rsidRPr="00D43D39" w:rsidR="00310A05" w:rsidP="003B2C87" w:rsidRDefault="00310A05" w14:paraId="7BF6070F" w14:textId="77777777">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This item </w:t>
            </w:r>
            <w:r w:rsidRPr="00D43D39" w:rsidR="003B2C87">
              <w:rPr>
                <w:rFonts w:ascii="Times New Roman" w:hAnsi="Times New Roman" w:cs="Times New Roman"/>
                <w:color w:val="000000" w:themeColor="text1"/>
                <w:spacing w:val="-2"/>
                <w:w w:val="95"/>
                <w:sz w:val="20"/>
                <w:szCs w:val="20"/>
                <w:lang w:val="en-GB"/>
              </w:rPr>
              <w:t xml:space="preserve">shall not </w:t>
            </w:r>
            <w:r w:rsidRPr="00D43D39">
              <w:rPr>
                <w:rFonts w:ascii="Times New Roman" w:hAnsi="Times New Roman" w:cs="Times New Roman"/>
                <w:color w:val="000000" w:themeColor="text1"/>
                <w:spacing w:val="-2"/>
                <w:w w:val="95"/>
                <w:sz w:val="20"/>
                <w:szCs w:val="20"/>
                <w:lang w:val="en-GB"/>
              </w:rPr>
              <w:t xml:space="preserve">be reported for </w:t>
            </w:r>
            <w:r w:rsidRPr="00D43D39" w:rsidR="001D5221">
              <w:rPr>
                <w:rFonts w:ascii="Times New Roman" w:hAnsi="Times New Roman" w:cs="Times New Roman"/>
                <w:color w:val="000000" w:themeColor="text1"/>
                <w:spacing w:val="-2"/>
                <w:w w:val="95"/>
                <w:sz w:val="20"/>
                <w:szCs w:val="20"/>
                <w:lang w:val="en-GB"/>
              </w:rPr>
              <w:t xml:space="preserve">entities that are not institutions and </w:t>
            </w:r>
            <w:r w:rsidRPr="00D43D39">
              <w:rPr>
                <w:rFonts w:ascii="Times New Roman" w:hAnsi="Times New Roman" w:cs="Times New Roman"/>
                <w:color w:val="000000" w:themeColor="text1"/>
                <w:spacing w:val="-2"/>
                <w:w w:val="95"/>
                <w:sz w:val="20"/>
                <w:szCs w:val="20"/>
                <w:lang w:val="en-GB"/>
              </w:rPr>
              <w:t xml:space="preserve">entities benefitting from a waiver in accordance with Article 7 </w:t>
            </w:r>
            <w:r w:rsidRPr="00D43D39" w:rsidR="00064140">
              <w:rPr>
                <w:rFonts w:ascii="Times New Roman" w:hAnsi="Times New Roman" w:cs="Times New Roman"/>
                <w:color w:val="000000" w:themeColor="text1"/>
                <w:spacing w:val="-2"/>
                <w:w w:val="95"/>
                <w:sz w:val="20"/>
                <w:szCs w:val="20"/>
                <w:lang w:val="en-GB"/>
              </w:rPr>
              <w:t xml:space="preserve">or Article 10 </w:t>
            </w:r>
            <w:r w:rsidRPr="00D43D39">
              <w:rPr>
                <w:rFonts w:ascii="Times New Roman" w:hAnsi="Times New Roman" w:cs="Times New Roman"/>
                <w:color w:val="000000" w:themeColor="text1"/>
                <w:spacing w:val="-2"/>
                <w:w w:val="95"/>
                <w:sz w:val="20"/>
                <w:szCs w:val="20"/>
                <w:lang w:val="en-GB"/>
              </w:rPr>
              <w:t xml:space="preserve">of </w:t>
            </w:r>
            <w:r w:rsidRPr="00D43D39" w:rsidR="00573846">
              <w:rPr>
                <w:rFonts w:ascii="Times New Roman" w:hAnsi="Times New Roman" w:cs="Times New Roman"/>
                <w:color w:val="000000" w:themeColor="text1"/>
                <w:spacing w:val="-2"/>
                <w:w w:val="95"/>
                <w:sz w:val="20"/>
                <w:szCs w:val="20"/>
                <w:lang w:val="en-GB"/>
              </w:rPr>
              <w:t>Regulation (EU) No 575/2013</w:t>
            </w:r>
            <w:r w:rsidRPr="00D43D39">
              <w:rPr>
                <w:rFonts w:ascii="Times New Roman" w:hAnsi="Times New Roman" w:cs="Times New Roman"/>
                <w:color w:val="000000" w:themeColor="text1"/>
                <w:spacing w:val="-2"/>
                <w:w w:val="95"/>
                <w:sz w:val="20"/>
                <w:szCs w:val="20"/>
                <w:lang w:val="en-GB"/>
              </w:rPr>
              <w:t>.</w:t>
            </w:r>
          </w:p>
        </w:tc>
      </w:tr>
      <w:tr w:rsidRPr="00D43D39" w:rsidR="00D22EB0" w:rsidTr="3C351E67" w14:paraId="3F28105A" w14:textId="77777777">
        <w:tc>
          <w:tcPr>
            <w:tcW w:w="0" w:type="auto"/>
            <w:tcBorders>
              <w:top w:val="single" w:color="1A171C" w:sz="4" w:space="0"/>
              <w:left w:val="nil"/>
              <w:bottom w:val="single" w:color="1A171C" w:sz="4" w:space="0"/>
              <w:right w:val="single" w:color="1A171C" w:sz="4" w:space="0"/>
            </w:tcBorders>
            <w:tcMar/>
          </w:tcPr>
          <w:p w:rsidRPr="00D43D39" w:rsidR="00CF6A09" w:rsidRDefault="006F3BD8" w14:paraId="6101B5A0" w14:textId="0BD9C64F">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01</w:t>
            </w:r>
            <w:r w:rsidR="00C30342">
              <w:rPr>
                <w:rFonts w:ascii="Times New Roman" w:hAnsi="Times New Roman" w:cs="Times New Roman"/>
                <w:color w:val="000000" w:themeColor="text1"/>
                <w:spacing w:val="-2"/>
                <w:sz w:val="20"/>
                <w:szCs w:val="20"/>
                <w:lang w:val="en-GB"/>
              </w:rPr>
              <w:t>6</w:t>
            </w:r>
            <w:r w:rsidRPr="00D43D39">
              <w:rPr>
                <w:rFonts w:ascii="Times New Roman" w:hAnsi="Times New Roman" w:cs="Times New Roman"/>
                <w:color w:val="000000" w:themeColor="text1"/>
                <w:spacing w:val="-2"/>
                <w:sz w:val="20"/>
                <w:szCs w:val="20"/>
                <w:lang w:val="en-GB"/>
              </w:rPr>
              <w:t>0</w:t>
            </w:r>
          </w:p>
        </w:tc>
        <w:tc>
          <w:tcPr>
            <w:tcW w:w="0" w:type="auto"/>
            <w:tcBorders>
              <w:top w:val="single" w:color="1A171C" w:sz="4" w:space="0"/>
              <w:left w:val="single" w:color="1A171C" w:sz="4" w:space="0"/>
              <w:bottom w:val="single" w:color="1A171C" w:sz="4" w:space="0"/>
              <w:right w:val="nil"/>
            </w:tcBorders>
            <w:tcMar/>
          </w:tcPr>
          <w:p w:rsidRPr="00D43D39" w:rsidR="00CF6A09" w:rsidP="00367C1E" w:rsidRDefault="00C1342C" w14:paraId="19A1AE11" w14:textId="3C998C8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Total</w:t>
            </w:r>
            <w:r w:rsidRPr="00D43D39" w:rsidR="00CF6A09">
              <w:rPr>
                <w:rFonts w:ascii="Times New Roman" w:hAnsi="Times New Roman" w:cs="Times New Roman"/>
                <w:b/>
                <w:color w:val="000000" w:themeColor="text1"/>
                <w:spacing w:val="-2"/>
                <w:w w:val="95"/>
                <w:sz w:val="20"/>
                <w:szCs w:val="20"/>
                <w:lang w:val="en-GB"/>
              </w:rPr>
              <w:t xml:space="preserve"> exposure </w:t>
            </w:r>
            <w:r w:rsidRPr="00D43D39">
              <w:rPr>
                <w:rFonts w:ascii="Times New Roman" w:hAnsi="Times New Roman" w:cs="Times New Roman"/>
                <w:b/>
                <w:color w:val="000000" w:themeColor="text1"/>
                <w:spacing w:val="-2"/>
                <w:w w:val="95"/>
                <w:sz w:val="20"/>
                <w:szCs w:val="20"/>
                <w:lang w:val="en-GB"/>
              </w:rPr>
              <w:t>measure</w:t>
            </w:r>
          </w:p>
          <w:p w:rsidRPr="00D43D39" w:rsidR="00CF6A09" w:rsidP="00367C1E" w:rsidRDefault="00CF6A09" w14:paraId="6A9F8E13" w14:textId="37FE5ACE">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Total exposure </w:t>
            </w:r>
            <w:r w:rsidRPr="00D43D39" w:rsidR="00C1342C">
              <w:rPr>
                <w:rFonts w:ascii="Times New Roman" w:hAnsi="Times New Roman" w:cs="Times New Roman"/>
                <w:color w:val="000000" w:themeColor="text1"/>
                <w:spacing w:val="-2"/>
                <w:w w:val="95"/>
                <w:sz w:val="20"/>
                <w:szCs w:val="20"/>
                <w:lang w:val="en-GB"/>
              </w:rPr>
              <w:t xml:space="preserve">measure of the leverage ratio </w:t>
            </w:r>
            <w:r w:rsidRPr="00D43D39">
              <w:rPr>
                <w:rFonts w:ascii="Times New Roman" w:hAnsi="Times New Roman" w:cs="Times New Roman"/>
                <w:color w:val="000000" w:themeColor="text1"/>
                <w:spacing w:val="-2"/>
                <w:w w:val="95"/>
                <w:sz w:val="20"/>
                <w:szCs w:val="20"/>
                <w:lang w:val="en-GB"/>
              </w:rPr>
              <w:t>as defined for COREP (LR): {C 47.00;</w:t>
            </w:r>
            <w:r w:rsidRPr="00D43D39" w:rsidR="00C1342C">
              <w:rPr>
                <w:rFonts w:ascii="Times New Roman" w:hAnsi="Times New Roman" w:cs="Times New Roman"/>
                <w:color w:val="000000" w:themeColor="text1"/>
                <w:spacing w:val="-2"/>
                <w:w w:val="95"/>
                <w:sz w:val="20"/>
                <w:szCs w:val="20"/>
                <w:lang w:val="en-GB"/>
              </w:rPr>
              <w:t>0</w:t>
            </w:r>
            <w:r w:rsidRPr="00D43D39">
              <w:rPr>
                <w:rFonts w:ascii="Times New Roman" w:hAnsi="Times New Roman" w:cs="Times New Roman"/>
                <w:color w:val="000000" w:themeColor="text1"/>
                <w:spacing w:val="-2"/>
                <w:w w:val="95"/>
                <w:sz w:val="20"/>
                <w:szCs w:val="20"/>
                <w:lang w:val="en-GB"/>
              </w:rPr>
              <w:t>290;</w:t>
            </w:r>
            <w:r w:rsidRPr="00D43D39" w:rsidR="00C1342C">
              <w:rPr>
                <w:rFonts w:ascii="Times New Roman" w:hAnsi="Times New Roman" w:cs="Times New Roman"/>
                <w:color w:val="000000" w:themeColor="text1"/>
                <w:spacing w:val="-2"/>
                <w:w w:val="95"/>
                <w:sz w:val="20"/>
                <w:szCs w:val="20"/>
                <w:lang w:val="en-GB"/>
              </w:rPr>
              <w:t>0</w:t>
            </w:r>
            <w:r w:rsidRPr="00D43D39">
              <w:rPr>
                <w:rFonts w:ascii="Times New Roman" w:hAnsi="Times New Roman" w:cs="Times New Roman"/>
                <w:color w:val="000000" w:themeColor="text1"/>
                <w:spacing w:val="-2"/>
                <w:w w:val="95"/>
                <w:sz w:val="20"/>
                <w:szCs w:val="20"/>
                <w:lang w:val="en-GB"/>
              </w:rPr>
              <w:t>010}</w:t>
            </w:r>
          </w:p>
          <w:p w:rsidRPr="00D43D39" w:rsidR="00DD5DC2" w:rsidP="001D5221" w:rsidRDefault="00DD5DC2" w14:paraId="061A6F2F" w14:textId="77777777">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This item </w:t>
            </w:r>
            <w:r w:rsidRPr="00D43D39" w:rsidR="00406943">
              <w:rPr>
                <w:rFonts w:ascii="Times New Roman" w:hAnsi="Times New Roman" w:cs="Times New Roman"/>
                <w:color w:val="000000" w:themeColor="text1"/>
                <w:spacing w:val="-2"/>
                <w:w w:val="95"/>
                <w:sz w:val="20"/>
                <w:szCs w:val="20"/>
                <w:lang w:val="en-GB"/>
              </w:rPr>
              <w:t xml:space="preserve">shall not </w:t>
            </w:r>
            <w:r w:rsidRPr="00D43D39">
              <w:rPr>
                <w:rFonts w:ascii="Times New Roman" w:hAnsi="Times New Roman" w:cs="Times New Roman"/>
                <w:color w:val="000000" w:themeColor="text1"/>
                <w:spacing w:val="-2"/>
                <w:w w:val="95"/>
                <w:sz w:val="20"/>
                <w:szCs w:val="20"/>
                <w:lang w:val="en-GB"/>
              </w:rPr>
              <w:t xml:space="preserve">be reported for entities </w:t>
            </w:r>
            <w:r w:rsidRPr="00D43D39" w:rsidR="006B4B56">
              <w:rPr>
                <w:rFonts w:ascii="Times New Roman" w:hAnsi="Times New Roman" w:cs="Times New Roman"/>
                <w:color w:val="000000" w:themeColor="text1"/>
                <w:spacing w:val="-2"/>
                <w:w w:val="95"/>
                <w:sz w:val="20"/>
                <w:szCs w:val="20"/>
                <w:lang w:val="en-GB"/>
              </w:rPr>
              <w:t>that are not institutions</w:t>
            </w:r>
            <w:r w:rsidRPr="00D43D39" w:rsidR="001D5221">
              <w:rPr>
                <w:rFonts w:ascii="Times New Roman" w:hAnsi="Times New Roman" w:cs="Times New Roman"/>
                <w:color w:val="000000" w:themeColor="text1"/>
                <w:spacing w:val="-2"/>
                <w:w w:val="95"/>
                <w:sz w:val="20"/>
                <w:szCs w:val="20"/>
                <w:lang w:val="en-GB"/>
              </w:rPr>
              <w:t xml:space="preserve"> and entities benefitting from a waiver in accordance with Article 7 or Article 10 of </w:t>
            </w:r>
            <w:r w:rsidRPr="00D43D39" w:rsidR="00573846">
              <w:rPr>
                <w:rFonts w:ascii="Times New Roman" w:hAnsi="Times New Roman" w:cs="Times New Roman"/>
                <w:color w:val="000000" w:themeColor="text1"/>
                <w:sz w:val="20"/>
                <w:szCs w:val="20"/>
                <w:lang w:val="en-GB"/>
              </w:rPr>
              <w:t>Regulation (EU) No 575/2013</w:t>
            </w:r>
            <w:r w:rsidRPr="00D43D39">
              <w:rPr>
                <w:rFonts w:ascii="Times New Roman" w:hAnsi="Times New Roman" w:cs="Times New Roman"/>
                <w:color w:val="000000" w:themeColor="text1"/>
                <w:spacing w:val="-2"/>
                <w:w w:val="95"/>
                <w:sz w:val="20"/>
                <w:szCs w:val="20"/>
                <w:lang w:val="en-GB"/>
              </w:rPr>
              <w:t>.</w:t>
            </w:r>
          </w:p>
        </w:tc>
      </w:tr>
      <w:tr w:rsidRPr="00D43D39" w:rsidR="25FE6027" w:rsidTr="3C351E67" w14:paraId="15A7C174" w14:textId="77777777">
        <w:tc>
          <w:tcPr>
            <w:tcW w:w="1064" w:type="dxa"/>
            <w:tcBorders>
              <w:top w:val="single" w:color="1A171C" w:sz="4" w:space="0"/>
              <w:left w:val="nil"/>
              <w:bottom w:val="single" w:color="1A171C" w:sz="4" w:space="0"/>
              <w:right w:val="single" w:color="1A171C" w:sz="4" w:space="0"/>
            </w:tcBorders>
            <w:tcMar/>
          </w:tcPr>
          <w:p w:rsidRPr="00D43D39" w:rsidR="25FE6027" w:rsidP="001C34E8" w:rsidRDefault="006F3BD8" w14:paraId="1FA64CE1" w14:textId="33EE5938">
            <w:pPr>
              <w:pStyle w:val="TableParagrap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pacing w:val="-2"/>
                <w:sz w:val="20"/>
                <w:szCs w:val="20"/>
                <w:lang w:val="en-GB"/>
              </w:rPr>
              <w:t>01</w:t>
            </w:r>
            <w:r w:rsidR="00C30342">
              <w:rPr>
                <w:rFonts w:ascii="Times New Roman" w:hAnsi="Times New Roman" w:cs="Times New Roman"/>
                <w:color w:val="000000" w:themeColor="text1"/>
                <w:spacing w:val="-2"/>
                <w:sz w:val="20"/>
                <w:szCs w:val="20"/>
                <w:lang w:val="en-GB"/>
              </w:rPr>
              <w:t>7</w:t>
            </w:r>
            <w:r w:rsidRPr="00D43D39">
              <w:rPr>
                <w:rFonts w:ascii="Times New Roman" w:hAnsi="Times New Roman" w:cs="Times New Roman"/>
                <w:color w:val="000000" w:themeColor="text1"/>
                <w:spacing w:val="-2"/>
                <w:sz w:val="20"/>
                <w:szCs w:val="20"/>
                <w:lang w:val="en-GB"/>
              </w:rPr>
              <w:t>0</w:t>
            </w:r>
          </w:p>
        </w:tc>
        <w:tc>
          <w:tcPr>
            <w:tcW w:w="7962" w:type="dxa"/>
            <w:tcBorders>
              <w:top w:val="single" w:color="1A171C" w:sz="4" w:space="0"/>
              <w:left w:val="single" w:color="1A171C" w:sz="4" w:space="0"/>
              <w:bottom w:val="single" w:color="1A171C" w:sz="4" w:space="0"/>
              <w:right w:val="nil"/>
            </w:tcBorders>
            <w:tcMar/>
          </w:tcPr>
          <w:p w:rsidRPr="00D43D39" w:rsidR="4C00F9AE" w:rsidP="25FE6027" w:rsidRDefault="4C00F9AE" w14:paraId="7579F6FE" w14:textId="2A025C52">
            <w:pPr>
              <w:pStyle w:val="TableParagraph"/>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Total Operating Income</w:t>
            </w:r>
          </w:p>
          <w:p w:rsidRPr="00D43D39" w:rsidR="25FE6027" w:rsidP="25FE6027" w:rsidRDefault="25FE6027" w14:paraId="59788667" w14:textId="2635468B">
            <w:pPr>
              <w:pStyle w:val="TableParagraph"/>
              <w:jc w:val="both"/>
              <w:rPr>
                <w:rFonts w:ascii="Times New Roman" w:hAnsi="Times New Roman" w:cs="Times New Roman"/>
                <w:b/>
                <w:bCs/>
                <w:color w:val="000000" w:themeColor="text1"/>
                <w:sz w:val="20"/>
                <w:szCs w:val="20"/>
                <w:lang w:val="en-GB"/>
              </w:rPr>
            </w:pPr>
          </w:p>
          <w:p w:rsidRPr="00D43D39" w:rsidR="4C00F9AE" w:rsidP="25FE6027" w:rsidRDefault="4C00F9AE" w14:paraId="61100DA2" w14:textId="60AD8525">
            <w:pPr>
              <w:pStyle w:val="TableParagraph"/>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Total operating income as defined in FINREP {F 02.00;355;010}</w:t>
            </w:r>
          </w:p>
          <w:p w:rsidRPr="00D43D39" w:rsidR="25FE6027" w:rsidP="25FE6027" w:rsidRDefault="25FE6027" w14:paraId="41E4E195" w14:textId="486B4CE4">
            <w:pPr>
              <w:pStyle w:val="TableParagraph"/>
              <w:jc w:val="both"/>
              <w:rPr>
                <w:rFonts w:ascii="Times New Roman" w:hAnsi="Times New Roman" w:cs="Times New Roman"/>
                <w:b/>
                <w:bCs/>
                <w:color w:val="000000" w:themeColor="text1"/>
                <w:sz w:val="20"/>
                <w:szCs w:val="20"/>
                <w:lang w:val="en-GB"/>
              </w:rPr>
            </w:pPr>
          </w:p>
        </w:tc>
      </w:tr>
      <w:tr w:rsidRPr="00D43D39" w:rsidR="00D22EB0" w:rsidTr="3C351E67" w14:paraId="1F8706A4" w14:textId="77777777">
        <w:tc>
          <w:tcPr>
            <w:tcW w:w="0" w:type="auto"/>
            <w:tcBorders>
              <w:top w:val="single" w:color="1A171C" w:sz="4" w:space="0"/>
              <w:left w:val="nil"/>
              <w:bottom w:val="single" w:color="1A171C" w:sz="4" w:space="0"/>
              <w:right w:val="single" w:color="1A171C" w:sz="4" w:space="0"/>
            </w:tcBorders>
            <w:tcMar/>
          </w:tcPr>
          <w:p w:rsidRPr="00D43D39" w:rsidR="009A061B" w:rsidDel="00835CC3" w:rsidP="00835CC3" w:rsidRDefault="00B43F4E" w14:paraId="7F0821F6" w14:textId="220885FF">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00C30342">
              <w:rPr>
                <w:rFonts w:ascii="Times New Roman" w:hAnsi="Times New Roman" w:cs="Times New Roman"/>
                <w:color w:val="000000" w:themeColor="text1"/>
                <w:spacing w:val="-2"/>
                <w:sz w:val="20"/>
                <w:szCs w:val="20"/>
                <w:lang w:val="en-GB"/>
              </w:rPr>
              <w:t>21</w:t>
            </w:r>
            <w:r w:rsidRPr="00D43D39" w:rsidR="00255C59">
              <w:rPr>
                <w:rFonts w:ascii="Times New Roman" w:hAnsi="Times New Roman" w:cs="Times New Roman"/>
                <w:color w:val="000000" w:themeColor="text1"/>
                <w:spacing w:val="-2"/>
                <w:sz w:val="20"/>
                <w:szCs w:val="20"/>
                <w:lang w:val="en-GB"/>
              </w:rPr>
              <w:t>0</w:t>
            </w:r>
          </w:p>
        </w:tc>
        <w:tc>
          <w:tcPr>
            <w:tcW w:w="0" w:type="auto"/>
            <w:tcBorders>
              <w:top w:val="single" w:color="1A171C" w:sz="4" w:space="0"/>
              <w:left w:val="single" w:color="1A171C" w:sz="4" w:space="0"/>
              <w:bottom w:val="single" w:color="1A171C" w:sz="4" w:space="0"/>
              <w:right w:val="nil"/>
            </w:tcBorders>
            <w:tcMar/>
          </w:tcPr>
          <w:p w:rsidRPr="00D43D39" w:rsidR="009A061B" w:rsidP="00C8615D" w:rsidRDefault="00B43F4E" w14:paraId="760BCF54" w14:textId="77777777">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Accounting standard</w:t>
            </w:r>
          </w:p>
          <w:p w:rsidRPr="00D43D39" w:rsidR="009A061B" w:rsidP="00C8615D" w:rsidRDefault="009A061B" w14:paraId="3E1DB82F" w14:textId="77777777">
            <w:pPr>
              <w:pStyle w:val="TableParagraph"/>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Accounting standards applied by the entity. Report the following abbreviations:</w:t>
            </w:r>
          </w:p>
          <w:p w:rsidRPr="00D43D39" w:rsidR="009A061B" w:rsidP="00715DAB" w:rsidRDefault="009A061B" w14:paraId="152FC7DB" w14:textId="77777777">
            <w:pPr>
              <w:pStyle w:val="TableParagraph"/>
              <w:numPr>
                <w:ilvl w:val="0"/>
                <w:numId w:val="68"/>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IFRS</w:t>
            </w:r>
          </w:p>
          <w:p w:rsidRPr="00D43D39" w:rsidR="009A061B" w:rsidP="00715DAB" w:rsidRDefault="009A061B" w14:paraId="6512DBCC" w14:textId="77777777">
            <w:pPr>
              <w:pStyle w:val="TableParagraph"/>
              <w:numPr>
                <w:ilvl w:val="0"/>
                <w:numId w:val="68"/>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nGAAP</w:t>
            </w:r>
          </w:p>
        </w:tc>
      </w:tr>
      <w:tr w:rsidRPr="00D43D39" w:rsidR="00D22EB0" w:rsidTr="3C351E67" w14:paraId="29C2A7B6" w14:textId="77777777">
        <w:tc>
          <w:tcPr>
            <w:tcW w:w="0" w:type="auto"/>
            <w:tcBorders>
              <w:top w:val="single" w:color="1A171C" w:sz="4" w:space="0"/>
              <w:left w:val="nil"/>
              <w:bottom w:val="single" w:color="1A171C" w:sz="4" w:space="0"/>
              <w:right w:val="single" w:color="1A171C" w:sz="4" w:space="0"/>
            </w:tcBorders>
            <w:tcMar/>
          </w:tcPr>
          <w:p w:rsidRPr="00D43D39" w:rsidR="00E13CE3" w:rsidRDefault="00245A9E" w14:paraId="10178161" w14:textId="50BF3C59">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Pr="00D43D39" w:rsidR="00AD418F">
              <w:rPr>
                <w:rFonts w:ascii="Times New Roman" w:hAnsi="Times New Roman" w:cs="Times New Roman"/>
                <w:color w:val="000000" w:themeColor="text1"/>
                <w:spacing w:val="-2"/>
                <w:sz w:val="20"/>
                <w:szCs w:val="20"/>
                <w:lang w:val="en-GB"/>
              </w:rPr>
              <w:t>2</w:t>
            </w:r>
            <w:r w:rsidR="00C30342">
              <w:rPr>
                <w:rFonts w:ascii="Times New Roman" w:hAnsi="Times New Roman" w:cs="Times New Roman"/>
                <w:color w:val="000000" w:themeColor="text1"/>
                <w:spacing w:val="-2"/>
                <w:sz w:val="20"/>
                <w:szCs w:val="20"/>
                <w:lang w:val="en-GB"/>
              </w:rPr>
              <w:t>60</w:t>
            </w:r>
          </w:p>
        </w:tc>
        <w:tc>
          <w:tcPr>
            <w:tcW w:w="0" w:type="auto"/>
            <w:tcBorders>
              <w:top w:val="single" w:color="1A171C" w:sz="4" w:space="0"/>
              <w:left w:val="single" w:color="1A171C" w:sz="4" w:space="0"/>
              <w:bottom w:val="single" w:color="1A171C" w:sz="4" w:space="0"/>
              <w:right w:val="nil"/>
            </w:tcBorders>
            <w:tcMar/>
          </w:tcPr>
          <w:p w:rsidRPr="00D43D39" w:rsidR="00E13CE3" w:rsidP="0036322A" w:rsidRDefault="00E13CE3" w14:paraId="70CB1212" w14:textId="537AF20E">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Contribution</w:t>
            </w:r>
            <w:r w:rsidRPr="00D43D39" w:rsidR="00FE1AB9">
              <w:rPr>
                <w:rFonts w:ascii="Times New Roman" w:hAnsi="Times New Roman" w:cs="Times New Roman"/>
                <w:b/>
                <w:color w:val="000000" w:themeColor="text1"/>
                <w:spacing w:val="-2"/>
                <w:w w:val="95"/>
                <w:sz w:val="20"/>
                <w:szCs w:val="20"/>
                <w:lang w:val="en-GB"/>
              </w:rPr>
              <w:t xml:space="preserve"> </w:t>
            </w:r>
            <w:r w:rsidRPr="00D43D39">
              <w:rPr>
                <w:rFonts w:ascii="Times New Roman" w:hAnsi="Times New Roman" w:cs="Times New Roman"/>
                <w:b/>
                <w:color w:val="000000" w:themeColor="text1"/>
                <w:spacing w:val="-2"/>
                <w:w w:val="95"/>
                <w:sz w:val="20"/>
                <w:szCs w:val="20"/>
                <w:lang w:val="en-GB"/>
              </w:rPr>
              <w:t xml:space="preserve">to </w:t>
            </w:r>
            <w:r w:rsidRPr="00D43D39" w:rsidR="00E91334">
              <w:rPr>
                <w:rFonts w:ascii="Times New Roman" w:hAnsi="Times New Roman" w:cs="Times New Roman"/>
                <w:b/>
                <w:color w:val="000000" w:themeColor="text1"/>
                <w:spacing w:val="-2"/>
                <w:w w:val="95"/>
                <w:sz w:val="20"/>
                <w:szCs w:val="20"/>
                <w:lang w:val="en-GB"/>
              </w:rPr>
              <w:t xml:space="preserve">consolidated </w:t>
            </w:r>
            <w:r w:rsidRPr="00D43D39">
              <w:rPr>
                <w:rFonts w:ascii="Times New Roman" w:hAnsi="Times New Roman" w:cs="Times New Roman"/>
                <w:b/>
                <w:color w:val="000000" w:themeColor="text1"/>
                <w:spacing w:val="-2"/>
                <w:w w:val="95"/>
                <w:sz w:val="20"/>
                <w:szCs w:val="20"/>
                <w:lang w:val="en-GB"/>
              </w:rPr>
              <w:t xml:space="preserve">total </w:t>
            </w:r>
            <w:r w:rsidRPr="00D43D39" w:rsidR="004F4368">
              <w:rPr>
                <w:rFonts w:ascii="Times New Roman" w:hAnsi="Times New Roman" w:cs="Times New Roman"/>
                <w:b/>
                <w:color w:val="000000" w:themeColor="text1"/>
                <w:spacing w:val="-2"/>
                <w:w w:val="95"/>
                <w:sz w:val="20"/>
                <w:szCs w:val="20"/>
                <w:lang w:val="en-GB"/>
              </w:rPr>
              <w:t>risk exposure amount</w:t>
            </w:r>
            <w:r w:rsidRPr="00D43D39">
              <w:rPr>
                <w:rFonts w:ascii="Times New Roman" w:hAnsi="Times New Roman" w:cs="Times New Roman"/>
                <w:b/>
                <w:color w:val="000000" w:themeColor="text1"/>
                <w:spacing w:val="-2"/>
                <w:w w:val="95"/>
                <w:sz w:val="20"/>
                <w:szCs w:val="20"/>
                <w:lang w:val="en-GB"/>
              </w:rPr>
              <w:t xml:space="preserve"> </w:t>
            </w:r>
          </w:p>
          <w:p w:rsidRPr="00D43D39" w:rsidR="00E13CE3" w:rsidP="00213AEA" w:rsidRDefault="00E13CE3" w14:paraId="39812058" w14:textId="77777777">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The amount that the </w:t>
            </w:r>
            <w:r w:rsidRPr="00D43D39" w:rsidR="00ED6757">
              <w:rPr>
                <w:rFonts w:ascii="Times New Roman" w:hAnsi="Times New Roman" w:cs="Times New Roman"/>
                <w:color w:val="000000" w:themeColor="text1"/>
                <w:spacing w:val="-2"/>
                <w:w w:val="95"/>
                <w:sz w:val="20"/>
                <w:szCs w:val="20"/>
                <w:lang w:val="en-GB"/>
              </w:rPr>
              <w:t>E</w:t>
            </w:r>
            <w:r w:rsidRPr="00D43D39">
              <w:rPr>
                <w:rFonts w:ascii="Times New Roman" w:hAnsi="Times New Roman" w:cs="Times New Roman"/>
                <w:color w:val="000000" w:themeColor="text1"/>
                <w:spacing w:val="-2"/>
                <w:w w:val="95"/>
                <w:sz w:val="20"/>
                <w:szCs w:val="20"/>
                <w:lang w:val="en-GB"/>
              </w:rPr>
              <w:t xml:space="preserve">ntity contributes to the total consolidated </w:t>
            </w:r>
            <w:r w:rsidRPr="00D43D39" w:rsidR="00213AEA">
              <w:rPr>
                <w:rFonts w:ascii="Times New Roman" w:hAnsi="Times New Roman" w:cs="Times New Roman"/>
                <w:color w:val="000000" w:themeColor="text1"/>
                <w:spacing w:val="-2"/>
                <w:w w:val="95"/>
                <w:sz w:val="20"/>
                <w:szCs w:val="20"/>
                <w:lang w:val="en-GB"/>
              </w:rPr>
              <w:t>risk exposure amount</w:t>
            </w:r>
            <w:r w:rsidRPr="00D43D39" w:rsidR="00E74F98">
              <w:rPr>
                <w:rFonts w:ascii="Times New Roman" w:hAnsi="Times New Roman" w:cs="Times New Roman"/>
                <w:color w:val="000000" w:themeColor="text1"/>
                <w:spacing w:val="-2"/>
                <w:w w:val="95"/>
                <w:sz w:val="20"/>
                <w:szCs w:val="20"/>
                <w:lang w:val="en-GB"/>
              </w:rPr>
              <w:t xml:space="preserve"> of the group the report refers to.</w:t>
            </w:r>
            <w:r w:rsidRPr="00D43D39" w:rsidR="00213AEA">
              <w:rPr>
                <w:rFonts w:ascii="Times New Roman" w:hAnsi="Times New Roman" w:cs="Times New Roman"/>
                <w:color w:val="000000" w:themeColor="text1"/>
                <w:spacing w:val="-2"/>
                <w:w w:val="95"/>
                <w:sz w:val="20"/>
                <w:szCs w:val="20"/>
                <w:lang w:val="en-GB"/>
              </w:rPr>
              <w:t xml:space="preserve"> </w:t>
            </w:r>
          </w:p>
        </w:tc>
      </w:tr>
      <w:tr w:rsidRPr="00D43D39" w:rsidR="00D22EB0" w:rsidTr="3C351E67" w14:paraId="5A5BAB5C" w14:textId="77777777">
        <w:trPr>
          <w:trHeight w:val="749"/>
        </w:trPr>
        <w:tc>
          <w:tcPr>
            <w:tcW w:w="0" w:type="auto"/>
            <w:tcBorders>
              <w:top w:val="single" w:color="1A171C" w:sz="4" w:space="0"/>
              <w:left w:val="nil"/>
              <w:bottom w:val="single" w:color="1A171C" w:sz="4" w:space="0"/>
              <w:right w:val="single" w:color="1A171C" w:sz="4" w:space="0"/>
            </w:tcBorders>
            <w:tcMar/>
          </w:tcPr>
          <w:p w:rsidRPr="00D43D39" w:rsidR="00CF6A09" w:rsidRDefault="006F3BD8" w14:paraId="2BA8BF7E" w14:textId="0743302F">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02</w:t>
            </w:r>
            <w:r w:rsidR="00C30342">
              <w:rPr>
                <w:rFonts w:ascii="Times New Roman" w:hAnsi="Times New Roman" w:cs="Times New Roman"/>
                <w:color w:val="000000" w:themeColor="text1"/>
                <w:spacing w:val="-2"/>
                <w:sz w:val="20"/>
                <w:szCs w:val="20"/>
                <w:lang w:val="en-GB"/>
              </w:rPr>
              <w:t>7</w:t>
            </w:r>
            <w:r w:rsidRPr="00D43D39">
              <w:rPr>
                <w:rFonts w:ascii="Times New Roman" w:hAnsi="Times New Roman" w:cs="Times New Roman"/>
                <w:color w:val="000000" w:themeColor="text1"/>
                <w:spacing w:val="-2"/>
                <w:sz w:val="20"/>
                <w:szCs w:val="20"/>
                <w:lang w:val="en-GB"/>
              </w:rPr>
              <w:t>0</w:t>
            </w:r>
          </w:p>
        </w:tc>
        <w:tc>
          <w:tcPr>
            <w:tcW w:w="0" w:type="auto"/>
            <w:tcBorders>
              <w:top w:val="single" w:color="1A171C" w:sz="4" w:space="0"/>
              <w:left w:val="single" w:color="1A171C" w:sz="4" w:space="0"/>
              <w:bottom w:val="single" w:color="1A171C" w:sz="4" w:space="0"/>
              <w:right w:val="nil"/>
            </w:tcBorders>
            <w:tcMar/>
          </w:tcPr>
          <w:p w:rsidRPr="00D43D39" w:rsidR="00CF6A09" w:rsidP="00367C1E" w:rsidRDefault="00CF6A09" w14:paraId="03C71E77" w14:textId="7FE04FCD">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Contribution to</w:t>
            </w:r>
            <w:r w:rsidRPr="00D43D39" w:rsidR="00C40B45">
              <w:rPr>
                <w:rFonts w:ascii="Times New Roman" w:hAnsi="Times New Roman" w:cs="Times New Roman"/>
                <w:b/>
                <w:color w:val="000000" w:themeColor="text1"/>
                <w:spacing w:val="-2"/>
                <w:w w:val="95"/>
                <w:sz w:val="20"/>
                <w:szCs w:val="20"/>
                <w:lang w:val="en-GB"/>
              </w:rPr>
              <w:t xml:space="preserve"> consolidated</w:t>
            </w:r>
            <w:r w:rsidRPr="00D43D39">
              <w:rPr>
                <w:rFonts w:ascii="Times New Roman" w:hAnsi="Times New Roman" w:cs="Times New Roman"/>
                <w:b/>
                <w:color w:val="000000" w:themeColor="text1"/>
                <w:spacing w:val="-2"/>
                <w:w w:val="95"/>
                <w:sz w:val="20"/>
                <w:szCs w:val="20"/>
                <w:lang w:val="en-GB"/>
              </w:rPr>
              <w:t xml:space="preserve"> </w:t>
            </w:r>
            <w:r w:rsidRPr="00D43D39" w:rsidR="002965E8">
              <w:rPr>
                <w:rFonts w:ascii="Times New Roman" w:hAnsi="Times New Roman" w:cs="Times New Roman"/>
                <w:b/>
                <w:color w:val="000000" w:themeColor="text1"/>
                <w:spacing w:val="-2"/>
                <w:w w:val="95"/>
                <w:sz w:val="20"/>
                <w:szCs w:val="20"/>
                <w:lang w:val="en-GB"/>
              </w:rPr>
              <w:t>total exposure</w:t>
            </w:r>
            <w:r w:rsidRPr="00D43D39">
              <w:rPr>
                <w:rFonts w:ascii="Times New Roman" w:hAnsi="Times New Roman" w:cs="Times New Roman"/>
                <w:b/>
                <w:color w:val="000000" w:themeColor="text1"/>
                <w:spacing w:val="-2"/>
                <w:w w:val="95"/>
                <w:sz w:val="20"/>
                <w:szCs w:val="20"/>
                <w:lang w:val="en-GB"/>
              </w:rPr>
              <w:t xml:space="preserve"> </w:t>
            </w:r>
            <w:r w:rsidRPr="00D43D39" w:rsidR="00E91334">
              <w:rPr>
                <w:rFonts w:ascii="Times New Roman" w:hAnsi="Times New Roman" w:cs="Times New Roman"/>
                <w:b/>
                <w:color w:val="000000" w:themeColor="text1"/>
                <w:spacing w:val="-2"/>
                <w:w w:val="95"/>
                <w:sz w:val="20"/>
                <w:szCs w:val="20"/>
                <w:lang w:val="en-GB"/>
              </w:rPr>
              <w:t>measure</w:t>
            </w:r>
          </w:p>
          <w:p w:rsidRPr="00D43D39" w:rsidR="00CF6A09" w:rsidP="002965E8" w:rsidRDefault="00CF6A09" w14:paraId="08E87EF8" w14:textId="5B62715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The amount that the </w:t>
            </w:r>
            <w:r w:rsidRPr="00D43D39" w:rsidR="00644AC6">
              <w:rPr>
                <w:rFonts w:ascii="Times New Roman" w:hAnsi="Times New Roman" w:cs="Times New Roman"/>
                <w:color w:val="000000" w:themeColor="text1"/>
                <w:spacing w:val="-2"/>
                <w:w w:val="95"/>
                <w:sz w:val="20"/>
                <w:szCs w:val="20"/>
                <w:lang w:val="en-GB"/>
              </w:rPr>
              <w:t>E</w:t>
            </w:r>
            <w:r w:rsidRPr="00D43D39">
              <w:rPr>
                <w:rFonts w:ascii="Times New Roman" w:hAnsi="Times New Roman" w:cs="Times New Roman"/>
                <w:color w:val="000000" w:themeColor="text1"/>
                <w:spacing w:val="-2"/>
                <w:w w:val="95"/>
                <w:sz w:val="20"/>
                <w:szCs w:val="20"/>
                <w:lang w:val="en-GB"/>
              </w:rPr>
              <w:t>ntity contributes to the total exposure</w:t>
            </w:r>
            <w:r w:rsidRPr="00D43D39" w:rsidR="002965E8">
              <w:rPr>
                <w:rFonts w:ascii="Times New Roman" w:hAnsi="Times New Roman" w:cs="Times New Roman"/>
                <w:color w:val="000000" w:themeColor="text1"/>
                <w:spacing w:val="-2"/>
                <w:w w:val="95"/>
                <w:sz w:val="20"/>
                <w:szCs w:val="20"/>
                <w:lang w:val="en-GB"/>
              </w:rPr>
              <w:t xml:space="preserve"> measure</w:t>
            </w:r>
            <w:r w:rsidRPr="00D43D39">
              <w:rPr>
                <w:rFonts w:ascii="Times New Roman" w:hAnsi="Times New Roman" w:cs="Times New Roman"/>
                <w:color w:val="000000" w:themeColor="text1"/>
                <w:spacing w:val="-2"/>
                <w:w w:val="95"/>
                <w:sz w:val="20"/>
                <w:szCs w:val="20"/>
                <w:lang w:val="en-GB"/>
              </w:rPr>
              <w:t xml:space="preserve"> of the group the report refers to.</w:t>
            </w:r>
          </w:p>
        </w:tc>
      </w:tr>
      <w:tr w:rsidRPr="00D43D39" w:rsidR="5E2F2DB1" w:rsidTr="3C351E67" w14:paraId="2FCCB1F3" w14:textId="77777777">
        <w:trPr>
          <w:trHeight w:val="749"/>
        </w:trPr>
        <w:tc>
          <w:tcPr>
            <w:tcW w:w="1064" w:type="dxa"/>
            <w:tcBorders>
              <w:top w:val="single" w:color="1A171C" w:sz="4" w:space="0"/>
              <w:left w:val="nil"/>
              <w:bottom w:val="single" w:color="1A171C" w:sz="4" w:space="0"/>
              <w:right w:val="single" w:color="1A171C" w:sz="4" w:space="0"/>
            </w:tcBorders>
            <w:tcMar/>
          </w:tcPr>
          <w:p w:rsidRPr="00D43D39" w:rsidR="5E2F2DB1" w:rsidP="001C34E8" w:rsidRDefault="006F3BD8" w14:paraId="03655C99" w14:textId="6AA413C3">
            <w:pPr>
              <w:pStyle w:val="TableParagrap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AD418F">
              <w:rPr>
                <w:rFonts w:ascii="Times New Roman" w:hAnsi="Times New Roman" w:cs="Times New Roman"/>
                <w:color w:val="000000" w:themeColor="text1"/>
                <w:sz w:val="20"/>
                <w:szCs w:val="20"/>
                <w:lang w:val="en-GB"/>
              </w:rPr>
              <w:t>2</w:t>
            </w:r>
            <w:r w:rsidR="00C30342">
              <w:rPr>
                <w:rFonts w:ascii="Times New Roman" w:hAnsi="Times New Roman" w:cs="Times New Roman"/>
                <w:color w:val="000000" w:themeColor="text1"/>
                <w:sz w:val="20"/>
                <w:szCs w:val="20"/>
                <w:lang w:val="en-GB"/>
              </w:rPr>
              <w:t>8</w:t>
            </w:r>
            <w:r w:rsidRPr="00D43D39">
              <w:rPr>
                <w:rFonts w:ascii="Times New Roman" w:hAnsi="Times New Roman" w:cs="Times New Roman"/>
                <w:color w:val="000000" w:themeColor="text1"/>
                <w:sz w:val="20"/>
                <w:szCs w:val="20"/>
                <w:lang w:val="en-GB"/>
              </w:rPr>
              <w:t>0</w:t>
            </w:r>
          </w:p>
        </w:tc>
        <w:tc>
          <w:tcPr>
            <w:tcW w:w="7962" w:type="dxa"/>
            <w:tcBorders>
              <w:top w:val="single" w:color="1A171C" w:sz="4" w:space="0"/>
              <w:left w:val="single" w:color="1A171C" w:sz="4" w:space="0"/>
              <w:bottom w:val="single" w:color="1A171C" w:sz="4" w:space="0"/>
              <w:right w:val="nil"/>
            </w:tcBorders>
            <w:tcMar/>
          </w:tcPr>
          <w:p w:rsidRPr="00D43D39" w:rsidR="30043911" w:rsidP="5E2F2DB1" w:rsidRDefault="30043911" w14:paraId="657C2C66" w14:textId="542D122E">
            <w:pPr>
              <w:pStyle w:val="TableParagraph"/>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Contribution to</w:t>
            </w:r>
            <w:r w:rsidRPr="00D43D39" w:rsidR="003972C6">
              <w:rPr>
                <w:rFonts w:ascii="Times New Roman" w:hAnsi="Times New Roman" w:cs="Times New Roman"/>
                <w:b/>
                <w:bCs/>
                <w:color w:val="000000" w:themeColor="text1"/>
                <w:sz w:val="20"/>
                <w:szCs w:val="20"/>
                <w:lang w:val="en-GB"/>
              </w:rPr>
              <w:t xml:space="preserve"> </w:t>
            </w:r>
            <w:r w:rsidRPr="00D43D39">
              <w:rPr>
                <w:rFonts w:ascii="Times New Roman" w:hAnsi="Times New Roman" w:cs="Times New Roman"/>
                <w:b/>
                <w:bCs/>
                <w:color w:val="000000" w:themeColor="text1"/>
                <w:sz w:val="20"/>
                <w:szCs w:val="20"/>
                <w:lang w:val="en-GB"/>
              </w:rPr>
              <w:t>consolidated operating income</w:t>
            </w:r>
          </w:p>
          <w:p w:rsidRPr="00D43D39" w:rsidR="5E2F2DB1" w:rsidP="5E2F2DB1" w:rsidRDefault="5E2F2DB1" w14:paraId="0D0D70F1" w14:textId="0B322ED0">
            <w:pPr>
              <w:pStyle w:val="TableParagraph"/>
              <w:jc w:val="both"/>
              <w:rPr>
                <w:rFonts w:ascii="Times New Roman" w:hAnsi="Times New Roman" w:cs="Times New Roman"/>
                <w:color w:val="000000" w:themeColor="text1"/>
                <w:sz w:val="20"/>
                <w:szCs w:val="20"/>
                <w:lang w:val="en-GB"/>
              </w:rPr>
            </w:pPr>
          </w:p>
          <w:p w:rsidRPr="00D43D39" w:rsidR="30043911" w:rsidRDefault="30043911" w14:paraId="05CE0599" w14:textId="601F646C">
            <w:pPr>
              <w:pStyle w:val="TableParagraph"/>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The amount that the Entity contributes to the total </w:t>
            </w:r>
            <w:r w:rsidRPr="00D43D39" w:rsidR="003972C6">
              <w:rPr>
                <w:rFonts w:ascii="Times New Roman" w:hAnsi="Times New Roman" w:cs="Times New Roman"/>
                <w:color w:val="000000" w:themeColor="text1"/>
                <w:sz w:val="20"/>
                <w:szCs w:val="20"/>
                <w:lang w:val="en-GB"/>
              </w:rPr>
              <w:t xml:space="preserve">accounting </w:t>
            </w:r>
            <w:r w:rsidRPr="00D43D39">
              <w:rPr>
                <w:rFonts w:ascii="Times New Roman" w:hAnsi="Times New Roman" w:cs="Times New Roman"/>
                <w:color w:val="000000" w:themeColor="text1"/>
                <w:sz w:val="20"/>
                <w:szCs w:val="20"/>
                <w:lang w:val="en-GB"/>
              </w:rPr>
              <w:t xml:space="preserve">consolidated </w:t>
            </w:r>
            <w:r w:rsidRPr="00D43D39" w:rsidR="26940E90">
              <w:rPr>
                <w:rFonts w:ascii="Times New Roman" w:hAnsi="Times New Roman" w:cs="Times New Roman"/>
                <w:color w:val="000000" w:themeColor="text1"/>
                <w:sz w:val="20"/>
                <w:szCs w:val="20"/>
                <w:lang w:val="en-GB"/>
              </w:rPr>
              <w:t>operating income</w:t>
            </w:r>
            <w:r w:rsidRPr="00D43D39">
              <w:rPr>
                <w:rFonts w:ascii="Times New Roman" w:hAnsi="Times New Roman" w:cs="Times New Roman"/>
                <w:color w:val="000000" w:themeColor="text1"/>
                <w:sz w:val="20"/>
                <w:szCs w:val="20"/>
                <w:lang w:val="en-GB"/>
              </w:rPr>
              <w:t xml:space="preserve"> amount of the group.</w:t>
            </w:r>
          </w:p>
        </w:tc>
      </w:tr>
      <w:tr w:rsidRPr="00D43D39" w:rsidR="00D22EB0" w:rsidTr="3C351E67" w14:paraId="608C1544" w14:textId="77777777">
        <w:tc>
          <w:tcPr>
            <w:tcW w:w="0" w:type="auto"/>
            <w:tcBorders>
              <w:top w:val="single" w:color="1A171C" w:sz="4" w:space="0"/>
              <w:left w:val="nil"/>
              <w:bottom w:val="single" w:color="1A171C" w:sz="4" w:space="0"/>
              <w:right w:val="single" w:color="1A171C" w:sz="4" w:space="0"/>
            </w:tcBorders>
            <w:tcMar/>
          </w:tcPr>
          <w:p w:rsidRPr="00D43D39" w:rsidR="00255C59" w:rsidDel="00DA31D1" w:rsidRDefault="006F3BD8" w14:paraId="09C9DC44" w14:textId="07003A11">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00C30342">
              <w:rPr>
                <w:rFonts w:ascii="Times New Roman" w:hAnsi="Times New Roman" w:cs="Times New Roman"/>
                <w:color w:val="000000" w:themeColor="text1"/>
                <w:spacing w:val="-2"/>
                <w:sz w:val="20"/>
                <w:szCs w:val="20"/>
                <w:lang w:val="en-GB"/>
              </w:rPr>
              <w:t>32</w:t>
            </w:r>
            <w:r w:rsidRPr="00D43D39">
              <w:rPr>
                <w:rFonts w:ascii="Times New Roman" w:hAnsi="Times New Roman" w:cs="Times New Roman"/>
                <w:color w:val="000000" w:themeColor="text1"/>
                <w:spacing w:val="-2"/>
                <w:sz w:val="20"/>
                <w:szCs w:val="20"/>
                <w:lang w:val="en-GB"/>
              </w:rPr>
              <w:t>0</w:t>
            </w:r>
          </w:p>
        </w:tc>
        <w:tc>
          <w:tcPr>
            <w:tcW w:w="0" w:type="auto"/>
            <w:tcBorders>
              <w:top w:val="single" w:color="1A171C" w:sz="4" w:space="0"/>
              <w:left w:val="single" w:color="1A171C" w:sz="4" w:space="0"/>
              <w:bottom w:val="single" w:color="1A171C" w:sz="4" w:space="0"/>
              <w:right w:val="nil"/>
            </w:tcBorders>
            <w:tcMar/>
          </w:tcPr>
          <w:p w:rsidRPr="00D43D39" w:rsidR="00255C59" w:rsidP="25FE6027" w:rsidRDefault="00927106" w14:paraId="2013C923" w14:textId="57FAA010">
            <w:pPr>
              <w:pStyle w:val="TableParagraph"/>
              <w:spacing w:before="108"/>
              <w:ind w:left="85"/>
              <w:jc w:val="both"/>
              <w:rPr>
                <w:rFonts w:ascii="Times New Roman" w:hAnsi="Times New Roman" w:cs="Times New Roman"/>
                <w:b/>
                <w:bCs/>
                <w:color w:val="000000" w:themeColor="text1"/>
                <w:spacing w:val="-2"/>
                <w:w w:val="95"/>
                <w:sz w:val="20"/>
                <w:szCs w:val="20"/>
                <w:lang w:val="en-GB"/>
              </w:rPr>
            </w:pPr>
            <w:r>
              <w:rPr>
                <w:rFonts w:ascii="Times New Roman" w:hAnsi="Times New Roman" w:cs="Times New Roman"/>
                <w:b/>
                <w:bCs/>
                <w:color w:val="000000" w:themeColor="text1"/>
                <w:sz w:val="20"/>
                <w:szCs w:val="20"/>
                <w:lang w:val="en-GB"/>
              </w:rPr>
              <w:t>Relevant</w:t>
            </w:r>
            <w:r w:rsidRPr="00D43D39" w:rsidR="648007A8">
              <w:rPr>
                <w:rFonts w:ascii="Times New Roman" w:hAnsi="Times New Roman" w:cs="Times New Roman"/>
                <w:b/>
                <w:bCs/>
                <w:color w:val="000000" w:themeColor="text1"/>
                <w:sz w:val="20"/>
                <w:szCs w:val="20"/>
                <w:lang w:val="en-GB"/>
              </w:rPr>
              <w:t xml:space="preserve"> </w:t>
            </w:r>
            <w:r w:rsidRPr="00D43D39" w:rsidR="00740DE8">
              <w:rPr>
                <w:rFonts w:ascii="Times New Roman" w:hAnsi="Times New Roman" w:cs="Times New Roman"/>
                <w:b/>
                <w:bCs/>
                <w:color w:val="000000" w:themeColor="text1"/>
                <w:spacing w:val="-2"/>
                <w:w w:val="95"/>
                <w:sz w:val="20"/>
                <w:szCs w:val="20"/>
                <w:lang w:val="en-GB"/>
              </w:rPr>
              <w:t>Legal E</w:t>
            </w:r>
            <w:r w:rsidRPr="00D43D39" w:rsidR="54D79CA0">
              <w:rPr>
                <w:rFonts w:ascii="Times New Roman" w:hAnsi="Times New Roman" w:cs="Times New Roman"/>
                <w:b/>
                <w:bCs/>
                <w:color w:val="000000" w:themeColor="text1"/>
                <w:spacing w:val="-2"/>
                <w:w w:val="95"/>
                <w:sz w:val="20"/>
                <w:szCs w:val="20"/>
                <w:lang w:val="en-GB"/>
              </w:rPr>
              <w:t>ntity</w:t>
            </w:r>
          </w:p>
          <w:p w:rsidRPr="00D43D39" w:rsidR="006F3BD8" w:rsidP="00B31720" w:rsidRDefault="00255C59" w14:paraId="0DFB9417" w14:textId="2790221F">
            <w:pPr>
              <w:pStyle w:val="TableParagraph"/>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Whether the entity constitutes a </w:t>
            </w:r>
            <w:r w:rsidR="002C7927">
              <w:rPr>
                <w:rFonts w:ascii="Times New Roman" w:hAnsi="Times New Roman" w:cs="Times New Roman"/>
                <w:color w:val="000000" w:themeColor="text1"/>
                <w:spacing w:val="-2"/>
                <w:w w:val="95"/>
                <w:sz w:val="20"/>
                <w:szCs w:val="20"/>
                <w:lang w:val="en-GB"/>
              </w:rPr>
              <w:t>relevant</w:t>
            </w:r>
            <w:r w:rsidRPr="00D43D39">
              <w:rPr>
                <w:rFonts w:ascii="Times New Roman" w:hAnsi="Times New Roman" w:cs="Times New Roman"/>
                <w:color w:val="000000" w:themeColor="text1"/>
                <w:spacing w:val="-2"/>
                <w:w w:val="95"/>
                <w:sz w:val="20"/>
                <w:szCs w:val="20"/>
                <w:lang w:val="en-GB"/>
              </w:rPr>
              <w:t xml:space="preserve"> legal entity pursuant to the definition </w:t>
            </w:r>
            <w:r w:rsidRPr="005F5507">
              <w:rPr>
                <w:rFonts w:ascii="Times New Roman" w:hAnsi="Times New Roman" w:cs="Times New Roman"/>
                <w:color w:val="000000" w:themeColor="text1"/>
                <w:spacing w:val="-2"/>
                <w:w w:val="95"/>
                <w:sz w:val="20"/>
                <w:szCs w:val="20"/>
                <w:lang w:val="en-GB"/>
              </w:rPr>
              <w:t xml:space="preserve">in Article </w:t>
            </w:r>
            <w:r w:rsidRPr="005F5507" w:rsidR="00F7016B">
              <w:rPr>
                <w:rFonts w:ascii="Times New Roman" w:hAnsi="Times New Roman" w:cs="Times New Roman"/>
                <w:color w:val="000000" w:themeColor="text1"/>
                <w:spacing w:val="-2"/>
                <w:w w:val="95"/>
                <w:sz w:val="20"/>
                <w:szCs w:val="20"/>
                <w:lang w:val="en-GB"/>
              </w:rPr>
              <w:t>1</w:t>
            </w:r>
            <w:r w:rsidRPr="005F5507" w:rsidR="00F14A44">
              <w:rPr>
                <w:rFonts w:ascii="Times New Roman" w:hAnsi="Times New Roman" w:cs="Times New Roman"/>
                <w:color w:val="000000" w:themeColor="text1"/>
                <w:spacing w:val="-2"/>
                <w:w w:val="95"/>
                <w:sz w:val="20"/>
                <w:szCs w:val="20"/>
                <w:lang w:val="en-GB"/>
              </w:rPr>
              <w:t xml:space="preserve"> of this Regulation</w:t>
            </w:r>
            <w:r w:rsidR="00F7016B">
              <w:rPr>
                <w:rFonts w:ascii="Times New Roman" w:hAnsi="Times New Roman" w:cs="Times New Roman"/>
                <w:color w:val="000000" w:themeColor="text1"/>
                <w:spacing w:val="-2"/>
                <w:w w:val="95"/>
                <w:sz w:val="20"/>
                <w:szCs w:val="20"/>
                <w:lang w:val="en-GB"/>
              </w:rPr>
              <w:t>.</w:t>
            </w:r>
          </w:p>
          <w:p w:rsidRPr="00D43D39" w:rsidR="00255C59" w:rsidP="00B31720" w:rsidRDefault="00255C59" w14:paraId="3218128A" w14:textId="4469ACBD">
            <w:pPr>
              <w:pStyle w:val="TableParagraph"/>
              <w:spacing w:before="108"/>
              <w:jc w:val="both"/>
              <w:rPr>
                <w:rFonts w:ascii="Times New Roman" w:hAnsi="Times New Roman" w:cs="Times New Roman"/>
                <w:color w:val="000000" w:themeColor="text1"/>
                <w:spacing w:val="-2"/>
                <w:w w:val="95"/>
                <w:sz w:val="20"/>
                <w:szCs w:val="20"/>
                <w:lang w:val="en-GB"/>
              </w:rPr>
            </w:pPr>
          </w:p>
        </w:tc>
      </w:tr>
    </w:tbl>
    <w:p w:rsidRPr="005F5507" w:rsidR="5E2F2DB1" w:rsidRDefault="5E2F2DB1" w14:paraId="15F9FC82" w14:textId="597D9E6B">
      <w:pPr>
        <w:rPr>
          <w:rFonts w:ascii="Times New Roman" w:hAnsi="Times New Roman" w:cs="Times New Roman"/>
        </w:rPr>
      </w:pPr>
    </w:p>
    <w:p w:rsidRPr="00D43D39" w:rsidR="00950878" w:rsidP="001C34E8" w:rsidRDefault="00950878" w14:paraId="087DFD24" w14:textId="22D1ADD8">
      <w:pPr>
        <w:pStyle w:val="Instructionsberschrift2"/>
        <w:numPr>
          <w:ilvl w:val="1"/>
          <w:numId w:val="49"/>
        </w:numPr>
        <w:ind w:left="357" w:hanging="357"/>
        <w:rPr>
          <w:rFonts w:ascii="Times New Roman" w:hAnsi="Times New Roman" w:cs="Times New Roman"/>
        </w:rPr>
      </w:pPr>
      <w:bookmarkStart w:name="_Toc81454178" w:id="22"/>
      <w:bookmarkStart w:name="_Toc172732222" w:id="23"/>
      <w:r w:rsidRPr="00D43D39">
        <w:rPr>
          <w:rFonts w:ascii="Times New Roman" w:hAnsi="Times New Roman" w:cs="Times New Roman"/>
        </w:rPr>
        <w:t xml:space="preserve">Z 01.02 - </w:t>
      </w:r>
      <w:r w:rsidRPr="00D43D39" w:rsidR="00976969">
        <w:rPr>
          <w:rFonts w:ascii="Times New Roman" w:hAnsi="Times New Roman" w:cs="Times New Roman"/>
        </w:rPr>
        <w:t>Ownership structure</w:t>
      </w:r>
      <w:r w:rsidRPr="00D43D39">
        <w:rPr>
          <w:rFonts w:ascii="Times New Roman" w:hAnsi="Times New Roman" w:cs="Times New Roman"/>
        </w:rPr>
        <w:t xml:space="preserve"> (ORG 2)</w:t>
      </w:r>
      <w:bookmarkEnd w:id="22"/>
      <w:bookmarkEnd w:id="23"/>
    </w:p>
    <w:p w:rsidRPr="00D43D39" w:rsidR="00950878" w:rsidP="00950878" w:rsidRDefault="00950878" w14:paraId="646506F2" w14:textId="77777777">
      <w:pPr>
        <w:pStyle w:val="Instructionsberschrift3"/>
        <w:rPr>
          <w:lang w:val="en-GB"/>
        </w:rPr>
      </w:pPr>
      <w:r w:rsidRPr="00D43D39">
        <w:rPr>
          <w:lang w:val="en-GB"/>
        </w:rPr>
        <w:t>General remarks</w:t>
      </w:r>
    </w:p>
    <w:p w:rsidR="00950878" w:rsidRDefault="00950878" w14:paraId="12C86CF3" w14:textId="2E119B46">
      <w:pPr>
        <w:pStyle w:val="InstructionsText2"/>
        <w:numPr>
          <w:ilvl w:val="0"/>
          <w:numId w:val="234"/>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This template provides an overview over the group’s legal and ownership structure. A single template shall be submitted in relation to all group entities within the scope of accounting consolidation.  </w:t>
      </w:r>
    </w:p>
    <w:p w:rsidRPr="00D43D39" w:rsidR="00950878" w:rsidP="005F5507" w:rsidRDefault="001577F5" w14:paraId="2E08637F" w14:textId="758B63C4">
      <w:pPr>
        <w:pStyle w:val="InstructionsText2"/>
        <w:numPr>
          <w:ilvl w:val="0"/>
          <w:numId w:val="234"/>
        </w:numPr>
        <w:spacing w:before="0"/>
        <w:rPr>
          <w:rFonts w:ascii="Times New Roman" w:hAnsi="Times New Roman" w:cs="Times New Roman"/>
          <w:sz w:val="20"/>
          <w:szCs w:val="20"/>
        </w:rPr>
      </w:pPr>
      <w:r w:rsidRPr="00D43D39">
        <w:rPr>
          <w:rFonts w:ascii="Times New Roman" w:hAnsi="Times New Roman" w:cs="Times New Roman"/>
          <w:sz w:val="20"/>
          <w:szCs w:val="20"/>
        </w:rPr>
        <w:t xml:space="preserve">This </w:t>
      </w:r>
      <w:r w:rsidRPr="00D43D39">
        <w:rPr>
          <w:rFonts w:ascii="Times New Roman" w:hAnsi="Times New Roman" w:cs="Times New Roman"/>
          <w:sz w:val="20"/>
          <w:szCs w:val="20"/>
          <w:lang w:val="en-GB"/>
        </w:rPr>
        <w:t>template</w:t>
      </w:r>
      <w:r w:rsidRPr="00D43D39">
        <w:rPr>
          <w:rFonts w:ascii="Times New Roman" w:hAnsi="Times New Roman" w:cs="Times New Roman"/>
          <w:sz w:val="20"/>
          <w:szCs w:val="20"/>
        </w:rPr>
        <w:t xml:space="preserve"> shall list </w:t>
      </w:r>
      <w:r w:rsidRPr="00D43D39" w:rsidR="00B56581">
        <w:rPr>
          <w:rFonts w:ascii="Times New Roman" w:hAnsi="Times New Roman" w:cs="Times New Roman"/>
          <w:sz w:val="20"/>
          <w:szCs w:val="20"/>
        </w:rPr>
        <w:t>all the shareholders (or equivalent) of the group’s entities with more than 2% of share capital (or equivalent) or voting rights, and all the shareholdings (or equivalent) held by entities of the group.</w:t>
      </w:r>
    </w:p>
    <w:p w:rsidRPr="00D43D39" w:rsidR="00950878" w:rsidP="00950878" w:rsidRDefault="00950878" w14:paraId="12DDC1FA" w14:textId="77777777">
      <w:pPr>
        <w:pStyle w:val="Instructionsberschrift3"/>
        <w:rPr>
          <w:b/>
          <w:lang w:val="en-GB"/>
        </w:rPr>
      </w:pPr>
      <w:r w:rsidRPr="00D43D39">
        <w:rPr>
          <w:b/>
          <w:lang w:val="en-GB"/>
        </w:rPr>
        <w:t>Instructions concerning specific positions</w:t>
      </w:r>
    </w:p>
    <w:tbl>
      <w:tblPr>
        <w:tblW w:w="0" w:type="auto"/>
        <w:tblCellMar>
          <w:top w:w="57" w:type="dxa"/>
          <w:left w:w="57" w:type="dxa"/>
          <w:bottom w:w="57" w:type="dxa"/>
          <w:right w:w="0" w:type="dxa"/>
        </w:tblCellMar>
        <w:tblLook w:val="01E0" w:firstRow="1" w:lastRow="1" w:firstColumn="1" w:lastColumn="1" w:noHBand="0" w:noVBand="0"/>
      </w:tblPr>
      <w:tblGrid>
        <w:gridCol w:w="833"/>
        <w:gridCol w:w="8193"/>
      </w:tblGrid>
      <w:tr w:rsidRPr="00D43D39" w:rsidR="00950878" w:rsidTr="005F5507" w14:paraId="631CC297" w14:textId="77777777">
        <w:trPr>
          <w:tblHeader/>
        </w:trPr>
        <w:tc>
          <w:tcPr>
            <w:tcW w:w="0" w:type="auto"/>
            <w:tcBorders>
              <w:top w:val="single" w:color="1A171C" w:sz="4" w:space="0"/>
              <w:left w:val="nil"/>
              <w:bottom w:val="single" w:color="1A171C" w:sz="4" w:space="0"/>
              <w:right w:val="single" w:color="1A171C" w:sz="4" w:space="0"/>
            </w:tcBorders>
            <w:shd w:val="clear" w:color="auto" w:fill="E4E5E5"/>
          </w:tcPr>
          <w:p w:rsidRPr="00D43D39" w:rsidR="00950878" w:rsidP="00950878" w:rsidRDefault="00950878" w14:paraId="75497EBA" w14:textId="77777777">
            <w:pPr>
              <w:pStyle w:val="TableParagraph"/>
              <w:spacing w:before="66"/>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Columns</w:t>
            </w:r>
          </w:p>
        </w:tc>
        <w:tc>
          <w:tcPr>
            <w:tcW w:w="0" w:type="auto"/>
            <w:tcBorders>
              <w:top w:val="single" w:color="1A171C" w:sz="4" w:space="0"/>
              <w:left w:val="single" w:color="1A171C" w:sz="4" w:space="0"/>
              <w:bottom w:val="single" w:color="1A171C" w:sz="4" w:space="0"/>
              <w:right w:val="nil"/>
            </w:tcBorders>
            <w:shd w:val="clear" w:color="auto" w:fill="E4E5E5"/>
          </w:tcPr>
          <w:p w:rsidRPr="00D43D39" w:rsidR="00950878" w:rsidP="00950878" w:rsidRDefault="00950878" w14:paraId="1F8F9A3C" w14:textId="77777777">
            <w:pPr>
              <w:pStyle w:val="TableParagraph"/>
              <w:spacing w:before="66"/>
              <w:ind w:right="1"/>
              <w:jc w:val="center"/>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Pr="00D43D39" w:rsidR="00950878" w:rsidTr="15FAC80C" w14:paraId="629810B9" w14:textId="77777777">
        <w:tc>
          <w:tcPr>
            <w:tcW w:w="0" w:type="auto"/>
            <w:tcBorders>
              <w:top w:val="single" w:color="1A171C" w:sz="4" w:space="0"/>
              <w:left w:val="nil"/>
              <w:bottom w:val="single" w:color="1A171C" w:sz="4" w:space="0"/>
              <w:right w:val="single" w:color="1A171C" w:sz="4" w:space="0"/>
            </w:tcBorders>
          </w:tcPr>
          <w:p w:rsidRPr="00D43D39" w:rsidR="00950878" w:rsidP="00AA651B" w:rsidRDefault="00B56581" w14:paraId="6162100B" w14:textId="0DB2919D">
            <w:pPr>
              <w:pStyle w:val="TableParagraph"/>
              <w:spacing w:before="106"/>
              <w:ind w:left="-1"/>
              <w:rPr>
                <w:rFonts w:ascii="Times New Roman" w:hAnsi="Times New Roman" w:eastAsia="Cambria" w:cs="Times New Roman"/>
                <w:b/>
                <w:color w:val="000000" w:themeColor="text1"/>
                <w:sz w:val="20"/>
                <w:szCs w:val="20"/>
                <w:lang w:val="en-GB"/>
              </w:rPr>
            </w:pPr>
            <w:r w:rsidRPr="00D43D39">
              <w:rPr>
                <w:rFonts w:ascii="Times New Roman" w:hAnsi="Times New Roman" w:cs="Times New Roman"/>
                <w:b/>
                <w:color w:val="000000" w:themeColor="text1"/>
                <w:spacing w:val="-2"/>
                <w:sz w:val="20"/>
                <w:szCs w:val="20"/>
                <w:lang w:val="en-GB"/>
              </w:rPr>
              <w:t>0010-0</w:t>
            </w:r>
            <w:r w:rsidRPr="00D43D39" w:rsidR="00442FC8">
              <w:rPr>
                <w:rFonts w:ascii="Times New Roman" w:hAnsi="Times New Roman" w:cs="Times New Roman"/>
                <w:b/>
                <w:color w:val="000000" w:themeColor="text1"/>
                <w:spacing w:val="-2"/>
                <w:sz w:val="20"/>
                <w:szCs w:val="20"/>
                <w:lang w:val="en-GB"/>
              </w:rPr>
              <w:t>30</w:t>
            </w:r>
          </w:p>
        </w:tc>
        <w:tc>
          <w:tcPr>
            <w:tcW w:w="0" w:type="auto"/>
            <w:tcBorders>
              <w:top w:val="single" w:color="1A171C" w:sz="4" w:space="0"/>
              <w:left w:val="single" w:color="1A171C" w:sz="4" w:space="0"/>
              <w:bottom w:val="single" w:color="1A171C" w:sz="4" w:space="0"/>
              <w:right w:val="nil"/>
            </w:tcBorders>
          </w:tcPr>
          <w:p w:rsidRPr="00D43D39" w:rsidR="00950878" w:rsidP="00950878" w:rsidRDefault="00B56581" w14:paraId="0A0E5323" w14:textId="4782E43F">
            <w:pPr>
              <w:pStyle w:val="TableParagraph"/>
              <w:spacing w:before="108"/>
              <w:ind w:left="85"/>
              <w:rPr>
                <w:rFonts w:ascii="Times New Roman" w:hAnsi="Times New Roman" w:cs="Times New Roman"/>
                <w:b/>
                <w:color w:val="000000" w:themeColor="text1"/>
                <w:spacing w:val="-1"/>
                <w:w w:val="95"/>
                <w:sz w:val="20"/>
                <w:szCs w:val="20"/>
                <w:lang w:val="en-GB"/>
              </w:rPr>
            </w:pPr>
            <w:r w:rsidRPr="00D43D39">
              <w:rPr>
                <w:rFonts w:ascii="Times New Roman" w:hAnsi="Times New Roman" w:cs="Times New Roman"/>
                <w:b/>
                <w:color w:val="000000" w:themeColor="text1"/>
                <w:spacing w:val="-1"/>
                <w:w w:val="95"/>
                <w:sz w:val="20"/>
                <w:szCs w:val="20"/>
                <w:lang w:val="en-GB"/>
              </w:rPr>
              <w:t>Investor</w:t>
            </w:r>
          </w:p>
        </w:tc>
      </w:tr>
      <w:tr w:rsidRPr="00D43D39" w:rsidR="00E84B8F" w:rsidTr="001C34E8" w14:paraId="3A448602" w14:textId="77777777">
        <w:tc>
          <w:tcPr>
            <w:tcW w:w="0" w:type="auto"/>
            <w:tcBorders>
              <w:top w:val="single" w:color="1A171C" w:sz="4" w:space="0"/>
              <w:left w:val="nil"/>
              <w:bottom w:val="single" w:color="1A171C" w:sz="4" w:space="0"/>
              <w:right w:val="single" w:color="1A171C" w:sz="4" w:space="0"/>
            </w:tcBorders>
          </w:tcPr>
          <w:p w:rsidRPr="00D43D39" w:rsidR="00E84B8F" w:rsidP="00E84B8F" w:rsidRDefault="00E84B8F" w14:paraId="7EC66D15" w14:textId="77777777">
            <w:pPr>
              <w:pStyle w:val="TableParagraph"/>
              <w:spacing w:before="106"/>
              <w:ind w:left="-1"/>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2"/>
                <w:sz w:val="20"/>
                <w:szCs w:val="20"/>
                <w:lang w:val="en-GB"/>
              </w:rPr>
              <w:t>0010</w:t>
            </w:r>
          </w:p>
        </w:tc>
        <w:tc>
          <w:tcPr>
            <w:tcW w:w="0" w:type="auto"/>
            <w:tcBorders>
              <w:top w:val="single" w:color="1A171C" w:sz="4" w:space="0"/>
              <w:left w:val="single" w:color="1A171C" w:sz="4" w:space="0"/>
              <w:bottom w:val="single" w:color="1A171C" w:sz="4" w:space="0"/>
              <w:right w:val="nil"/>
            </w:tcBorders>
            <w:vAlign w:val="center"/>
          </w:tcPr>
          <w:p w:rsidRPr="00D43D39" w:rsidR="00E84B8F" w:rsidP="00E84B8F" w:rsidRDefault="00E84B8F" w14:paraId="32312B69" w14:textId="52FC59F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Name </w:t>
            </w:r>
          </w:p>
          <w:p w:rsidRPr="00D43D39" w:rsidR="00E84B8F" w:rsidP="00AA651B" w:rsidRDefault="00E84B8F" w14:paraId="31879AA5" w14:textId="39E2F987">
            <w:pPr>
              <w:pStyle w:val="TableParagraph"/>
              <w:spacing w:before="108"/>
              <w:ind w:left="85"/>
              <w:rPr>
                <w:rFonts w:ascii="Times New Roman" w:hAnsi="Times New Roman" w:eastAsia="Book Antiqua" w:cs="Times New Roman"/>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The full name or designation of the Investor.</w:t>
            </w:r>
          </w:p>
        </w:tc>
      </w:tr>
      <w:tr w:rsidRPr="00D43D39" w:rsidR="00E84B8F" w:rsidTr="001C34E8" w14:paraId="302D77E2" w14:textId="77777777">
        <w:tc>
          <w:tcPr>
            <w:tcW w:w="0" w:type="auto"/>
            <w:tcBorders>
              <w:top w:val="single" w:color="1A171C" w:sz="4" w:space="0"/>
              <w:left w:val="nil"/>
              <w:bottom w:val="single" w:color="1A171C" w:sz="4" w:space="0"/>
              <w:right w:val="single" w:color="1A171C" w:sz="4" w:space="0"/>
            </w:tcBorders>
          </w:tcPr>
          <w:p w:rsidRPr="00D43D39" w:rsidR="00E84B8F" w:rsidP="00E84B8F" w:rsidRDefault="00E84B8F" w14:paraId="71D5BAF0" w14:textId="77777777">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0020</w:t>
            </w:r>
          </w:p>
        </w:tc>
        <w:tc>
          <w:tcPr>
            <w:tcW w:w="0" w:type="auto"/>
            <w:tcBorders>
              <w:top w:val="single" w:color="1A171C" w:sz="4" w:space="0"/>
              <w:left w:val="single" w:color="1A171C" w:sz="4" w:space="0"/>
              <w:bottom w:val="single" w:color="1A171C" w:sz="4" w:space="0"/>
              <w:right w:val="nil"/>
            </w:tcBorders>
            <w:vAlign w:val="center"/>
          </w:tcPr>
          <w:p w:rsidRPr="00D43D39" w:rsidR="00E84B8F" w:rsidP="00E84B8F" w:rsidRDefault="00E84B8F" w14:paraId="63EDC20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Code </w:t>
            </w:r>
          </w:p>
          <w:p w:rsidRPr="00D43D39" w:rsidR="00E84B8F" w:rsidP="00E84B8F" w:rsidRDefault="00E84B8F" w14:paraId="3339B893" w14:textId="1C0CEBF2">
            <w:pPr>
              <w:pStyle w:val="TableParagraph"/>
              <w:spacing w:before="108"/>
              <w:ind w:left="85"/>
              <w:rPr>
                <w:rFonts w:ascii="Times New Roman" w:hAnsi="Times New Roman" w:eastAsia="Cambria" w:cs="Times New Roman"/>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Unique identifier of the legal entity or </w:t>
            </w:r>
            <w:r w:rsidRPr="00D43D39" w:rsidR="000A4140">
              <w:rPr>
                <w:rFonts w:ascii="Times New Roman" w:hAnsi="Times New Roman" w:eastAsia="Cambria" w:cs="Times New Roman"/>
                <w:color w:val="000000" w:themeColor="text1"/>
                <w:spacing w:val="-2"/>
                <w:w w:val="95"/>
                <w:sz w:val="20"/>
                <w:szCs w:val="20"/>
                <w:lang w:val="en-GB"/>
              </w:rPr>
              <w:t>investor</w:t>
            </w:r>
            <w:r w:rsidRPr="00D43D39">
              <w:rPr>
                <w:rFonts w:ascii="Times New Roman" w:hAnsi="Times New Roman" w:eastAsia="Cambria" w:cs="Times New Roman"/>
                <w:color w:val="000000" w:themeColor="text1"/>
                <w:spacing w:val="-2"/>
                <w:w w:val="95"/>
                <w:sz w:val="20"/>
                <w:szCs w:val="20"/>
                <w:lang w:val="en-GB"/>
              </w:rPr>
              <w:t xml:space="preserve"> referred in column 00</w:t>
            </w:r>
            <w:r w:rsidRPr="00D43D39" w:rsidR="000A4140">
              <w:rPr>
                <w:rFonts w:ascii="Times New Roman" w:hAnsi="Times New Roman" w:eastAsia="Cambria" w:cs="Times New Roman"/>
                <w:color w:val="000000" w:themeColor="text1"/>
                <w:spacing w:val="-2"/>
                <w:w w:val="95"/>
                <w:sz w:val="20"/>
                <w:szCs w:val="20"/>
                <w:lang w:val="en-GB"/>
              </w:rPr>
              <w:t>1</w:t>
            </w:r>
            <w:r w:rsidRPr="00D43D39">
              <w:rPr>
                <w:rFonts w:ascii="Times New Roman" w:hAnsi="Times New Roman" w:eastAsia="Cambria" w:cs="Times New Roman"/>
                <w:color w:val="000000" w:themeColor="text1"/>
                <w:spacing w:val="-2"/>
                <w:w w:val="95"/>
                <w:sz w:val="20"/>
                <w:szCs w:val="20"/>
                <w:lang w:val="en-GB"/>
              </w:rPr>
              <w:t>0.</w:t>
            </w:r>
          </w:p>
          <w:p w:rsidRPr="00D43D39" w:rsidR="00E84B8F" w:rsidP="00E84B8F" w:rsidRDefault="00E84B8F" w14:paraId="486AA90F" w14:textId="726FA569">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Where the </w:t>
            </w:r>
            <w:r w:rsidRPr="00D43D39" w:rsidR="000A4140">
              <w:rPr>
                <w:rFonts w:ascii="Times New Roman" w:hAnsi="Times New Roman" w:eastAsia="Cambria" w:cs="Times New Roman"/>
                <w:color w:val="000000" w:themeColor="text1"/>
                <w:spacing w:val="-2"/>
                <w:w w:val="95"/>
                <w:sz w:val="20"/>
                <w:szCs w:val="20"/>
                <w:lang w:val="en-GB"/>
              </w:rPr>
              <w:t>investor</w:t>
            </w:r>
            <w:r w:rsidRPr="00D43D39">
              <w:rPr>
                <w:rFonts w:ascii="Times New Roman" w:hAnsi="Times New Roman" w:eastAsia="Cambria" w:cs="Times New Roman"/>
                <w:color w:val="000000" w:themeColor="text1"/>
                <w:spacing w:val="-2"/>
                <w:w w:val="95"/>
                <w:sz w:val="20"/>
                <w:szCs w:val="20"/>
                <w:lang w:val="en-GB"/>
              </w:rPr>
              <w:t xml:space="preserve"> is a group entity, the code shall be the same as reported in template </w:t>
            </w:r>
            <w:r w:rsidRPr="00D43D39" w:rsidR="000A4140">
              <w:rPr>
                <w:rFonts w:ascii="Times New Roman" w:hAnsi="Times New Roman" w:eastAsia="Cambria" w:cs="Times New Roman"/>
                <w:color w:val="000000" w:themeColor="text1"/>
                <w:spacing w:val="-2"/>
                <w:w w:val="95"/>
                <w:sz w:val="20"/>
                <w:szCs w:val="20"/>
                <w:lang w:val="en-GB"/>
              </w:rPr>
              <w:t>Z 01.01</w:t>
            </w:r>
            <w:r w:rsidRPr="00D43D39">
              <w:rPr>
                <w:rFonts w:ascii="Times New Roman" w:hAnsi="Times New Roman" w:eastAsia="Cambria" w:cs="Times New Roman"/>
                <w:color w:val="000000" w:themeColor="text1"/>
                <w:spacing w:val="-2"/>
                <w:w w:val="95"/>
                <w:sz w:val="20"/>
                <w:szCs w:val="20"/>
                <w:lang w:val="en-GB"/>
              </w:rPr>
              <w:t xml:space="preserve"> </w:t>
            </w:r>
            <w:r w:rsidRPr="00D43D39" w:rsidR="000A4140">
              <w:rPr>
                <w:rFonts w:ascii="Times New Roman" w:hAnsi="Times New Roman" w:eastAsia="Cambria" w:cs="Times New Roman"/>
                <w:color w:val="000000" w:themeColor="text1"/>
                <w:spacing w:val="-2"/>
                <w:w w:val="95"/>
                <w:sz w:val="20"/>
                <w:szCs w:val="20"/>
                <w:lang w:val="en-GB"/>
              </w:rPr>
              <w:t>(ORG 1)</w:t>
            </w:r>
            <w:r w:rsidRPr="00D43D39">
              <w:rPr>
                <w:rFonts w:ascii="Times New Roman" w:hAnsi="Times New Roman" w:eastAsia="Cambria" w:cs="Times New Roman"/>
                <w:color w:val="000000" w:themeColor="text1"/>
                <w:spacing w:val="-2"/>
                <w:w w:val="95"/>
                <w:sz w:val="20"/>
                <w:szCs w:val="20"/>
                <w:lang w:val="en-GB"/>
              </w:rPr>
              <w:t xml:space="preserve">. Where the </w:t>
            </w:r>
            <w:r w:rsidRPr="00D43D39" w:rsidR="000A4140">
              <w:rPr>
                <w:rFonts w:ascii="Times New Roman" w:hAnsi="Times New Roman" w:eastAsia="Cambria" w:cs="Times New Roman"/>
                <w:color w:val="000000" w:themeColor="text1"/>
                <w:spacing w:val="-2"/>
                <w:w w:val="95"/>
                <w:sz w:val="20"/>
                <w:szCs w:val="20"/>
                <w:lang w:val="en-GB"/>
              </w:rPr>
              <w:t xml:space="preserve">investor </w:t>
            </w:r>
            <w:r w:rsidRPr="00D43D39">
              <w:rPr>
                <w:rFonts w:ascii="Times New Roman" w:hAnsi="Times New Roman" w:eastAsia="Cambria" w:cs="Times New Roman"/>
                <w:color w:val="000000" w:themeColor="text1"/>
                <w:spacing w:val="-2"/>
                <w:w w:val="95"/>
                <w:sz w:val="20"/>
                <w:szCs w:val="20"/>
                <w:lang w:val="en-GB"/>
              </w:rPr>
              <w:t>is not a group entity, the code shall be:</w:t>
            </w:r>
          </w:p>
          <w:p w:rsidRPr="00D43D39" w:rsidR="00E84B8F" w:rsidP="00E84B8F" w:rsidRDefault="00E84B8F" w14:paraId="3EE46D21" w14:textId="77777777">
            <w:pPr>
              <w:pStyle w:val="TableParagraph"/>
              <w:numPr>
                <w:ilvl w:val="0"/>
                <w:numId w:val="64"/>
              </w:numPr>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for institutions with a Legal Entity Identifier (LEI), the 20-digit alphanumeric LEI code;</w:t>
            </w:r>
          </w:p>
          <w:p w:rsidRPr="00D43D39" w:rsidR="00E84B8F" w:rsidP="00E84B8F" w:rsidRDefault="00E84B8F" w14:paraId="5C3B6C2B" w14:textId="77777777">
            <w:pPr>
              <w:pStyle w:val="TableParagraph"/>
              <w:numPr>
                <w:ilvl w:val="0"/>
                <w:numId w:val="64"/>
              </w:numPr>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if not available, a code under a uniform codification applicable in the Union, or if not available a national code.</w:t>
            </w:r>
          </w:p>
          <w:p w:rsidRPr="00D43D39" w:rsidR="00E84B8F" w:rsidP="00E84B8F" w:rsidRDefault="00E84B8F" w14:paraId="34FB8516" w14:textId="6EB19E03">
            <w:pPr>
              <w:pStyle w:val="TableParagraph"/>
              <w:spacing w:before="108"/>
              <w:ind w:left="85"/>
              <w:rPr>
                <w:rFonts w:ascii="Times New Roman" w:hAnsi="Times New Roman"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For both cases, the code shall be unique and used consistently across the templates.</w:t>
            </w:r>
          </w:p>
        </w:tc>
      </w:tr>
      <w:tr w:rsidRPr="00D43D39" w:rsidR="00E84B8F" w:rsidTr="001C34E8" w14:paraId="3A5168A4" w14:textId="77777777">
        <w:tc>
          <w:tcPr>
            <w:tcW w:w="0" w:type="auto"/>
            <w:tcBorders>
              <w:top w:val="single" w:color="1A171C" w:sz="4" w:space="0"/>
              <w:left w:val="nil"/>
              <w:bottom w:val="single" w:color="1A171C" w:sz="4" w:space="0"/>
              <w:right w:val="single" w:color="1A171C" w:sz="4" w:space="0"/>
            </w:tcBorders>
          </w:tcPr>
          <w:p w:rsidRPr="00D43D39" w:rsidR="00E84B8F" w:rsidP="00AA651B" w:rsidRDefault="00E84B8F" w14:paraId="2A150CE3" w14:textId="2FF20DB7">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w:t>
            </w:r>
            <w:r w:rsidRPr="00D43D39" w:rsidR="00442FC8">
              <w:rPr>
                <w:rFonts w:ascii="Times New Roman" w:hAnsi="Times New Roman" w:cs="Times New Roman"/>
                <w:color w:val="000000" w:themeColor="text1"/>
                <w:spacing w:val="-2"/>
                <w:sz w:val="20"/>
                <w:szCs w:val="20"/>
                <w:lang w:val="en-GB"/>
              </w:rPr>
              <w:t>30</w:t>
            </w:r>
          </w:p>
        </w:tc>
        <w:tc>
          <w:tcPr>
            <w:tcW w:w="0" w:type="auto"/>
            <w:tcBorders>
              <w:top w:val="single" w:color="1A171C" w:sz="4" w:space="0"/>
              <w:left w:val="single" w:color="1A171C" w:sz="4" w:space="0"/>
              <w:bottom w:val="single" w:color="1A171C" w:sz="4" w:space="0"/>
              <w:right w:val="nil"/>
            </w:tcBorders>
            <w:vAlign w:val="center"/>
          </w:tcPr>
          <w:p w:rsidRPr="00D43D39" w:rsidR="00E84B8F" w:rsidP="00E84B8F" w:rsidRDefault="00E84B8F" w14:paraId="66CE9F0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 of code</w:t>
            </w:r>
          </w:p>
          <w:p w:rsidR="00161C05" w:rsidP="00161C05" w:rsidRDefault="00E84B8F" w14:paraId="1DFEF554" w14:textId="14B2601D">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Where the </w:t>
            </w:r>
            <w:r w:rsidRPr="00D43D39" w:rsidR="000A4140">
              <w:rPr>
                <w:rFonts w:ascii="Times New Roman" w:hAnsi="Times New Roman" w:eastAsia="Cambria" w:cs="Times New Roman"/>
                <w:color w:val="000000" w:themeColor="text1"/>
                <w:spacing w:val="-2"/>
                <w:w w:val="95"/>
                <w:sz w:val="20"/>
                <w:szCs w:val="20"/>
                <w:lang w:val="en-GB"/>
              </w:rPr>
              <w:t xml:space="preserve">investor </w:t>
            </w:r>
            <w:r w:rsidRPr="00D43D39">
              <w:rPr>
                <w:rFonts w:ascii="Times New Roman" w:hAnsi="Times New Roman" w:eastAsia="Cambria" w:cs="Times New Roman"/>
                <w:color w:val="000000" w:themeColor="text1"/>
                <w:spacing w:val="-2"/>
                <w:w w:val="95"/>
                <w:sz w:val="20"/>
                <w:szCs w:val="20"/>
                <w:lang w:val="en-GB"/>
              </w:rPr>
              <w:t xml:space="preserve">is a group entity, the code shall be the same as reported in template </w:t>
            </w:r>
            <w:r w:rsidRPr="00D43D39" w:rsidR="000A4140">
              <w:rPr>
                <w:rFonts w:ascii="Times New Roman" w:hAnsi="Times New Roman" w:eastAsia="Cambria" w:cs="Times New Roman"/>
                <w:color w:val="000000" w:themeColor="text1"/>
                <w:spacing w:val="-2"/>
                <w:w w:val="95"/>
                <w:sz w:val="20"/>
                <w:szCs w:val="20"/>
                <w:lang w:val="en-GB"/>
              </w:rPr>
              <w:t>Z 01.01</w:t>
            </w:r>
            <w:r w:rsidRPr="00D43D39">
              <w:rPr>
                <w:rFonts w:ascii="Times New Roman" w:hAnsi="Times New Roman" w:eastAsia="Cambria" w:cs="Times New Roman"/>
                <w:color w:val="000000" w:themeColor="text1"/>
                <w:spacing w:val="-2"/>
                <w:w w:val="95"/>
                <w:sz w:val="20"/>
                <w:szCs w:val="20"/>
                <w:lang w:val="en-GB"/>
              </w:rPr>
              <w:t xml:space="preserve"> </w:t>
            </w:r>
            <w:r w:rsidRPr="00D43D39" w:rsidR="000A4140">
              <w:rPr>
                <w:rFonts w:ascii="Times New Roman" w:hAnsi="Times New Roman" w:eastAsia="Cambria" w:cs="Times New Roman"/>
                <w:color w:val="000000" w:themeColor="text1"/>
                <w:spacing w:val="-2"/>
                <w:w w:val="95"/>
                <w:sz w:val="20"/>
                <w:szCs w:val="20"/>
                <w:lang w:val="en-GB"/>
              </w:rPr>
              <w:t>(ORG 1)</w:t>
            </w:r>
            <w:r w:rsidRPr="00D43D39">
              <w:rPr>
                <w:rFonts w:ascii="Times New Roman" w:hAnsi="Times New Roman" w:eastAsia="Cambria" w:cs="Times New Roman"/>
                <w:color w:val="000000" w:themeColor="text1"/>
                <w:spacing w:val="-2"/>
                <w:w w:val="95"/>
                <w:sz w:val="20"/>
                <w:szCs w:val="20"/>
                <w:lang w:val="en-GB"/>
              </w:rPr>
              <w:t xml:space="preserve">. Where the </w:t>
            </w:r>
            <w:r w:rsidRPr="00D43D39" w:rsidR="0042326D">
              <w:rPr>
                <w:rFonts w:ascii="Times New Roman" w:hAnsi="Times New Roman" w:eastAsia="Cambria" w:cs="Times New Roman"/>
                <w:color w:val="000000" w:themeColor="text1"/>
                <w:spacing w:val="-2"/>
                <w:w w:val="95"/>
                <w:sz w:val="20"/>
                <w:szCs w:val="20"/>
                <w:lang w:val="en-GB"/>
              </w:rPr>
              <w:t xml:space="preserve">investor </w:t>
            </w:r>
            <w:r w:rsidRPr="00D43D39">
              <w:rPr>
                <w:rFonts w:ascii="Times New Roman" w:hAnsi="Times New Roman" w:eastAsia="Cambria" w:cs="Times New Roman"/>
                <w:color w:val="000000" w:themeColor="text1"/>
                <w:spacing w:val="-2"/>
                <w:w w:val="95"/>
                <w:sz w:val="20"/>
                <w:szCs w:val="20"/>
                <w:lang w:val="en-GB"/>
              </w:rPr>
              <w:t>is not a group entity, the type of code shall be</w:t>
            </w:r>
            <w:r w:rsidR="00161C05">
              <w:rPr>
                <w:rFonts w:ascii="Times New Roman" w:hAnsi="Times New Roman" w:eastAsia="Cambria" w:cs="Times New Roman"/>
                <w:color w:val="000000" w:themeColor="text1"/>
                <w:spacing w:val="-2"/>
                <w:w w:val="95"/>
                <w:sz w:val="20"/>
                <w:szCs w:val="20"/>
                <w:lang w:val="en-GB"/>
              </w:rPr>
              <w:t xml:space="preserve"> preferably the LEI code.</w:t>
            </w:r>
          </w:p>
          <w:p w:rsidRPr="00161C05" w:rsidR="00161C05" w:rsidP="005F5507" w:rsidRDefault="00987EB3" w14:paraId="79EAFF35" w14:textId="3E601432">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When the LEI is not available, report an MFI ID</w:t>
            </w:r>
            <w:r w:rsidRPr="00161C05" w:rsidR="00161C05">
              <w:rPr>
                <w:rFonts w:ascii="Times New Roman" w:hAnsi="Times New Roman" w:eastAsia="Cambria" w:cs="Times New Roman"/>
                <w:color w:val="000000" w:themeColor="text1"/>
                <w:spacing w:val="-2"/>
                <w:w w:val="95"/>
                <w:sz w:val="20"/>
                <w:szCs w:val="20"/>
                <w:lang w:val="en-GB"/>
              </w:rPr>
              <w:t xml:space="preserve">, or if not available </w:t>
            </w:r>
            <w:r w:rsidR="00285FF6">
              <w:rPr>
                <w:rFonts w:ascii="Times New Roman" w:hAnsi="Times New Roman" w:eastAsia="Cambria" w:cs="Times New Roman"/>
                <w:color w:val="000000" w:themeColor="text1"/>
                <w:spacing w:val="-2"/>
                <w:w w:val="95"/>
                <w:sz w:val="20"/>
                <w:szCs w:val="20"/>
                <w:lang w:val="en-GB"/>
              </w:rPr>
              <w:t xml:space="preserve">report </w:t>
            </w:r>
            <w:r w:rsidRPr="00161C05" w:rsidR="00161C05">
              <w:rPr>
                <w:rFonts w:ascii="Times New Roman" w:hAnsi="Times New Roman" w:eastAsia="Cambria" w:cs="Times New Roman"/>
                <w:color w:val="000000" w:themeColor="text1"/>
                <w:spacing w:val="-2"/>
                <w:w w:val="95"/>
                <w:sz w:val="20"/>
                <w:szCs w:val="20"/>
                <w:lang w:val="en-GB"/>
              </w:rPr>
              <w:t>a national code.</w:t>
            </w:r>
          </w:p>
          <w:p w:rsidRPr="00D43D39" w:rsidR="00E84B8F" w:rsidP="005F5507" w:rsidRDefault="721B9652" w14:paraId="4A4E564B" w14:textId="2993A42F">
            <w:pPr>
              <w:pStyle w:val="TableParagraph"/>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 xml:space="preserve">For the identification of entities or </w:t>
            </w:r>
            <w:r w:rsidRPr="00D43D39" w:rsidR="605DDEEA">
              <w:rPr>
                <w:rFonts w:ascii="Times New Roman" w:hAnsi="Times New Roman" w:eastAsia="Cambria" w:cs="Times New Roman"/>
                <w:color w:val="000000" w:themeColor="text1"/>
                <w:sz w:val="20"/>
                <w:szCs w:val="20"/>
                <w:lang w:val="en-GB"/>
              </w:rPr>
              <w:t>investors</w:t>
            </w:r>
            <w:r w:rsidRPr="00D43D39">
              <w:rPr>
                <w:rFonts w:ascii="Times New Roman" w:hAnsi="Times New Roman" w:eastAsia="Cambria" w:cs="Times New Roman"/>
                <w:color w:val="000000" w:themeColor="text1"/>
                <w:sz w:val="20"/>
                <w:szCs w:val="20"/>
                <w:lang w:val="en-GB"/>
              </w:rPr>
              <w:t>, the pair of Code and Type shall be used consistently across the templates.</w:t>
            </w:r>
          </w:p>
        </w:tc>
      </w:tr>
      <w:tr w:rsidRPr="00D43D39" w:rsidR="0042326D" w:rsidTr="15FAC80C" w14:paraId="30D18BC6" w14:textId="77777777">
        <w:tc>
          <w:tcPr>
            <w:tcW w:w="0" w:type="auto"/>
            <w:tcBorders>
              <w:top w:val="single" w:color="1A171C" w:sz="4" w:space="0"/>
              <w:left w:val="nil"/>
              <w:bottom w:val="single" w:color="1A171C" w:sz="4" w:space="0"/>
              <w:right w:val="single" w:color="1A171C" w:sz="4" w:space="0"/>
            </w:tcBorders>
          </w:tcPr>
          <w:p w:rsidRPr="00D43D39" w:rsidR="0042326D" w:rsidP="007A76B6" w:rsidRDefault="00442FC8" w14:paraId="403344AC" w14:textId="516BC6A9">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0040</w:t>
            </w:r>
            <w:r w:rsidRPr="00D43D39" w:rsidR="0042326D">
              <w:rPr>
                <w:rFonts w:ascii="Times New Roman" w:hAnsi="Times New Roman" w:cs="Times New Roman"/>
                <w:color w:val="000000" w:themeColor="text1"/>
                <w:spacing w:val="-2"/>
                <w:sz w:val="20"/>
                <w:szCs w:val="20"/>
                <w:lang w:val="en-GB"/>
              </w:rPr>
              <w:t>-0</w:t>
            </w:r>
            <w:r w:rsidRPr="00D43D39" w:rsidR="00E32A57">
              <w:rPr>
                <w:rFonts w:ascii="Times New Roman" w:hAnsi="Times New Roman" w:cs="Times New Roman"/>
                <w:color w:val="000000" w:themeColor="text1"/>
                <w:spacing w:val="-2"/>
                <w:sz w:val="20"/>
                <w:szCs w:val="20"/>
                <w:lang w:val="en-GB"/>
              </w:rPr>
              <w:t>7</w:t>
            </w:r>
            <w:r w:rsidRPr="00D43D39">
              <w:rPr>
                <w:rFonts w:ascii="Times New Roman" w:hAnsi="Times New Roman" w:cs="Times New Roman"/>
                <w:color w:val="000000" w:themeColor="text1"/>
                <w:spacing w:val="-2"/>
                <w:sz w:val="20"/>
                <w:szCs w:val="20"/>
                <w:lang w:val="en-GB"/>
              </w:rPr>
              <w:t>0</w:t>
            </w:r>
          </w:p>
        </w:tc>
        <w:tc>
          <w:tcPr>
            <w:tcW w:w="0" w:type="auto"/>
            <w:tcBorders>
              <w:top w:val="single" w:color="1A171C" w:sz="4" w:space="0"/>
              <w:left w:val="single" w:color="1A171C" w:sz="4" w:space="0"/>
              <w:bottom w:val="single" w:color="1A171C" w:sz="4" w:space="0"/>
              <w:right w:val="nil"/>
            </w:tcBorders>
            <w:vAlign w:val="center"/>
          </w:tcPr>
          <w:p w:rsidRPr="00D43D39" w:rsidR="0042326D" w:rsidP="0042326D" w:rsidRDefault="0042326D" w14:paraId="09DE50E1" w14:textId="0F9E2504">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Invest</w:t>
            </w:r>
            <w:r w:rsidRPr="00D43D39" w:rsidR="00442FC8">
              <w:rPr>
                <w:rFonts w:ascii="Times New Roman" w:hAnsi="Times New Roman" w:cs="Times New Roman"/>
                <w:b/>
                <w:bCs/>
                <w:color w:val="000000" w:themeColor="text1"/>
                <w:sz w:val="20"/>
                <w:szCs w:val="20"/>
                <w:lang w:val="en-GB"/>
              </w:rPr>
              <w:t>ee</w:t>
            </w:r>
          </w:p>
        </w:tc>
      </w:tr>
      <w:tr w:rsidRPr="00D43D39" w:rsidR="0042326D" w:rsidTr="15FAC80C" w14:paraId="272CB3E4" w14:textId="77777777">
        <w:tc>
          <w:tcPr>
            <w:tcW w:w="0" w:type="auto"/>
            <w:tcBorders>
              <w:top w:val="single" w:color="1A171C" w:sz="4" w:space="0"/>
              <w:left w:val="nil"/>
              <w:bottom w:val="single" w:color="1A171C" w:sz="4" w:space="0"/>
              <w:right w:val="single" w:color="1A171C" w:sz="4" w:space="0"/>
            </w:tcBorders>
          </w:tcPr>
          <w:p w:rsidRPr="00D43D39" w:rsidR="0042326D" w:rsidP="007A76B6" w:rsidRDefault="0042326D" w14:paraId="71EC0212" w14:textId="2EB121FA">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w:t>
            </w:r>
            <w:r w:rsidRPr="00D43D39" w:rsidR="00E32A57">
              <w:rPr>
                <w:rFonts w:ascii="Times New Roman" w:hAnsi="Times New Roman" w:cs="Times New Roman"/>
                <w:color w:val="000000" w:themeColor="text1"/>
                <w:spacing w:val="-2"/>
                <w:sz w:val="20"/>
                <w:szCs w:val="20"/>
                <w:lang w:val="en-GB"/>
              </w:rPr>
              <w:t>4</w:t>
            </w:r>
            <w:r w:rsidRPr="00D43D39">
              <w:rPr>
                <w:rFonts w:ascii="Times New Roman" w:hAnsi="Times New Roman" w:cs="Times New Roman"/>
                <w:color w:val="000000" w:themeColor="text1"/>
                <w:spacing w:val="-2"/>
                <w:sz w:val="20"/>
                <w:szCs w:val="20"/>
                <w:lang w:val="en-GB"/>
              </w:rPr>
              <w:t>0</w:t>
            </w:r>
          </w:p>
        </w:tc>
        <w:tc>
          <w:tcPr>
            <w:tcW w:w="0" w:type="auto"/>
            <w:tcBorders>
              <w:top w:val="single" w:color="1A171C" w:sz="4" w:space="0"/>
              <w:left w:val="single" w:color="1A171C" w:sz="4" w:space="0"/>
              <w:bottom w:val="single" w:color="1A171C" w:sz="4" w:space="0"/>
              <w:right w:val="nil"/>
            </w:tcBorders>
            <w:vAlign w:val="center"/>
          </w:tcPr>
          <w:p w:rsidRPr="00D43D39" w:rsidR="0042326D" w:rsidP="007A76B6" w:rsidRDefault="0042326D" w14:paraId="06184FE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Name </w:t>
            </w:r>
          </w:p>
          <w:p w:rsidRPr="00D43D39" w:rsidR="0042326D" w:rsidP="00AA651B" w:rsidRDefault="0042326D" w14:paraId="6DBDD8A2" w14:textId="77897097">
            <w:pPr>
              <w:pStyle w:val="TableParagraph"/>
              <w:spacing w:before="108"/>
              <w:ind w:left="85"/>
              <w:jc w:val="both"/>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The full name or designation of the Invest</w:t>
            </w:r>
            <w:r w:rsidRPr="00D43D39" w:rsidR="00442FC8">
              <w:rPr>
                <w:rFonts w:ascii="Times New Roman" w:hAnsi="Times New Roman" w:cs="Times New Roman"/>
                <w:bCs/>
                <w:color w:val="000000" w:themeColor="text1"/>
                <w:sz w:val="20"/>
                <w:szCs w:val="20"/>
                <w:lang w:val="en-GB"/>
              </w:rPr>
              <w:t>ee</w:t>
            </w:r>
            <w:r w:rsidRPr="00D43D39">
              <w:rPr>
                <w:rFonts w:ascii="Times New Roman" w:hAnsi="Times New Roman" w:cs="Times New Roman"/>
                <w:bCs/>
                <w:color w:val="000000" w:themeColor="text1"/>
                <w:sz w:val="20"/>
                <w:szCs w:val="20"/>
                <w:lang w:val="en-GB"/>
              </w:rPr>
              <w:t>.</w:t>
            </w:r>
          </w:p>
        </w:tc>
      </w:tr>
      <w:tr w:rsidRPr="00D43D39" w:rsidR="0042326D" w:rsidTr="15FAC80C" w14:paraId="6AD41832" w14:textId="77777777">
        <w:tc>
          <w:tcPr>
            <w:tcW w:w="0" w:type="auto"/>
            <w:tcBorders>
              <w:top w:val="single" w:color="1A171C" w:sz="4" w:space="0"/>
              <w:left w:val="nil"/>
              <w:bottom w:val="single" w:color="1A171C" w:sz="4" w:space="0"/>
              <w:right w:val="single" w:color="1A171C" w:sz="4" w:space="0"/>
            </w:tcBorders>
          </w:tcPr>
          <w:p w:rsidRPr="00D43D39" w:rsidR="0042326D" w:rsidP="007A76B6" w:rsidRDefault="0042326D" w14:paraId="78FE012D" w14:textId="5C7152D4">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w:t>
            </w:r>
            <w:r w:rsidRPr="00D43D39" w:rsidR="00E32A57">
              <w:rPr>
                <w:rFonts w:ascii="Times New Roman" w:hAnsi="Times New Roman" w:cs="Times New Roman"/>
                <w:color w:val="000000" w:themeColor="text1"/>
                <w:spacing w:val="-2"/>
                <w:sz w:val="20"/>
                <w:szCs w:val="20"/>
                <w:lang w:val="en-GB"/>
              </w:rPr>
              <w:t>5</w:t>
            </w:r>
            <w:r w:rsidRPr="00D43D39">
              <w:rPr>
                <w:rFonts w:ascii="Times New Roman" w:hAnsi="Times New Roman" w:cs="Times New Roman"/>
                <w:color w:val="000000" w:themeColor="text1"/>
                <w:spacing w:val="-2"/>
                <w:sz w:val="20"/>
                <w:szCs w:val="20"/>
                <w:lang w:val="en-GB"/>
              </w:rPr>
              <w:t>0</w:t>
            </w:r>
          </w:p>
        </w:tc>
        <w:tc>
          <w:tcPr>
            <w:tcW w:w="0" w:type="auto"/>
            <w:tcBorders>
              <w:top w:val="single" w:color="1A171C" w:sz="4" w:space="0"/>
              <w:left w:val="single" w:color="1A171C" w:sz="4" w:space="0"/>
              <w:bottom w:val="single" w:color="1A171C" w:sz="4" w:space="0"/>
              <w:right w:val="nil"/>
            </w:tcBorders>
            <w:vAlign w:val="center"/>
          </w:tcPr>
          <w:p w:rsidRPr="00D43D39" w:rsidR="0042326D" w:rsidP="007A76B6" w:rsidRDefault="0042326D" w14:paraId="438002E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Code </w:t>
            </w:r>
          </w:p>
          <w:p w:rsidRPr="00D43D39" w:rsidR="0042326D" w:rsidP="0042326D" w:rsidRDefault="0042326D" w14:paraId="20FC0C98" w14:textId="77777777">
            <w:pPr>
              <w:pStyle w:val="TableParagraph"/>
              <w:spacing w:before="108"/>
              <w:ind w:left="85"/>
              <w:jc w:val="both"/>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Unique identifier of the legal entity or investor referred in column 0010.</w:t>
            </w:r>
          </w:p>
          <w:p w:rsidRPr="00D43D39" w:rsidR="0042326D" w:rsidP="0042326D" w:rsidRDefault="0042326D" w14:paraId="007BF14C" w14:textId="6D7118D8">
            <w:pPr>
              <w:pStyle w:val="TableParagraph"/>
              <w:spacing w:before="108"/>
              <w:ind w:left="85"/>
              <w:jc w:val="both"/>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 xml:space="preserve">Where the </w:t>
            </w:r>
            <w:r w:rsidRPr="00D43D39" w:rsidR="00442FC8">
              <w:rPr>
                <w:rFonts w:ascii="Times New Roman" w:hAnsi="Times New Roman" w:cs="Times New Roman"/>
                <w:bCs/>
                <w:color w:val="000000" w:themeColor="text1"/>
                <w:sz w:val="20"/>
                <w:szCs w:val="20"/>
                <w:lang w:val="en-GB"/>
              </w:rPr>
              <w:t xml:space="preserve">investee </w:t>
            </w:r>
            <w:r w:rsidRPr="00D43D39">
              <w:rPr>
                <w:rFonts w:ascii="Times New Roman" w:hAnsi="Times New Roman" w:cs="Times New Roman"/>
                <w:bCs/>
                <w:color w:val="000000" w:themeColor="text1"/>
                <w:sz w:val="20"/>
                <w:szCs w:val="20"/>
                <w:lang w:val="en-GB"/>
              </w:rPr>
              <w:t xml:space="preserve">is a group entity, the code shall be the same as reported in template Z 01.01 (ORG 1). Where the </w:t>
            </w:r>
            <w:r w:rsidRPr="00D43D39" w:rsidR="00442FC8">
              <w:rPr>
                <w:rFonts w:ascii="Times New Roman" w:hAnsi="Times New Roman" w:cs="Times New Roman"/>
                <w:bCs/>
                <w:color w:val="000000" w:themeColor="text1"/>
                <w:sz w:val="20"/>
                <w:szCs w:val="20"/>
                <w:lang w:val="en-GB"/>
              </w:rPr>
              <w:t xml:space="preserve">investee </w:t>
            </w:r>
            <w:r w:rsidRPr="00D43D39">
              <w:rPr>
                <w:rFonts w:ascii="Times New Roman" w:hAnsi="Times New Roman" w:cs="Times New Roman"/>
                <w:bCs/>
                <w:color w:val="000000" w:themeColor="text1"/>
                <w:sz w:val="20"/>
                <w:szCs w:val="20"/>
                <w:lang w:val="en-GB"/>
              </w:rPr>
              <w:t>is not a group entity, the code shall be:</w:t>
            </w:r>
          </w:p>
          <w:p w:rsidRPr="00D43D39" w:rsidR="0042326D" w:rsidP="007A76B6" w:rsidRDefault="0042326D" w14:paraId="2DE4AE6D" w14:textId="77777777">
            <w:pPr>
              <w:pStyle w:val="TableParagraph"/>
              <w:numPr>
                <w:ilvl w:val="0"/>
                <w:numId w:val="64"/>
              </w:numPr>
              <w:spacing w:before="108"/>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for institutions with a Legal Entity Identifier (LEI), the 20-digit alphanumeric LEI code;</w:t>
            </w:r>
          </w:p>
          <w:p w:rsidRPr="00D43D39" w:rsidR="0042326D" w:rsidP="007A76B6" w:rsidRDefault="0042326D" w14:paraId="39045FD2" w14:textId="77777777">
            <w:pPr>
              <w:pStyle w:val="TableParagraph"/>
              <w:numPr>
                <w:ilvl w:val="0"/>
                <w:numId w:val="64"/>
              </w:numPr>
              <w:spacing w:before="108"/>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if not available, a code under a uniform codification applicable in the Union, or if not available a national code.</w:t>
            </w:r>
          </w:p>
          <w:p w:rsidRPr="00D43D39" w:rsidR="0042326D" w:rsidP="0042326D" w:rsidRDefault="0042326D" w14:paraId="77DCC08F"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Cs/>
                <w:color w:val="000000" w:themeColor="text1"/>
                <w:sz w:val="20"/>
                <w:szCs w:val="20"/>
                <w:lang w:val="en-GB"/>
              </w:rPr>
              <w:t>For both cases, the code shall be unique and used consistently across the templates.</w:t>
            </w:r>
          </w:p>
        </w:tc>
      </w:tr>
      <w:tr w:rsidRPr="00D43D39" w:rsidR="0042326D" w:rsidTr="15FAC80C" w14:paraId="3FB4D85A" w14:textId="77777777">
        <w:tc>
          <w:tcPr>
            <w:tcW w:w="0" w:type="auto"/>
            <w:tcBorders>
              <w:top w:val="single" w:color="1A171C" w:sz="4" w:space="0"/>
              <w:left w:val="nil"/>
              <w:bottom w:val="single" w:color="1A171C" w:sz="4" w:space="0"/>
              <w:right w:val="single" w:color="1A171C" w:sz="4" w:space="0"/>
            </w:tcBorders>
          </w:tcPr>
          <w:p w:rsidRPr="00D43D39" w:rsidR="0042326D" w:rsidP="007A76B6" w:rsidRDefault="0042326D" w14:paraId="65B125E1" w14:textId="02837526">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w:t>
            </w:r>
            <w:r w:rsidRPr="00D43D39" w:rsidR="00E32A57">
              <w:rPr>
                <w:rFonts w:ascii="Times New Roman" w:hAnsi="Times New Roman" w:cs="Times New Roman"/>
                <w:color w:val="000000" w:themeColor="text1"/>
                <w:spacing w:val="-2"/>
                <w:sz w:val="20"/>
                <w:szCs w:val="20"/>
                <w:lang w:val="en-GB"/>
              </w:rPr>
              <w:t>60</w:t>
            </w:r>
          </w:p>
        </w:tc>
        <w:tc>
          <w:tcPr>
            <w:tcW w:w="0" w:type="auto"/>
            <w:tcBorders>
              <w:top w:val="single" w:color="1A171C" w:sz="4" w:space="0"/>
              <w:left w:val="single" w:color="1A171C" w:sz="4" w:space="0"/>
              <w:bottom w:val="single" w:color="1A171C" w:sz="4" w:space="0"/>
              <w:right w:val="nil"/>
            </w:tcBorders>
            <w:vAlign w:val="center"/>
          </w:tcPr>
          <w:p w:rsidRPr="00D43D39" w:rsidR="0042326D" w:rsidP="007A76B6" w:rsidRDefault="0042326D" w14:paraId="5807225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 of code</w:t>
            </w:r>
          </w:p>
          <w:p w:rsidR="00161C05" w:rsidP="00161C05" w:rsidRDefault="0042326D" w14:paraId="4EBA58EE" w14:textId="77777777">
            <w:pPr>
              <w:pStyle w:val="TableParagraph"/>
              <w:spacing w:before="108"/>
              <w:ind w:left="85"/>
              <w:jc w:val="both"/>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 xml:space="preserve">Where the </w:t>
            </w:r>
            <w:r w:rsidRPr="00D43D39" w:rsidR="00442FC8">
              <w:rPr>
                <w:rFonts w:ascii="Times New Roman" w:hAnsi="Times New Roman" w:cs="Times New Roman"/>
                <w:bCs/>
                <w:color w:val="000000" w:themeColor="text1"/>
                <w:sz w:val="20"/>
                <w:szCs w:val="20"/>
                <w:lang w:val="en-GB"/>
              </w:rPr>
              <w:t xml:space="preserve">investee </w:t>
            </w:r>
            <w:r w:rsidRPr="00D43D39">
              <w:rPr>
                <w:rFonts w:ascii="Times New Roman" w:hAnsi="Times New Roman" w:cs="Times New Roman"/>
                <w:bCs/>
                <w:color w:val="000000" w:themeColor="text1"/>
                <w:sz w:val="20"/>
                <w:szCs w:val="20"/>
                <w:lang w:val="en-GB"/>
              </w:rPr>
              <w:t xml:space="preserve">is a group entity, the code shall be the same as reported in template Z 01.01 (ORG 1). </w:t>
            </w:r>
          </w:p>
          <w:p w:rsidR="00161C05" w:rsidP="005F5507" w:rsidRDefault="0042326D" w14:paraId="596E1195" w14:textId="60291B5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Cs/>
                <w:color w:val="000000" w:themeColor="text1"/>
                <w:sz w:val="20"/>
                <w:szCs w:val="20"/>
                <w:lang w:val="en-GB"/>
              </w:rPr>
              <w:t xml:space="preserve">Where the </w:t>
            </w:r>
            <w:r w:rsidRPr="00D43D39" w:rsidR="00442FC8">
              <w:rPr>
                <w:rFonts w:ascii="Times New Roman" w:hAnsi="Times New Roman" w:cs="Times New Roman"/>
                <w:bCs/>
                <w:color w:val="000000" w:themeColor="text1"/>
                <w:sz w:val="20"/>
                <w:szCs w:val="20"/>
                <w:lang w:val="en-GB"/>
              </w:rPr>
              <w:t xml:space="preserve">investee </w:t>
            </w:r>
            <w:r w:rsidRPr="00D43D39">
              <w:rPr>
                <w:rFonts w:ascii="Times New Roman" w:hAnsi="Times New Roman" w:cs="Times New Roman"/>
                <w:bCs/>
                <w:color w:val="000000" w:themeColor="text1"/>
                <w:sz w:val="20"/>
                <w:szCs w:val="20"/>
                <w:lang w:val="en-GB"/>
              </w:rPr>
              <w:t>is not a group entity, the type of code shall be</w:t>
            </w:r>
            <w:r w:rsidR="00161C05">
              <w:rPr>
                <w:rFonts w:ascii="Times New Roman" w:hAnsi="Times New Roman" w:eastAsia="Cambria" w:cs="Times New Roman"/>
                <w:color w:val="000000" w:themeColor="text1"/>
                <w:spacing w:val="-2"/>
                <w:w w:val="95"/>
                <w:sz w:val="20"/>
                <w:szCs w:val="20"/>
                <w:lang w:val="en-GB"/>
              </w:rPr>
              <w:t xml:space="preserve"> preferably the LEI code.</w:t>
            </w:r>
          </w:p>
          <w:p w:rsidR="00161C05" w:rsidP="005F5507" w:rsidRDefault="00161C05" w14:paraId="5EB148EF" w14:textId="15F891EE">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161C05">
              <w:rPr>
                <w:rFonts w:ascii="Times New Roman" w:hAnsi="Times New Roman" w:eastAsia="Cambria" w:cs="Times New Roman"/>
                <w:color w:val="000000" w:themeColor="text1"/>
                <w:spacing w:val="-2"/>
                <w:w w:val="95"/>
                <w:sz w:val="20"/>
                <w:szCs w:val="20"/>
                <w:lang w:val="en-GB"/>
              </w:rPr>
              <w:t xml:space="preserve">, or if not available </w:t>
            </w:r>
            <w:r w:rsidR="00285FF6">
              <w:rPr>
                <w:rFonts w:ascii="Times New Roman" w:hAnsi="Times New Roman" w:eastAsia="Cambria" w:cs="Times New Roman"/>
                <w:color w:val="000000" w:themeColor="text1"/>
                <w:spacing w:val="-2"/>
                <w:w w:val="95"/>
                <w:sz w:val="20"/>
                <w:szCs w:val="20"/>
                <w:lang w:val="en-GB"/>
              </w:rPr>
              <w:t xml:space="preserve">report </w:t>
            </w:r>
            <w:r w:rsidRPr="00161C05">
              <w:rPr>
                <w:rFonts w:ascii="Times New Roman" w:hAnsi="Times New Roman" w:eastAsia="Cambria" w:cs="Times New Roman"/>
                <w:color w:val="000000" w:themeColor="text1"/>
                <w:spacing w:val="-2"/>
                <w:w w:val="95"/>
                <w:sz w:val="20"/>
                <w:szCs w:val="20"/>
                <w:lang w:val="en-GB"/>
              </w:rPr>
              <w:t>a national code</w:t>
            </w:r>
            <w:r>
              <w:rPr>
                <w:rFonts w:ascii="Times New Roman" w:hAnsi="Times New Roman" w:eastAsia="Cambria" w:cs="Times New Roman"/>
                <w:color w:val="000000" w:themeColor="text1"/>
                <w:spacing w:val="-2"/>
                <w:w w:val="95"/>
                <w:sz w:val="20"/>
                <w:szCs w:val="20"/>
                <w:lang w:val="en-GB"/>
              </w:rPr>
              <w:t>.</w:t>
            </w:r>
          </w:p>
          <w:p w:rsidRPr="00D43D39" w:rsidR="0042326D" w:rsidP="001C34E8" w:rsidRDefault="605DDEEA" w14:paraId="46FBA9FB" w14:textId="2183F741">
            <w:pPr>
              <w:pStyle w:val="TableParagraph"/>
              <w:spacing w:before="108"/>
              <w:ind w:left="85"/>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z w:val="20"/>
                <w:szCs w:val="20"/>
                <w:lang w:val="en-GB"/>
              </w:rPr>
              <w:t xml:space="preserve">For the identification of entities or </w:t>
            </w:r>
            <w:r w:rsidRPr="00D43D39" w:rsidR="1D5B992B">
              <w:rPr>
                <w:rFonts w:ascii="Times New Roman" w:hAnsi="Times New Roman" w:cs="Times New Roman"/>
                <w:color w:val="000000" w:themeColor="text1"/>
                <w:sz w:val="20"/>
                <w:szCs w:val="20"/>
                <w:lang w:val="en-GB"/>
              </w:rPr>
              <w:t>investees</w:t>
            </w:r>
            <w:r w:rsidRPr="00D43D39">
              <w:rPr>
                <w:rFonts w:ascii="Times New Roman" w:hAnsi="Times New Roman" w:cs="Times New Roman"/>
                <w:color w:val="000000" w:themeColor="text1"/>
                <w:sz w:val="20"/>
                <w:szCs w:val="20"/>
                <w:lang w:val="en-GB"/>
              </w:rPr>
              <w:t>, the pair of Code and Type shall be used consistently across the templates.</w:t>
            </w:r>
          </w:p>
        </w:tc>
      </w:tr>
      <w:tr w:rsidRPr="00D43D39" w:rsidR="00E32A57" w:rsidTr="15FAC80C" w14:paraId="590995A7" w14:textId="77777777">
        <w:tc>
          <w:tcPr>
            <w:tcW w:w="0" w:type="auto"/>
            <w:tcBorders>
              <w:top w:val="single" w:color="1A171C" w:sz="4" w:space="0"/>
              <w:left w:val="nil"/>
              <w:bottom w:val="single" w:color="1A171C" w:sz="4" w:space="0"/>
              <w:right w:val="single" w:color="1A171C" w:sz="4" w:space="0"/>
            </w:tcBorders>
          </w:tcPr>
          <w:p w:rsidRPr="00D43D39" w:rsidR="00E32A57" w:rsidRDefault="00E32A57" w14:paraId="3CEBD98C" w14:textId="66517A20">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0070</w:t>
            </w:r>
          </w:p>
        </w:tc>
        <w:tc>
          <w:tcPr>
            <w:tcW w:w="0" w:type="auto"/>
            <w:tcBorders>
              <w:top w:val="single" w:color="1A171C" w:sz="4" w:space="0"/>
              <w:left w:val="single" w:color="1A171C" w:sz="4" w:space="0"/>
              <w:bottom w:val="single" w:color="1A171C" w:sz="4" w:space="0"/>
              <w:right w:val="nil"/>
            </w:tcBorders>
            <w:vAlign w:val="center"/>
          </w:tcPr>
          <w:p w:rsidRPr="00D43D39" w:rsidR="00E32A57" w:rsidP="00E32A57" w:rsidRDefault="00E32A57" w14:paraId="69421CBC" w14:textId="77777777">
            <w:pPr>
              <w:pStyle w:val="TableParagraph"/>
              <w:spacing w:before="108"/>
              <w:ind w:left="85"/>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International Branch</w:t>
            </w:r>
          </w:p>
          <w:p w:rsidRPr="00D43D39" w:rsidR="00E32A57" w:rsidP="00E32A57" w:rsidRDefault="00E32A57" w14:paraId="28555667" w14:textId="77777777">
            <w:pPr>
              <w:pStyle w:val="TableParagraph"/>
              <w:spacing w:before="108"/>
              <w:ind w:left="85"/>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Report the following abbreviations:</w:t>
            </w:r>
          </w:p>
          <w:p w:rsidRPr="00D43D39" w:rsidR="00E32A57" w:rsidP="00E32A57" w:rsidRDefault="00E32A57" w14:paraId="6CE07BCA" w14:textId="2CE9D956">
            <w:pPr>
              <w:pStyle w:val="TableParagraph"/>
              <w:spacing w:before="108"/>
              <w:ind w:left="85"/>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Y – in the case the Investee is an international branch of the Investor.</w:t>
            </w:r>
          </w:p>
          <w:p w:rsidRPr="00D43D39" w:rsidR="00E32A57" w:rsidP="00E32A57" w:rsidRDefault="00E32A57" w14:paraId="3F05B550" w14:textId="226C681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z w:val="20"/>
                <w:szCs w:val="20"/>
                <w:lang w:val="en-GB"/>
              </w:rPr>
              <w:t>N – in the case of a legal entity.</w:t>
            </w:r>
          </w:p>
        </w:tc>
      </w:tr>
      <w:tr w:rsidRPr="00D43D39" w:rsidR="00F3752D" w:rsidTr="15FAC80C" w14:paraId="0B2E1F4E" w14:textId="77777777">
        <w:tc>
          <w:tcPr>
            <w:tcW w:w="0" w:type="auto"/>
            <w:tcBorders>
              <w:top w:val="single" w:color="1A171C" w:sz="4" w:space="0"/>
              <w:left w:val="nil"/>
              <w:bottom w:val="single" w:color="1A171C" w:sz="4" w:space="0"/>
              <w:right w:val="single" w:color="1A171C" w:sz="4" w:space="0"/>
            </w:tcBorders>
          </w:tcPr>
          <w:p w:rsidRPr="00D43D39" w:rsidR="00F3752D" w:rsidP="00AA651B" w:rsidRDefault="00F3752D" w14:paraId="050056C3" w14:textId="1A82B07B">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00</w:t>
            </w:r>
            <w:r w:rsidRPr="00D43D39" w:rsidR="00E32A57">
              <w:rPr>
                <w:rFonts w:ascii="Times New Roman" w:hAnsi="Times New Roman" w:cs="Times New Roman"/>
                <w:color w:val="000000" w:themeColor="text1"/>
                <w:spacing w:val="-2"/>
                <w:sz w:val="20"/>
                <w:szCs w:val="20"/>
                <w:lang w:val="en-GB"/>
              </w:rPr>
              <w:t>8</w:t>
            </w:r>
            <w:r w:rsidRPr="00D43D39">
              <w:rPr>
                <w:rFonts w:ascii="Times New Roman" w:hAnsi="Times New Roman" w:cs="Times New Roman"/>
                <w:color w:val="000000" w:themeColor="text1"/>
                <w:spacing w:val="-2"/>
                <w:sz w:val="20"/>
                <w:szCs w:val="20"/>
                <w:lang w:val="en-GB"/>
              </w:rPr>
              <w:t>0-0</w:t>
            </w:r>
            <w:r w:rsidRPr="00D43D39" w:rsidR="00E32A57">
              <w:rPr>
                <w:rFonts w:ascii="Times New Roman" w:hAnsi="Times New Roman" w:cs="Times New Roman"/>
                <w:color w:val="000000" w:themeColor="text1"/>
                <w:spacing w:val="-2"/>
                <w:sz w:val="20"/>
                <w:szCs w:val="20"/>
                <w:lang w:val="en-GB"/>
              </w:rPr>
              <w:t>9</w:t>
            </w:r>
            <w:r w:rsidRPr="00D43D39">
              <w:rPr>
                <w:rFonts w:ascii="Times New Roman" w:hAnsi="Times New Roman" w:cs="Times New Roman"/>
                <w:color w:val="000000" w:themeColor="text1"/>
                <w:spacing w:val="-2"/>
                <w:sz w:val="20"/>
                <w:szCs w:val="20"/>
                <w:lang w:val="en-GB"/>
              </w:rPr>
              <w:t>0</w:t>
            </w:r>
          </w:p>
        </w:tc>
        <w:tc>
          <w:tcPr>
            <w:tcW w:w="0" w:type="auto"/>
            <w:tcBorders>
              <w:top w:val="single" w:color="1A171C" w:sz="4" w:space="0"/>
              <w:left w:val="single" w:color="1A171C" w:sz="4" w:space="0"/>
              <w:bottom w:val="single" w:color="1A171C" w:sz="4" w:space="0"/>
              <w:right w:val="nil"/>
            </w:tcBorders>
            <w:vAlign w:val="center"/>
          </w:tcPr>
          <w:p w:rsidRPr="00D43D39" w:rsidR="00F3752D" w:rsidP="007A76B6" w:rsidRDefault="00F3752D" w14:paraId="790D3819" w14:textId="33FF2449">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Ownership</w:t>
            </w:r>
          </w:p>
        </w:tc>
      </w:tr>
      <w:tr w:rsidRPr="00D43D39" w:rsidR="00950878" w:rsidTr="15FAC80C" w14:paraId="1ED2B993" w14:textId="77777777">
        <w:tc>
          <w:tcPr>
            <w:tcW w:w="0" w:type="auto"/>
            <w:tcBorders>
              <w:top w:val="single" w:color="1A171C" w:sz="4" w:space="0"/>
              <w:left w:val="nil"/>
              <w:bottom w:val="single" w:color="1A171C" w:sz="4" w:space="0"/>
              <w:right w:val="single" w:color="1A171C" w:sz="4" w:space="0"/>
            </w:tcBorders>
          </w:tcPr>
          <w:p w:rsidRPr="00D43D39" w:rsidR="00950878" w:rsidP="00950878" w:rsidRDefault="00950878" w14:paraId="0F022D67" w14:textId="22B90DF7">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Pr="00D43D39" w:rsidR="00E32A57">
              <w:rPr>
                <w:rFonts w:ascii="Times New Roman" w:hAnsi="Times New Roman" w:cs="Times New Roman"/>
                <w:color w:val="000000" w:themeColor="text1"/>
                <w:spacing w:val="-2"/>
                <w:sz w:val="20"/>
                <w:szCs w:val="20"/>
                <w:lang w:val="en-GB"/>
              </w:rPr>
              <w:t>080</w:t>
            </w:r>
          </w:p>
        </w:tc>
        <w:tc>
          <w:tcPr>
            <w:tcW w:w="0" w:type="auto"/>
            <w:tcBorders>
              <w:top w:val="single" w:color="1A171C" w:sz="4" w:space="0"/>
              <w:left w:val="single" w:color="1A171C" w:sz="4" w:space="0"/>
              <w:bottom w:val="single" w:color="1A171C" w:sz="4" w:space="0"/>
              <w:right w:val="nil"/>
            </w:tcBorders>
          </w:tcPr>
          <w:p w:rsidRPr="00D43D39" w:rsidR="00950878" w:rsidP="00950878" w:rsidRDefault="00950878" w14:paraId="61948A5A"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Share capital</w:t>
            </w:r>
          </w:p>
          <w:p w:rsidRPr="00D43D39" w:rsidR="00C97C03" w:rsidP="00E2021A" w:rsidRDefault="00950878" w14:paraId="1A8C98E8" w14:textId="038B8890">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Amount of share capital held by the </w:t>
            </w:r>
            <w:r w:rsidRPr="00D43D39" w:rsidR="00F3752D">
              <w:rPr>
                <w:rFonts w:ascii="Times New Roman" w:hAnsi="Times New Roman" w:eastAsia="Cambria" w:cs="Times New Roman"/>
                <w:color w:val="000000" w:themeColor="text1"/>
                <w:spacing w:val="-2"/>
                <w:w w:val="95"/>
                <w:sz w:val="20"/>
                <w:szCs w:val="20"/>
                <w:lang w:val="en-GB"/>
              </w:rPr>
              <w:t>Investor</w:t>
            </w:r>
            <w:r w:rsidRPr="00D43D39">
              <w:rPr>
                <w:rFonts w:ascii="Times New Roman" w:hAnsi="Times New Roman" w:eastAsia="Cambria" w:cs="Times New Roman"/>
                <w:color w:val="000000" w:themeColor="text1"/>
                <w:spacing w:val="-2"/>
                <w:w w:val="95"/>
                <w:sz w:val="20"/>
                <w:szCs w:val="20"/>
                <w:lang w:val="en-GB"/>
              </w:rPr>
              <w:t>, excluding reserves.</w:t>
            </w:r>
            <w:r w:rsidRPr="00D43D39" w:rsidR="00C97C03">
              <w:rPr>
                <w:rFonts w:ascii="Times New Roman" w:hAnsi="Times New Roman" w:eastAsia="Cambria" w:cs="Times New Roman"/>
                <w:color w:val="000000" w:themeColor="text1"/>
                <w:spacing w:val="-2"/>
                <w:w w:val="95"/>
                <w:sz w:val="20"/>
                <w:szCs w:val="20"/>
                <w:lang w:val="en-GB"/>
              </w:rPr>
              <w:t xml:space="preserve"> In the case of an international branch, the field shall be empty.</w:t>
            </w:r>
          </w:p>
        </w:tc>
      </w:tr>
      <w:tr w:rsidRPr="00D43D39" w:rsidR="00950878" w:rsidTr="15FAC80C" w14:paraId="63AE4038" w14:textId="77777777">
        <w:tc>
          <w:tcPr>
            <w:tcW w:w="0" w:type="auto"/>
            <w:tcBorders>
              <w:top w:val="single" w:color="1A171C" w:sz="4" w:space="0"/>
              <w:left w:val="nil"/>
              <w:bottom w:val="single" w:color="1A171C" w:sz="4" w:space="0"/>
              <w:right w:val="single" w:color="1A171C" w:sz="4" w:space="0"/>
            </w:tcBorders>
          </w:tcPr>
          <w:p w:rsidRPr="00D43D39" w:rsidR="00950878" w:rsidP="00950878" w:rsidRDefault="00950878" w14:paraId="15260636" w14:textId="305987CF">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Pr="00D43D39" w:rsidR="00E32A57">
              <w:rPr>
                <w:rFonts w:ascii="Times New Roman" w:hAnsi="Times New Roman" w:cs="Times New Roman"/>
                <w:color w:val="000000" w:themeColor="text1"/>
                <w:spacing w:val="-2"/>
                <w:sz w:val="20"/>
                <w:szCs w:val="20"/>
                <w:lang w:val="en-GB"/>
              </w:rPr>
              <w:t>090</w:t>
            </w:r>
          </w:p>
        </w:tc>
        <w:tc>
          <w:tcPr>
            <w:tcW w:w="0" w:type="auto"/>
            <w:tcBorders>
              <w:top w:val="single" w:color="1A171C" w:sz="4" w:space="0"/>
              <w:left w:val="single" w:color="1A171C" w:sz="4" w:space="0"/>
              <w:bottom w:val="single" w:color="1A171C" w:sz="4" w:space="0"/>
              <w:right w:val="nil"/>
            </w:tcBorders>
          </w:tcPr>
          <w:p w:rsidRPr="00D43D39" w:rsidR="00950878" w:rsidP="00950878" w:rsidRDefault="00950878" w14:paraId="6EC8F5DE" w14:textId="77777777">
            <w:pPr>
              <w:pStyle w:val="TableParagraph"/>
              <w:spacing w:before="108"/>
              <w:ind w:left="85"/>
              <w:rPr>
                <w:rFonts w:ascii="Times New Roman" w:hAnsi="Times New Roman" w:eastAsia="Book Antiqua" w:cs="Times New Roman"/>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Voting</w:t>
            </w:r>
            <w:r w:rsidRPr="00D43D39">
              <w:rPr>
                <w:rFonts w:ascii="Times New Roman" w:hAnsi="Times New Roman" w:cs="Times New Roman"/>
                <w:b/>
                <w:color w:val="000000" w:themeColor="text1"/>
                <w:spacing w:val="-7"/>
                <w:w w:val="95"/>
                <w:sz w:val="20"/>
                <w:szCs w:val="20"/>
                <w:lang w:val="en-GB"/>
              </w:rPr>
              <w:t xml:space="preserve"> </w:t>
            </w:r>
            <w:r w:rsidRPr="00D43D39">
              <w:rPr>
                <w:rFonts w:ascii="Times New Roman" w:hAnsi="Times New Roman" w:cs="Times New Roman"/>
                <w:b/>
                <w:color w:val="000000" w:themeColor="text1"/>
                <w:w w:val="95"/>
                <w:sz w:val="20"/>
                <w:szCs w:val="20"/>
                <w:lang w:val="en-GB"/>
              </w:rPr>
              <w:t>rights</w:t>
            </w:r>
            <w:r w:rsidRPr="00D43D39">
              <w:rPr>
                <w:rFonts w:ascii="Times New Roman" w:hAnsi="Times New Roman" w:cs="Times New Roman"/>
                <w:b/>
                <w:color w:val="000000" w:themeColor="text1"/>
                <w:spacing w:val="-7"/>
                <w:w w:val="95"/>
                <w:sz w:val="20"/>
                <w:szCs w:val="20"/>
                <w:lang w:val="en-GB"/>
              </w:rPr>
              <w:t xml:space="preserve"> in the Entity</w:t>
            </w:r>
          </w:p>
          <w:p w:rsidRPr="00D43D39" w:rsidR="00950878" w:rsidP="00AA651B" w:rsidRDefault="00950878" w14:paraId="7C9B0F7E" w14:textId="5DD6DF03">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eastAsia="Cambria" w:cs="Times New Roman"/>
                <w:color w:val="000000" w:themeColor="text1"/>
                <w:spacing w:val="-1"/>
                <w:w w:val="95"/>
                <w:sz w:val="20"/>
                <w:szCs w:val="20"/>
                <w:lang w:val="en-GB"/>
              </w:rPr>
              <w:t xml:space="preserve">Percentage of voting rights held by the </w:t>
            </w:r>
            <w:r w:rsidRPr="00D43D39" w:rsidR="00F3752D">
              <w:rPr>
                <w:rFonts w:ascii="Times New Roman" w:hAnsi="Times New Roman" w:eastAsia="Cambria" w:cs="Times New Roman"/>
                <w:color w:val="000000" w:themeColor="text1"/>
                <w:spacing w:val="-2"/>
                <w:w w:val="95"/>
                <w:sz w:val="20"/>
                <w:szCs w:val="20"/>
                <w:lang w:val="en-GB"/>
              </w:rPr>
              <w:t>Investor</w:t>
            </w:r>
            <w:r w:rsidRPr="00D43D39">
              <w:rPr>
                <w:rFonts w:ascii="Times New Roman" w:hAnsi="Times New Roman" w:eastAsia="Cambria" w:cs="Times New Roman"/>
                <w:color w:val="000000" w:themeColor="text1"/>
                <w:spacing w:val="-1"/>
                <w:w w:val="95"/>
                <w:sz w:val="20"/>
                <w:szCs w:val="20"/>
                <w:lang w:val="en-GB"/>
              </w:rPr>
              <w:t>.</w:t>
            </w:r>
            <w:r w:rsidRPr="00D43D39" w:rsidR="00F3752D">
              <w:rPr>
                <w:rFonts w:ascii="Times New Roman" w:hAnsi="Times New Roman" w:eastAsia="Cambria" w:cs="Times New Roman"/>
                <w:color w:val="000000" w:themeColor="text1"/>
                <w:spacing w:val="-1"/>
                <w:w w:val="95"/>
                <w:sz w:val="20"/>
                <w:szCs w:val="20"/>
                <w:lang w:val="en-GB"/>
              </w:rPr>
              <w:t xml:space="preserve"> </w:t>
            </w:r>
            <w:r w:rsidRPr="00D43D39">
              <w:rPr>
                <w:rFonts w:ascii="Times New Roman" w:hAnsi="Times New Roman" w:eastAsia="Cambria" w:cs="Times New Roman"/>
                <w:color w:val="000000" w:themeColor="text1"/>
                <w:spacing w:val="-1"/>
                <w:w w:val="95"/>
                <w:sz w:val="20"/>
                <w:szCs w:val="20"/>
                <w:lang w:val="en-GB"/>
              </w:rPr>
              <w:t>This information is only required if one share is not equal to one vote (hence voting rights are not equal to share capital).</w:t>
            </w:r>
            <w:r w:rsidRPr="00D43D39" w:rsidR="00C97C03">
              <w:rPr>
                <w:rFonts w:ascii="Times New Roman" w:hAnsi="Times New Roman" w:eastAsia="Cambria" w:cs="Times New Roman"/>
                <w:color w:val="000000" w:themeColor="text1"/>
                <w:spacing w:val="-1"/>
                <w:w w:val="95"/>
                <w:sz w:val="20"/>
                <w:szCs w:val="20"/>
                <w:lang w:val="en-GB"/>
              </w:rPr>
              <w:t xml:space="preserve"> </w:t>
            </w:r>
            <w:r w:rsidRPr="00D43D39" w:rsidR="00C97C03">
              <w:rPr>
                <w:rFonts w:ascii="Times New Roman" w:hAnsi="Times New Roman" w:eastAsia="Cambria" w:cs="Times New Roman"/>
                <w:color w:val="000000" w:themeColor="text1"/>
                <w:spacing w:val="-2"/>
                <w:w w:val="95"/>
                <w:sz w:val="20"/>
                <w:szCs w:val="20"/>
                <w:lang w:val="en-GB"/>
              </w:rPr>
              <w:t>In the case of an international branch, the field shall be empty.</w:t>
            </w:r>
          </w:p>
        </w:tc>
      </w:tr>
    </w:tbl>
    <w:p w:rsidRPr="005F5507" w:rsidR="00950878" w:rsidP="00950878" w:rsidRDefault="00950878" w14:paraId="2EE29077" w14:textId="77777777">
      <w:pPr>
        <w:rPr>
          <w:rFonts w:ascii="Times New Roman" w:hAnsi="Times New Roman" w:cs="Times New Roman"/>
        </w:rPr>
      </w:pPr>
    </w:p>
    <w:p w:rsidRPr="005F5507" w:rsidR="00950878" w:rsidRDefault="00950878" w14:paraId="433341BE" w14:textId="77777777">
      <w:pPr>
        <w:rPr>
          <w:rFonts w:ascii="Times New Roman" w:hAnsi="Times New Roman" w:cs="Times New Roman"/>
        </w:rPr>
      </w:pPr>
    </w:p>
    <w:p w:rsidRPr="00D43D39" w:rsidR="00E13CE3" w:rsidP="008854E4" w:rsidRDefault="00F7117F" w14:paraId="0DDC4041" w14:textId="1F20FBCA">
      <w:pPr>
        <w:pStyle w:val="Instructionsberschrift2"/>
        <w:numPr>
          <w:ilvl w:val="1"/>
          <w:numId w:val="49"/>
        </w:numPr>
        <w:ind w:left="357" w:hanging="357"/>
        <w:rPr>
          <w:rFonts w:ascii="Times New Roman" w:hAnsi="Times New Roman" w:cs="Times New Roman"/>
        </w:rPr>
      </w:pPr>
      <w:bookmarkStart w:name="_Toc80891720" w:id="24"/>
      <w:bookmarkStart w:name="_Toc81454179" w:id="25"/>
      <w:bookmarkStart w:name="_Toc81485494" w:id="26"/>
      <w:bookmarkStart w:name="_Toc81485571" w:id="27"/>
      <w:bookmarkStart w:name="_Toc81485692" w:id="28"/>
      <w:bookmarkStart w:name="_Toc81485976" w:id="29"/>
      <w:bookmarkStart w:name="_Toc160027976" w:id="30"/>
      <w:bookmarkStart w:name="_Toc160028048" w:id="31"/>
      <w:bookmarkStart w:name="_Toc160028120" w:id="32"/>
      <w:bookmarkStart w:name="_Toc161034536" w:id="33"/>
      <w:bookmarkStart w:name="_Toc162265133" w:id="34"/>
      <w:bookmarkStart w:name="_Toc162265658" w:id="35"/>
      <w:bookmarkStart w:name="_Toc162265727" w:id="36"/>
      <w:bookmarkStart w:name="_Toc162266072" w:id="37"/>
      <w:bookmarkStart w:name="_Toc163639533" w:id="38"/>
      <w:bookmarkStart w:name="_Toc164263618" w:id="39"/>
      <w:bookmarkStart w:name="_Toc164263705" w:id="40"/>
      <w:bookmarkStart w:name="_Toc164263779" w:id="41"/>
      <w:bookmarkStart w:name="_Toc164263833" w:id="42"/>
      <w:bookmarkStart w:name="_Toc164271331" w:id="43"/>
      <w:bookmarkStart w:name="_Toc164271383" w:id="44"/>
      <w:bookmarkStart w:name="_Toc167799447" w:id="45"/>
      <w:bookmarkStart w:name="_Toc172723003" w:id="46"/>
      <w:bookmarkStart w:name="_Toc172723101" w:id="47"/>
      <w:bookmarkStart w:name="_Toc172723197" w:id="48"/>
      <w:bookmarkStart w:name="_Toc172723341" w:id="49"/>
      <w:bookmarkStart w:name="_Toc172723393" w:id="50"/>
      <w:bookmarkStart w:name="_Toc172723451" w:id="51"/>
      <w:bookmarkStart w:name="_Toc172723518" w:id="52"/>
      <w:bookmarkStart w:name="_Toc492542322" w:id="53"/>
      <w:bookmarkStart w:name="_Toc81454180" w:id="54"/>
      <w:bookmarkStart w:name="_Toc172732223" w:id="5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D43D39">
        <w:rPr>
          <w:rFonts w:ascii="Times New Roman" w:hAnsi="Times New Roman" w:cs="Times New Roman"/>
        </w:rPr>
        <w:t>Z 0</w:t>
      </w:r>
      <w:r w:rsidRPr="00D43D39" w:rsidR="00ED49C4">
        <w:rPr>
          <w:rFonts w:ascii="Times New Roman" w:hAnsi="Times New Roman" w:cs="Times New Roman"/>
        </w:rPr>
        <w:t>2</w:t>
      </w:r>
      <w:r w:rsidRPr="00D43D39" w:rsidR="00E13CE3">
        <w:rPr>
          <w:rFonts w:ascii="Times New Roman" w:hAnsi="Times New Roman" w:cs="Times New Roman"/>
        </w:rPr>
        <w:t>.00 - Liability Structure (LIAB</w:t>
      </w:r>
      <w:r w:rsidR="006C64C7">
        <w:rPr>
          <w:rFonts w:ascii="Times New Roman" w:hAnsi="Times New Roman" w:cs="Times New Roman"/>
        </w:rPr>
        <w:t xml:space="preserve"> 1</w:t>
      </w:r>
      <w:r w:rsidRPr="00D43D39" w:rsidR="00E13CE3">
        <w:rPr>
          <w:rFonts w:ascii="Times New Roman" w:hAnsi="Times New Roman" w:cs="Times New Roman"/>
        </w:rPr>
        <w:t>)</w:t>
      </w:r>
      <w:bookmarkEnd w:id="53"/>
      <w:bookmarkEnd w:id="54"/>
      <w:bookmarkEnd w:id="55"/>
    </w:p>
    <w:p w:rsidRPr="00D43D39" w:rsidR="005B4526" w:rsidP="00EC261B" w:rsidRDefault="005B4526" w14:paraId="5599ADA4" w14:textId="77777777">
      <w:pPr>
        <w:pStyle w:val="Instructionsberschrift3"/>
        <w:rPr>
          <w:lang w:val="en-GB"/>
        </w:rPr>
      </w:pPr>
      <w:r w:rsidRPr="00D43D39">
        <w:rPr>
          <w:lang w:val="en-GB"/>
        </w:rPr>
        <w:t>General remarks</w:t>
      </w:r>
    </w:p>
    <w:p w:rsidRPr="00D43D39" w:rsidR="00E13CE3" w:rsidP="005F5507" w:rsidRDefault="25543778" w14:paraId="03A756FB" w14:textId="61979C9B">
      <w:pPr>
        <w:pStyle w:val="InstructionsText2"/>
        <w:numPr>
          <w:ilvl w:val="0"/>
          <w:numId w:val="23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This template requires granular information on the liability structure of the </w:t>
      </w:r>
      <w:r w:rsidRPr="00D43D39" w:rsidR="57BCFA20">
        <w:rPr>
          <w:rFonts w:ascii="Times New Roman" w:hAnsi="Times New Roman" w:cs="Times New Roman"/>
          <w:sz w:val="20"/>
          <w:szCs w:val="20"/>
          <w:lang w:val="en-GB"/>
        </w:rPr>
        <w:t xml:space="preserve">entity or </w:t>
      </w:r>
      <w:r w:rsidRPr="00D43D39" w:rsidR="350C0022">
        <w:rPr>
          <w:rFonts w:ascii="Times New Roman" w:hAnsi="Times New Roman" w:cs="Times New Roman"/>
          <w:sz w:val="20"/>
          <w:szCs w:val="20"/>
          <w:lang w:val="en-GB"/>
        </w:rPr>
        <w:t>group</w:t>
      </w:r>
      <w:r w:rsidRPr="00D43D39" w:rsidR="75C16F94">
        <w:rPr>
          <w:rFonts w:ascii="Times New Roman" w:hAnsi="Times New Roman" w:cs="Times New Roman"/>
          <w:sz w:val="20"/>
          <w:szCs w:val="20"/>
          <w:lang w:val="en-GB"/>
        </w:rPr>
        <w:t xml:space="preserve">. Liabilities are broken down </w:t>
      </w:r>
      <w:r w:rsidRPr="00D43D39" w:rsidR="00483B7F">
        <w:rPr>
          <w:rFonts w:ascii="Times New Roman" w:hAnsi="Times New Roman" w:cs="Times New Roman"/>
          <w:sz w:val="20"/>
          <w:szCs w:val="20"/>
          <w:lang w:val="en-GB"/>
        </w:rPr>
        <w:t xml:space="preserve">into </w:t>
      </w:r>
      <w:r w:rsidRPr="00D43D39">
        <w:rPr>
          <w:rFonts w:ascii="Times New Roman" w:hAnsi="Times New Roman" w:cs="Times New Roman"/>
          <w:sz w:val="20"/>
          <w:szCs w:val="20"/>
          <w:lang w:val="en-GB"/>
        </w:rPr>
        <w:t>liabilities excluded from bail-in</w:t>
      </w:r>
      <w:r w:rsidRPr="00D43D39" w:rsidR="4EAC0330">
        <w:rPr>
          <w:rFonts w:ascii="Times New Roman" w:hAnsi="Times New Roman" w:cs="Times New Roman"/>
          <w:sz w:val="20"/>
          <w:szCs w:val="20"/>
          <w:lang w:val="en-GB"/>
        </w:rPr>
        <w:t xml:space="preserve"> and liabilities</w:t>
      </w:r>
      <w:r w:rsidRPr="00D43D39" w:rsidR="75C16F94">
        <w:rPr>
          <w:rFonts w:ascii="Times New Roman" w:hAnsi="Times New Roman" w:cs="Times New Roman"/>
          <w:sz w:val="20"/>
          <w:szCs w:val="20"/>
          <w:lang w:val="en-GB"/>
        </w:rPr>
        <w:t xml:space="preserve"> </w:t>
      </w:r>
      <w:r w:rsidRPr="00D43D39">
        <w:rPr>
          <w:rFonts w:ascii="Times New Roman" w:hAnsi="Times New Roman" w:cs="Times New Roman"/>
          <w:sz w:val="20"/>
          <w:szCs w:val="20"/>
          <w:lang w:val="en-GB"/>
        </w:rPr>
        <w:t xml:space="preserve">not </w:t>
      </w:r>
      <w:r w:rsidRPr="00D43D39" w:rsidR="75C16F94">
        <w:rPr>
          <w:rFonts w:ascii="Times New Roman" w:hAnsi="Times New Roman" w:cs="Times New Roman"/>
          <w:sz w:val="20"/>
          <w:szCs w:val="20"/>
          <w:lang w:val="en-GB"/>
        </w:rPr>
        <w:t>excluded from bail-in</w:t>
      </w:r>
      <w:r w:rsidRPr="00D43D39">
        <w:rPr>
          <w:rFonts w:ascii="Times New Roman" w:hAnsi="Times New Roman" w:cs="Times New Roman"/>
          <w:sz w:val="20"/>
          <w:szCs w:val="20"/>
          <w:lang w:val="en-GB"/>
        </w:rPr>
        <w:t xml:space="preserve">. </w:t>
      </w:r>
      <w:r w:rsidRPr="00D43D39" w:rsidR="4EAC0330">
        <w:rPr>
          <w:rFonts w:ascii="Times New Roman" w:hAnsi="Times New Roman" w:cs="Times New Roman"/>
          <w:sz w:val="20"/>
          <w:szCs w:val="20"/>
          <w:lang w:val="en-GB"/>
        </w:rPr>
        <w:t>F</w:t>
      </w:r>
      <w:r w:rsidRPr="00D43D39" w:rsidR="75C16F94">
        <w:rPr>
          <w:rFonts w:ascii="Times New Roman" w:hAnsi="Times New Roman" w:cs="Times New Roman"/>
          <w:sz w:val="20"/>
          <w:szCs w:val="20"/>
          <w:lang w:val="en-GB"/>
        </w:rPr>
        <w:t>urther br</w:t>
      </w:r>
      <w:r w:rsidRPr="00D43D39" w:rsidR="4EAC0330">
        <w:rPr>
          <w:rFonts w:ascii="Times New Roman" w:hAnsi="Times New Roman" w:cs="Times New Roman"/>
          <w:sz w:val="20"/>
          <w:szCs w:val="20"/>
          <w:lang w:val="en-GB"/>
        </w:rPr>
        <w:t>eak</w:t>
      </w:r>
      <w:r w:rsidRPr="00D43D39" w:rsidR="75C16F94">
        <w:rPr>
          <w:rFonts w:ascii="Times New Roman" w:hAnsi="Times New Roman" w:cs="Times New Roman"/>
          <w:sz w:val="20"/>
          <w:szCs w:val="20"/>
          <w:lang w:val="en-GB"/>
        </w:rPr>
        <w:t>down</w:t>
      </w:r>
      <w:r w:rsidRPr="00D43D39" w:rsidR="4EAC0330">
        <w:rPr>
          <w:rFonts w:ascii="Times New Roman" w:hAnsi="Times New Roman" w:cs="Times New Roman"/>
          <w:sz w:val="20"/>
          <w:szCs w:val="20"/>
          <w:lang w:val="en-GB"/>
        </w:rPr>
        <w:t>s</w:t>
      </w:r>
      <w:r w:rsidRPr="00D43D39" w:rsidR="75C16F94">
        <w:rPr>
          <w:rFonts w:ascii="Times New Roman" w:hAnsi="Times New Roman" w:cs="Times New Roman"/>
          <w:sz w:val="20"/>
          <w:szCs w:val="20"/>
          <w:lang w:val="en-GB"/>
        </w:rPr>
        <w:t xml:space="preserve"> by </w:t>
      </w:r>
      <w:r w:rsidRPr="00D43D39" w:rsidR="00CF12A6">
        <w:rPr>
          <w:rFonts w:ascii="Times New Roman" w:hAnsi="Times New Roman" w:cs="Times New Roman"/>
          <w:sz w:val="20"/>
          <w:szCs w:val="20"/>
          <w:lang w:val="en-GB"/>
        </w:rPr>
        <w:t xml:space="preserve">categories of </w:t>
      </w:r>
      <w:r w:rsidRPr="00D43D39" w:rsidR="75C16F94">
        <w:rPr>
          <w:rFonts w:ascii="Times New Roman" w:hAnsi="Times New Roman" w:cs="Times New Roman"/>
          <w:sz w:val="20"/>
          <w:szCs w:val="20"/>
          <w:lang w:val="en-GB"/>
        </w:rPr>
        <w:t xml:space="preserve">liability, counterparty and </w:t>
      </w:r>
      <w:r w:rsidRPr="00D43D39" w:rsidR="002E5E2F">
        <w:rPr>
          <w:rFonts w:ascii="Times New Roman" w:hAnsi="Times New Roman" w:cs="Times New Roman"/>
          <w:sz w:val="20"/>
          <w:szCs w:val="20"/>
          <w:lang w:val="en-GB"/>
        </w:rPr>
        <w:t xml:space="preserve">residual </w:t>
      </w:r>
      <w:r w:rsidRPr="00D43D39" w:rsidR="75C16F94">
        <w:rPr>
          <w:rFonts w:ascii="Times New Roman" w:hAnsi="Times New Roman" w:cs="Times New Roman"/>
          <w:sz w:val="20"/>
          <w:szCs w:val="20"/>
          <w:lang w:val="en-GB"/>
        </w:rPr>
        <w:t>maturity</w:t>
      </w:r>
      <w:r w:rsidRPr="00D43D39" w:rsidR="4EAC0330">
        <w:rPr>
          <w:rFonts w:ascii="Times New Roman" w:hAnsi="Times New Roman" w:cs="Times New Roman"/>
          <w:sz w:val="20"/>
          <w:szCs w:val="20"/>
          <w:lang w:val="en-GB"/>
        </w:rPr>
        <w:t xml:space="preserve"> are provided.</w:t>
      </w:r>
    </w:p>
    <w:p w:rsidRPr="00D43D39" w:rsidR="008E116E" w:rsidP="005F5507" w:rsidRDefault="5B7728AF" w14:paraId="1ECE4660" w14:textId="0C344079">
      <w:pPr>
        <w:pStyle w:val="InstructionsText2"/>
        <w:numPr>
          <w:ilvl w:val="0"/>
          <w:numId w:val="23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Where a maturity breakdown is set out in this template, t</w:t>
      </w:r>
      <w:r w:rsidRPr="00D43D39" w:rsidR="25543778">
        <w:rPr>
          <w:rFonts w:ascii="Times New Roman" w:hAnsi="Times New Roman" w:cs="Times New Roman"/>
          <w:sz w:val="20"/>
          <w:szCs w:val="20"/>
          <w:lang w:val="en-GB"/>
        </w:rPr>
        <w:t>he re</w:t>
      </w:r>
      <w:r w:rsidRPr="00D43D39" w:rsidR="4EAC0330">
        <w:rPr>
          <w:rFonts w:ascii="Times New Roman" w:hAnsi="Times New Roman" w:cs="Times New Roman"/>
          <w:sz w:val="20"/>
          <w:szCs w:val="20"/>
          <w:lang w:val="en-GB"/>
        </w:rPr>
        <w:t>sidual</w:t>
      </w:r>
      <w:r w:rsidRPr="00D43D39" w:rsidR="25543778">
        <w:rPr>
          <w:rFonts w:ascii="Times New Roman" w:hAnsi="Times New Roman" w:cs="Times New Roman"/>
          <w:sz w:val="20"/>
          <w:szCs w:val="20"/>
          <w:lang w:val="en-GB"/>
        </w:rPr>
        <w:t xml:space="preserve"> maturity </w:t>
      </w:r>
      <w:r w:rsidRPr="00D43D39">
        <w:rPr>
          <w:rFonts w:ascii="Times New Roman" w:hAnsi="Times New Roman" w:cs="Times New Roman"/>
          <w:sz w:val="20"/>
          <w:szCs w:val="20"/>
          <w:lang w:val="en-GB"/>
        </w:rPr>
        <w:t xml:space="preserve">shall be </w:t>
      </w:r>
      <w:r w:rsidRPr="00D43D39" w:rsidR="25543778">
        <w:rPr>
          <w:rFonts w:ascii="Times New Roman" w:hAnsi="Times New Roman" w:cs="Times New Roman"/>
          <w:sz w:val="20"/>
          <w:szCs w:val="20"/>
          <w:lang w:val="en-GB"/>
        </w:rPr>
        <w:t>the time until the contractual maturity</w:t>
      </w:r>
      <w:r w:rsidRPr="00D43D39" w:rsidR="32927BA7">
        <w:rPr>
          <w:rFonts w:ascii="Times New Roman" w:hAnsi="Times New Roman" w:cs="Times New Roman"/>
          <w:sz w:val="20"/>
          <w:szCs w:val="20"/>
          <w:lang w:val="en-GB"/>
        </w:rPr>
        <w:t>. By derogation from that:</w:t>
      </w:r>
    </w:p>
    <w:p w:rsidRPr="00D43D39" w:rsidR="008E116E" w:rsidP="005F5507" w:rsidRDefault="3B8F1FCB" w14:paraId="4C384CA4" w14:textId="6F10E813">
      <w:pPr>
        <w:pStyle w:val="InstructionsText2"/>
        <w:numPr>
          <w:ilvl w:val="1"/>
          <w:numId w:val="23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where a liabilities instrument includes a holder redemption option exercisable prior to the original stated maturity of the instrument, the maturity of the instrument shall be defined as the earliest possible date on which the holder can exercise the redemption option and request redemption or repayment of the instrument</w:t>
      </w:r>
      <w:r w:rsidRPr="00D43D39" w:rsidR="002E5E2F">
        <w:rPr>
          <w:rFonts w:ascii="Times New Roman" w:hAnsi="Times New Roman" w:cs="Times New Roman"/>
          <w:sz w:val="20"/>
          <w:szCs w:val="20"/>
          <w:lang w:val="en-GB"/>
        </w:rPr>
        <w:t>;</w:t>
      </w:r>
    </w:p>
    <w:p w:rsidRPr="00D43D39" w:rsidR="008E116E" w:rsidP="005F5507" w:rsidRDefault="3B8F1FCB" w14:paraId="78D1E8F8" w14:textId="76A401B5">
      <w:pPr>
        <w:pStyle w:val="InstructionsText2"/>
        <w:numPr>
          <w:ilvl w:val="1"/>
          <w:numId w:val="23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where a liabilities instrument includes an incentive for the issuer to call, redeem, repay or repurchase the instrument prior to the original stated maturity of the instrument, the maturity of the instrument shall be defined as the earliest possible date on which the issuer can exercise that option and request redemption or repayment of the instrument</w:t>
      </w:r>
      <w:r w:rsidRPr="00D43D39" w:rsidR="002E5E2F">
        <w:rPr>
          <w:rFonts w:ascii="Times New Roman" w:hAnsi="Times New Roman" w:cs="Times New Roman"/>
          <w:sz w:val="20"/>
          <w:szCs w:val="20"/>
          <w:lang w:val="en-GB"/>
        </w:rPr>
        <w:t>.</w:t>
      </w:r>
    </w:p>
    <w:p w:rsidRPr="00D43D39" w:rsidR="00707381" w:rsidRDefault="00707381" w14:paraId="4DB5C876" w14:textId="067F5642">
      <w:pPr>
        <w:pStyle w:val="InstructionsText2"/>
        <w:numPr>
          <w:ilvl w:val="0"/>
          <w:numId w:val="23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In case of interim payments of principal, the principal shall be split and allocated into the corresponding maturity buckets. Where applicable, the maturity shall be considered separately for both the principal amount and accrued interest.</w:t>
      </w:r>
    </w:p>
    <w:p w:rsidRPr="00D43D39" w:rsidR="0051006F" w:rsidP="005F5507" w:rsidRDefault="0051006F" w14:paraId="1015555B" w14:textId="133151A8">
      <w:pPr>
        <w:pStyle w:val="InstructionsText2"/>
        <w:numPr>
          <w:ilvl w:val="0"/>
          <w:numId w:val="233"/>
        </w:numPr>
        <w:spacing w:before="0"/>
        <w:rPr>
          <w:rFonts w:ascii="Times New Roman" w:hAnsi="Times New Roman" w:cs="Times New Roman"/>
          <w:sz w:val="20"/>
          <w:szCs w:val="20"/>
          <w:lang w:val="en-GB"/>
        </w:rPr>
      </w:pPr>
      <w:r w:rsidRPr="005F5507">
        <w:rPr>
          <w:rFonts w:ascii="Times New Roman" w:hAnsi="Times New Roman" w:cs="Times New Roman"/>
          <w:sz w:val="20"/>
          <w:szCs w:val="20"/>
          <w:lang w:val="en-GB"/>
        </w:rPr>
        <w:t>In some specific cases, the maturity of a given instrument depend</w:t>
      </w:r>
      <w:r w:rsidR="004771B1">
        <w:rPr>
          <w:rFonts w:ascii="Times New Roman" w:hAnsi="Times New Roman" w:cs="Times New Roman"/>
          <w:sz w:val="20"/>
          <w:szCs w:val="20"/>
          <w:lang w:val="en-GB"/>
        </w:rPr>
        <w:t>s</w:t>
      </w:r>
      <w:r w:rsidRPr="005F5507">
        <w:rPr>
          <w:rFonts w:ascii="Times New Roman" w:hAnsi="Times New Roman" w:cs="Times New Roman"/>
          <w:sz w:val="20"/>
          <w:szCs w:val="20"/>
          <w:lang w:val="en-GB"/>
        </w:rPr>
        <w:t xml:space="preserve"> on external factors, on which the</w:t>
      </w:r>
      <w:r w:rsidRPr="00D43D39">
        <w:rPr>
          <w:rFonts w:ascii="Times New Roman" w:hAnsi="Times New Roman" w:cs="Times New Roman"/>
          <w:sz w:val="20"/>
          <w:szCs w:val="20"/>
          <w:lang w:val="en-GB"/>
        </w:rPr>
        <w:t xml:space="preserve"> </w:t>
      </w:r>
      <w:r w:rsidRPr="005F5507">
        <w:rPr>
          <w:rFonts w:ascii="Times New Roman" w:hAnsi="Times New Roman" w:cs="Times New Roman"/>
          <w:sz w:val="20"/>
          <w:szCs w:val="20"/>
          <w:lang w:val="en-GB"/>
        </w:rPr>
        <w:t>institution has little or no influence. In such cases, the first date on which such events can lead to</w:t>
      </w:r>
      <w:r w:rsidRPr="00D43D39">
        <w:rPr>
          <w:rFonts w:ascii="Times New Roman" w:hAnsi="Times New Roman" w:cs="Times New Roman"/>
          <w:sz w:val="20"/>
          <w:szCs w:val="20"/>
          <w:lang w:val="en-GB"/>
        </w:rPr>
        <w:t xml:space="preserve"> </w:t>
      </w:r>
      <w:r w:rsidRPr="005F5507">
        <w:rPr>
          <w:rFonts w:ascii="Times New Roman" w:hAnsi="Times New Roman" w:cs="Times New Roman"/>
          <w:sz w:val="20"/>
          <w:szCs w:val="20"/>
          <w:lang w:val="en-GB"/>
        </w:rPr>
        <w:t>reimbursement shall be considered the earliest redemption date.</w:t>
      </w:r>
    </w:p>
    <w:p w:rsidRPr="00D43D39" w:rsidR="0051006F" w:rsidP="005F5507" w:rsidRDefault="0051006F" w14:paraId="1F2DB10B" w14:textId="25B589C3">
      <w:pPr>
        <w:pStyle w:val="InstructionsText2"/>
        <w:numPr>
          <w:ilvl w:val="0"/>
          <w:numId w:val="233"/>
        </w:numPr>
        <w:spacing w:before="0"/>
        <w:rPr>
          <w:rFonts w:ascii="Times New Roman" w:hAnsi="Times New Roman" w:cs="Times New Roman"/>
          <w:sz w:val="20"/>
          <w:szCs w:val="20"/>
          <w:lang w:val="en-GB"/>
        </w:rPr>
      </w:pPr>
      <w:r w:rsidRPr="005F5507">
        <w:rPr>
          <w:rFonts w:ascii="Times New Roman" w:hAnsi="Times New Roman" w:cs="Times New Roman"/>
          <w:sz w:val="20"/>
          <w:szCs w:val="20"/>
          <w:lang w:val="en-GB"/>
        </w:rPr>
        <w:t>In other cases, contracts do not foresee any specific maturity date, such as on-sight or overnight deposits.</w:t>
      </w:r>
      <w:r w:rsidRPr="00D43D39" w:rsidR="009D77E5">
        <w:rPr>
          <w:rFonts w:ascii="Times New Roman" w:hAnsi="Times New Roman" w:cs="Times New Roman"/>
          <w:sz w:val="20"/>
          <w:szCs w:val="20"/>
          <w:lang w:val="en-GB"/>
        </w:rPr>
        <w:t xml:space="preserve"> </w:t>
      </w:r>
      <w:r w:rsidRPr="005F5507">
        <w:rPr>
          <w:rFonts w:ascii="Times New Roman" w:hAnsi="Times New Roman" w:cs="Times New Roman"/>
          <w:sz w:val="20"/>
          <w:szCs w:val="20"/>
          <w:lang w:val="en-GB"/>
        </w:rPr>
        <w:t>In those cases, the liabilities shall be considered as having a possible maturity on the first possible date, i.e.</w:t>
      </w:r>
      <w:r w:rsidRPr="00D43D39">
        <w:rPr>
          <w:rFonts w:ascii="Times New Roman" w:hAnsi="Times New Roman" w:cs="Times New Roman"/>
          <w:sz w:val="20"/>
          <w:szCs w:val="20"/>
          <w:lang w:val="en-GB"/>
        </w:rPr>
        <w:t xml:space="preserve"> </w:t>
      </w:r>
      <w:r w:rsidRPr="005F5507">
        <w:rPr>
          <w:rFonts w:ascii="Times New Roman" w:hAnsi="Times New Roman" w:cs="Times New Roman"/>
          <w:sz w:val="20"/>
          <w:szCs w:val="20"/>
          <w:lang w:val="en-GB"/>
        </w:rPr>
        <w:t>next/one day after reporting date.</w:t>
      </w:r>
    </w:p>
    <w:p w:rsidRPr="00D43D39" w:rsidR="0051006F" w:rsidP="005F5507" w:rsidRDefault="0051006F" w14:paraId="551D9059" w14:textId="115CB5B4">
      <w:pPr>
        <w:pStyle w:val="InstructionsText2"/>
        <w:numPr>
          <w:ilvl w:val="0"/>
          <w:numId w:val="233"/>
        </w:numPr>
        <w:spacing w:before="0"/>
        <w:rPr>
          <w:rFonts w:ascii="Times New Roman" w:hAnsi="Times New Roman" w:cs="Times New Roman"/>
          <w:sz w:val="20"/>
          <w:szCs w:val="20"/>
          <w:lang w:val="en-GB"/>
        </w:rPr>
      </w:pPr>
      <w:r w:rsidRPr="005F5507">
        <w:rPr>
          <w:rFonts w:ascii="Times New Roman" w:hAnsi="Times New Roman" w:cs="Times New Roman"/>
          <w:sz w:val="20"/>
          <w:szCs w:val="20"/>
          <w:lang w:val="en-GB"/>
        </w:rPr>
        <w:t xml:space="preserve">For deposits, the coverage by DGSD does not necessarily distinguish between the maturities that </w:t>
      </w:r>
      <w:r w:rsidR="00285FF6">
        <w:rPr>
          <w:rFonts w:ascii="Times New Roman" w:hAnsi="Times New Roman" w:cs="Times New Roman"/>
          <w:sz w:val="20"/>
          <w:szCs w:val="20"/>
          <w:lang w:val="en-GB"/>
        </w:rPr>
        <w:t>are</w:t>
      </w:r>
      <w:r w:rsidRPr="00D43D39">
        <w:rPr>
          <w:rFonts w:ascii="Times New Roman" w:hAnsi="Times New Roman" w:cs="Times New Roman"/>
          <w:sz w:val="20"/>
          <w:szCs w:val="20"/>
          <w:lang w:val="en-GB"/>
        </w:rPr>
        <w:t xml:space="preserve"> </w:t>
      </w:r>
      <w:r w:rsidRPr="005F5507">
        <w:rPr>
          <w:rFonts w:ascii="Times New Roman" w:hAnsi="Times New Roman" w:cs="Times New Roman"/>
          <w:sz w:val="20"/>
          <w:szCs w:val="20"/>
          <w:lang w:val="en-GB"/>
        </w:rPr>
        <w:t>considered as covered if different maturities exist. As such, to split the non-covered part into maturity</w:t>
      </w:r>
      <w:r w:rsidRPr="00D43D39">
        <w:rPr>
          <w:rFonts w:ascii="Times New Roman" w:hAnsi="Times New Roman" w:cs="Times New Roman"/>
          <w:sz w:val="20"/>
          <w:szCs w:val="20"/>
          <w:lang w:val="en-GB"/>
        </w:rPr>
        <w:t xml:space="preserve"> </w:t>
      </w:r>
      <w:r w:rsidRPr="005F5507">
        <w:rPr>
          <w:rFonts w:ascii="Times New Roman" w:hAnsi="Times New Roman" w:cs="Times New Roman"/>
          <w:sz w:val="20"/>
          <w:szCs w:val="20"/>
          <w:lang w:val="en-GB"/>
        </w:rPr>
        <w:t xml:space="preserve">buckets, institutions </w:t>
      </w:r>
      <w:r w:rsidR="00285FF6">
        <w:rPr>
          <w:rFonts w:ascii="Times New Roman" w:hAnsi="Times New Roman" w:cs="Times New Roman"/>
          <w:sz w:val="20"/>
          <w:szCs w:val="20"/>
          <w:lang w:val="en-GB"/>
        </w:rPr>
        <w:t>are asked to</w:t>
      </w:r>
      <w:r w:rsidRPr="005F5507">
        <w:rPr>
          <w:rFonts w:ascii="Times New Roman" w:hAnsi="Times New Roman" w:cs="Times New Roman"/>
          <w:sz w:val="20"/>
          <w:szCs w:val="20"/>
          <w:lang w:val="en-GB"/>
        </w:rPr>
        <w:t xml:space="preserve"> apply a pro rata approach for the total coverage and distribute the non-covered</w:t>
      </w:r>
      <w:r w:rsidRPr="00D43D39">
        <w:rPr>
          <w:rFonts w:ascii="Times New Roman" w:hAnsi="Times New Roman" w:cs="Times New Roman"/>
          <w:sz w:val="20"/>
          <w:szCs w:val="20"/>
          <w:lang w:val="en-GB"/>
        </w:rPr>
        <w:t xml:space="preserve"> </w:t>
      </w:r>
      <w:r w:rsidRPr="005F5507">
        <w:rPr>
          <w:rFonts w:ascii="Times New Roman" w:hAnsi="Times New Roman" w:cs="Times New Roman"/>
          <w:sz w:val="20"/>
          <w:szCs w:val="20"/>
          <w:lang w:val="en-GB"/>
        </w:rPr>
        <w:t>part accordingly over the maturity of the underlying deposits</w:t>
      </w:r>
      <w:r w:rsidRPr="00D43D39" w:rsidR="00765C7B">
        <w:rPr>
          <w:rFonts w:ascii="Times New Roman" w:hAnsi="Times New Roman" w:cs="Times New Roman"/>
          <w:sz w:val="20"/>
          <w:szCs w:val="20"/>
          <w:lang w:val="en-GB"/>
        </w:rPr>
        <w:t xml:space="preserve">, </w:t>
      </w:r>
      <w:r w:rsidRPr="005F5507" w:rsidR="00765C7B">
        <w:rPr>
          <w:rFonts w:ascii="Times New Roman" w:hAnsi="Times New Roman" w:cs="Times New Roman"/>
          <w:sz w:val="20"/>
          <w:szCs w:val="20"/>
        </w:rPr>
        <w:t>unless specific provisions resulting from the transposition of Directive 2014/49/EU into national law are applicable</w:t>
      </w:r>
    </w:p>
    <w:p w:rsidRPr="005F5507" w:rsidR="0027361E" w:rsidP="005F5507" w:rsidRDefault="0027361E" w14:paraId="743C9C7C" w14:textId="2178EC2D">
      <w:pPr>
        <w:pStyle w:val="InstructionsText2"/>
        <w:numPr>
          <w:ilvl w:val="0"/>
          <w:numId w:val="23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Where a liability meets multiple criteria and </w:t>
      </w:r>
      <w:r w:rsidR="004771B1">
        <w:rPr>
          <w:rFonts w:ascii="Times New Roman" w:hAnsi="Times New Roman" w:cs="Times New Roman"/>
          <w:sz w:val="20"/>
          <w:szCs w:val="20"/>
          <w:lang w:val="en-GB"/>
        </w:rPr>
        <w:t>may</w:t>
      </w:r>
      <w:r w:rsidRPr="00D43D39">
        <w:rPr>
          <w:rFonts w:ascii="Times New Roman" w:hAnsi="Times New Roman" w:cs="Times New Roman"/>
          <w:sz w:val="20"/>
          <w:szCs w:val="20"/>
          <w:lang w:val="en-GB"/>
        </w:rPr>
        <w:t xml:space="preserve"> be reported in several rows in the range of r</w:t>
      </w:r>
      <w:r w:rsidRPr="00D43D39" w:rsidR="002E5E2F">
        <w:rPr>
          <w:rFonts w:ascii="Times New Roman" w:hAnsi="Times New Roman" w:cs="Times New Roman"/>
          <w:sz w:val="20"/>
          <w:szCs w:val="20"/>
          <w:lang w:val="en-GB"/>
        </w:rPr>
        <w:t>0</w:t>
      </w:r>
      <w:r w:rsidRPr="00D43D39">
        <w:rPr>
          <w:rFonts w:ascii="Times New Roman" w:hAnsi="Times New Roman" w:cs="Times New Roman"/>
          <w:sz w:val="20"/>
          <w:szCs w:val="20"/>
          <w:lang w:val="en-GB"/>
        </w:rPr>
        <w:t>110 to r</w:t>
      </w:r>
      <w:r w:rsidRPr="00D43D39" w:rsidR="002E5E2F">
        <w:rPr>
          <w:rFonts w:ascii="Times New Roman" w:hAnsi="Times New Roman" w:cs="Times New Roman"/>
          <w:sz w:val="20"/>
          <w:szCs w:val="20"/>
          <w:lang w:val="en-GB"/>
        </w:rPr>
        <w:t>0</w:t>
      </w:r>
      <w:r w:rsidRPr="00D43D39">
        <w:rPr>
          <w:rFonts w:ascii="Times New Roman" w:hAnsi="Times New Roman" w:cs="Times New Roman"/>
          <w:sz w:val="20"/>
          <w:szCs w:val="20"/>
          <w:lang w:val="en-GB"/>
        </w:rPr>
        <w:t>2</w:t>
      </w:r>
      <w:r w:rsidRPr="00D43D39" w:rsidR="002E5E2F">
        <w:rPr>
          <w:rFonts w:ascii="Times New Roman" w:hAnsi="Times New Roman" w:cs="Times New Roman"/>
          <w:sz w:val="20"/>
          <w:szCs w:val="20"/>
          <w:lang w:val="en-GB"/>
        </w:rPr>
        <w:t>1</w:t>
      </w:r>
      <w:r w:rsidRPr="00D43D39">
        <w:rPr>
          <w:rFonts w:ascii="Times New Roman" w:hAnsi="Times New Roman" w:cs="Times New Roman"/>
          <w:sz w:val="20"/>
          <w:szCs w:val="20"/>
          <w:lang w:val="en-GB"/>
        </w:rPr>
        <w:t xml:space="preserve">0, </w:t>
      </w:r>
      <w:r w:rsidR="00285FF6">
        <w:rPr>
          <w:rFonts w:ascii="Times New Roman" w:hAnsi="Times New Roman" w:cs="Times New Roman"/>
          <w:sz w:val="20"/>
          <w:szCs w:val="20"/>
          <w:lang w:val="en-GB"/>
        </w:rPr>
        <w:t xml:space="preserve">report </w:t>
      </w:r>
      <w:r w:rsidRPr="00D43D39">
        <w:rPr>
          <w:rFonts w:ascii="Times New Roman" w:hAnsi="Times New Roman" w:cs="Times New Roman"/>
          <w:sz w:val="20"/>
          <w:szCs w:val="20"/>
          <w:lang w:val="en-GB"/>
        </w:rPr>
        <w:t>it only in one row</w:t>
      </w:r>
      <w:r w:rsidRPr="00D43D39" w:rsidR="005762F8">
        <w:rPr>
          <w:rFonts w:ascii="Times New Roman" w:hAnsi="Times New Roman" w:cs="Times New Roman"/>
          <w:sz w:val="20"/>
          <w:szCs w:val="20"/>
          <w:lang w:val="en-GB"/>
        </w:rPr>
        <w:t>, being the one with the lowest row number in this template</w:t>
      </w:r>
      <w:r w:rsidRPr="00D43D39">
        <w:rPr>
          <w:rFonts w:ascii="Times New Roman" w:hAnsi="Times New Roman" w:cs="Times New Roman"/>
          <w:sz w:val="20"/>
          <w:szCs w:val="20"/>
          <w:lang w:val="en-GB"/>
        </w:rPr>
        <w:t>.</w:t>
      </w:r>
    </w:p>
    <w:p w:rsidRPr="00D43D39" w:rsidR="00707381" w:rsidP="00707381" w:rsidRDefault="00707381" w14:paraId="704AC647" w14:textId="77777777">
      <w:pPr>
        <w:pStyle w:val="InstructionsText2"/>
        <w:numPr>
          <w:ilvl w:val="0"/>
          <w:numId w:val="233"/>
        </w:numPr>
        <w:rPr>
          <w:rFonts w:ascii="Times New Roman" w:hAnsi="Times New Roman" w:cs="Times New Roman"/>
          <w:sz w:val="20"/>
          <w:szCs w:val="20"/>
          <w:lang w:val="en-GB"/>
        </w:rPr>
      </w:pPr>
      <w:r w:rsidRPr="00D43D39">
        <w:rPr>
          <w:rFonts w:ascii="Times New Roman" w:hAnsi="Times New Roman" w:cs="Times New Roman"/>
          <w:sz w:val="20"/>
          <w:szCs w:val="20"/>
          <w:lang w:val="en-GB"/>
        </w:rPr>
        <w:t>The amounts reported in this template shall be either outstanding amounts or carrying amounts:</w:t>
      </w:r>
    </w:p>
    <w:p w:rsidRPr="00D43D39" w:rsidR="00707381" w:rsidP="005F5507" w:rsidRDefault="00707381" w14:paraId="7FA580FC" w14:textId="4848231C">
      <w:pPr>
        <w:pStyle w:val="InstructionsText2"/>
        <w:numPr>
          <w:ilvl w:val="1"/>
          <w:numId w:val="233"/>
        </w:numPr>
        <w:rPr>
          <w:rFonts w:ascii="Times New Roman" w:hAnsi="Times New Roman" w:cs="Times New Roman"/>
          <w:sz w:val="20"/>
          <w:szCs w:val="20"/>
          <w:lang w:val="en-GB"/>
        </w:rPr>
      </w:pPr>
      <w:r w:rsidRPr="00D43D39">
        <w:rPr>
          <w:rFonts w:ascii="Times New Roman" w:hAnsi="Times New Roman" w:cs="Times New Roman"/>
          <w:sz w:val="20"/>
          <w:szCs w:val="20"/>
          <w:lang w:val="en-GB"/>
        </w:rPr>
        <w:t>The outstanding amount of a claim or instrument is the sum of the principal amount of, and accrued interest on, the claim or instrument. The outstanding amount due is equal to the value of the claim which the creditor file</w:t>
      </w:r>
      <w:r w:rsidR="004771B1">
        <w:rPr>
          <w:rFonts w:ascii="Times New Roman" w:hAnsi="Times New Roman" w:cs="Times New Roman"/>
          <w:sz w:val="20"/>
          <w:szCs w:val="20"/>
          <w:lang w:val="en-GB"/>
        </w:rPr>
        <w:t>s</w:t>
      </w:r>
      <w:r w:rsidRPr="00D43D39">
        <w:rPr>
          <w:rFonts w:ascii="Times New Roman" w:hAnsi="Times New Roman" w:cs="Times New Roman"/>
          <w:sz w:val="20"/>
          <w:szCs w:val="20"/>
          <w:lang w:val="en-GB"/>
        </w:rPr>
        <w:t xml:space="preserve"> under insolvency proceedings</w:t>
      </w:r>
      <w:r w:rsidR="001535CC">
        <w:rPr>
          <w:rFonts w:ascii="Times New Roman" w:hAnsi="Times New Roman" w:cs="Times New Roman"/>
          <w:sz w:val="20"/>
          <w:szCs w:val="20"/>
          <w:lang w:val="en-GB"/>
        </w:rPr>
        <w:t>, without considering insolvency set-off provisions,</w:t>
      </w:r>
      <w:r w:rsidR="00417A07">
        <w:rPr>
          <w:rFonts w:ascii="Times New Roman" w:hAnsi="Times New Roman" w:cs="Times New Roman"/>
          <w:sz w:val="20"/>
          <w:szCs w:val="20"/>
          <w:lang w:val="en-GB"/>
        </w:rPr>
        <w:t xml:space="preserve"> </w:t>
      </w:r>
      <w:r w:rsidRPr="00417A07" w:rsidR="00417A07">
        <w:rPr>
          <w:rFonts w:ascii="Times New Roman" w:hAnsi="Times New Roman" w:cs="Times New Roman"/>
          <w:sz w:val="20"/>
          <w:szCs w:val="20"/>
          <w:lang w:val="en-GB"/>
        </w:rPr>
        <w:t>and does not include any premiums or discounts</w:t>
      </w:r>
      <w:r w:rsidR="005422DC">
        <w:rPr>
          <w:rFonts w:ascii="Times New Roman" w:hAnsi="Times New Roman" w:cs="Times New Roman"/>
          <w:sz w:val="20"/>
          <w:szCs w:val="20"/>
          <w:lang w:val="en-GB"/>
        </w:rPr>
        <w:t xml:space="preserve"> </w:t>
      </w:r>
      <w:r w:rsidRPr="005422DC" w:rsidR="005422DC">
        <w:rPr>
          <w:rFonts w:ascii="Times New Roman" w:hAnsi="Times New Roman" w:cs="Times New Roman"/>
          <w:sz w:val="20"/>
          <w:szCs w:val="20"/>
          <w:lang w:val="en-GB"/>
        </w:rPr>
        <w:t>on liability instruments</w:t>
      </w:r>
      <w:r w:rsidRPr="00D43D39">
        <w:rPr>
          <w:rFonts w:ascii="Times New Roman" w:hAnsi="Times New Roman" w:cs="Times New Roman"/>
          <w:sz w:val="20"/>
          <w:szCs w:val="20"/>
          <w:lang w:val="en-GB"/>
        </w:rPr>
        <w:t xml:space="preserve">. In those cases where no claim </w:t>
      </w:r>
      <w:r w:rsidR="004771B1">
        <w:rPr>
          <w:rFonts w:ascii="Times New Roman" w:hAnsi="Times New Roman" w:cs="Times New Roman"/>
          <w:sz w:val="20"/>
          <w:szCs w:val="20"/>
          <w:lang w:val="en-GB"/>
        </w:rPr>
        <w:t>is</w:t>
      </w:r>
      <w:r w:rsidRPr="00D43D39">
        <w:rPr>
          <w:rFonts w:ascii="Times New Roman" w:hAnsi="Times New Roman" w:cs="Times New Roman"/>
          <w:sz w:val="20"/>
          <w:szCs w:val="20"/>
          <w:lang w:val="en-GB"/>
        </w:rPr>
        <w:t xml:space="preserve"> filed under insolvency proceedings, the outstanding amount </w:t>
      </w:r>
      <w:r w:rsidR="00285FF6">
        <w:rPr>
          <w:rFonts w:ascii="Times New Roman" w:hAnsi="Times New Roman" w:cs="Times New Roman"/>
          <w:sz w:val="20"/>
          <w:szCs w:val="20"/>
          <w:lang w:val="en-GB"/>
        </w:rPr>
        <w:t>is expected to</w:t>
      </w:r>
      <w:r w:rsidRPr="00D43D39">
        <w:rPr>
          <w:rFonts w:ascii="Times New Roman" w:hAnsi="Times New Roman" w:cs="Times New Roman"/>
          <w:sz w:val="20"/>
          <w:szCs w:val="20"/>
          <w:lang w:val="en-GB"/>
        </w:rPr>
        <w:t xml:space="preserve"> be equal to zero.</w:t>
      </w:r>
      <w:r w:rsidRPr="00D43D39" w:rsidR="009E4DF4">
        <w:rPr>
          <w:rFonts w:ascii="Times New Roman" w:hAnsi="Times New Roman" w:cs="Times New Roman"/>
          <w:sz w:val="20"/>
          <w:szCs w:val="20"/>
          <w:lang w:val="en-GB"/>
        </w:rPr>
        <w:t xml:space="preserve"> </w:t>
      </w:r>
    </w:p>
    <w:p w:rsidRPr="00D43D39" w:rsidR="00707381" w:rsidP="005F5507" w:rsidRDefault="00707381" w14:paraId="0B5232AB" w14:textId="2FE41791">
      <w:pPr>
        <w:pStyle w:val="InstructionsText2"/>
        <w:numPr>
          <w:ilvl w:val="1"/>
          <w:numId w:val="233"/>
        </w:numPr>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The carrying amount shall be the carrying amount as defined for FINREP purposes, either under IFRS or nGAAP, as applicable. Otherwise, figures under nGAAP reporting schemes shall be used. </w:t>
      </w:r>
    </w:p>
    <w:p w:rsidRPr="00D43D39" w:rsidR="00453883" w:rsidP="005F5507" w:rsidRDefault="00453883" w14:paraId="138435E6" w14:textId="59FABB9D">
      <w:pPr>
        <w:pStyle w:val="InstructionsText2"/>
        <w:numPr>
          <w:ilvl w:val="0"/>
          <w:numId w:val="23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This report references </w:t>
      </w:r>
      <w:r w:rsidR="00A164AC">
        <w:rPr>
          <w:rFonts w:ascii="Times New Roman" w:hAnsi="Times New Roman" w:cs="Times New Roman"/>
          <w:sz w:val="20"/>
          <w:szCs w:val="20"/>
          <w:lang w:val="en-GB"/>
        </w:rPr>
        <w:t>data points</w:t>
      </w:r>
      <w:r w:rsidRPr="00D43D39">
        <w:rPr>
          <w:rFonts w:ascii="Times New Roman" w:hAnsi="Times New Roman" w:cs="Times New Roman"/>
          <w:sz w:val="20"/>
          <w:szCs w:val="20"/>
          <w:lang w:val="en-GB"/>
        </w:rPr>
        <w:t xml:space="preserve"> that may have already been reported by the entity in FINREP and COREP for the same reference date and reporting scope (see COREP/FINREP references in the instructions). Where this is the case, the reporting entity does not have to report these data points a second time. </w:t>
      </w:r>
      <w:r w:rsidR="00A164AC">
        <w:rPr>
          <w:rFonts w:ascii="Times New Roman" w:hAnsi="Times New Roman" w:cs="Times New Roman"/>
          <w:sz w:val="20"/>
          <w:szCs w:val="20"/>
          <w:lang w:val="en-GB"/>
        </w:rPr>
        <w:t xml:space="preserve">For instance, </w:t>
      </w:r>
      <w:r w:rsidRPr="00D43D39">
        <w:rPr>
          <w:rFonts w:ascii="Times New Roman" w:hAnsi="Times New Roman" w:cs="Times New Roman"/>
          <w:sz w:val="20"/>
          <w:szCs w:val="20"/>
          <w:lang w:val="en-GB"/>
        </w:rPr>
        <w:t xml:space="preserve">COREP/FINREP data points </w:t>
      </w:r>
      <w:r w:rsidR="00A164AC">
        <w:rPr>
          <w:rFonts w:ascii="Times New Roman" w:hAnsi="Times New Roman" w:cs="Times New Roman"/>
          <w:sz w:val="20"/>
          <w:szCs w:val="20"/>
          <w:lang w:val="en-GB"/>
        </w:rPr>
        <w:t>have</w:t>
      </w:r>
      <w:r w:rsidRPr="00D43D39">
        <w:rPr>
          <w:rFonts w:ascii="Times New Roman" w:hAnsi="Times New Roman" w:cs="Times New Roman"/>
          <w:sz w:val="20"/>
          <w:szCs w:val="20"/>
          <w:lang w:val="en-GB"/>
        </w:rPr>
        <w:t xml:space="preserve"> to be reported here where the reporting entity has been waived from financial or prudential reporting obligations, in which case the only data source for resolution authorities for these data points is this report.</w:t>
      </w:r>
    </w:p>
    <w:p w:rsidRPr="00D43D39" w:rsidR="00E13CE3" w:rsidP="00EC261B" w:rsidRDefault="00E13CE3" w14:paraId="2CF3C59A" w14:textId="77777777">
      <w:pPr>
        <w:pStyle w:val="Instructionsberschrift3"/>
        <w:rPr>
          <w:b/>
          <w:lang w:val="en-GB"/>
        </w:rPr>
      </w:pPr>
      <w:r w:rsidRPr="00D43D39">
        <w:rPr>
          <w:b/>
          <w:lang w:val="en-GB"/>
        </w:rPr>
        <w:t>Instructions concerning specific positions</w:t>
      </w:r>
    </w:p>
    <w:tbl>
      <w:tblPr>
        <w:tblW w:w="0" w:type="auto"/>
        <w:tblCellMar>
          <w:top w:w="57" w:type="dxa"/>
          <w:left w:w="57" w:type="dxa"/>
          <w:bottom w:w="57" w:type="dxa"/>
          <w:right w:w="0" w:type="dxa"/>
        </w:tblCellMar>
        <w:tblLook w:val="01E0" w:firstRow="1" w:lastRow="1" w:firstColumn="1" w:lastColumn="1" w:noHBand="0" w:noVBand="0"/>
      </w:tblPr>
      <w:tblGrid>
        <w:gridCol w:w="908"/>
        <w:gridCol w:w="8118"/>
      </w:tblGrid>
      <w:tr w:rsidRPr="00D43D39" w:rsidR="00D22EB0" w:rsidTr="5E2F2DB1" w14:paraId="6A6C4130" w14:textId="77777777">
        <w:tc>
          <w:tcPr>
            <w:tcW w:w="908" w:type="dxa"/>
            <w:tcBorders>
              <w:top w:val="single" w:color="1A171C" w:sz="4" w:space="0"/>
              <w:left w:val="nil"/>
              <w:bottom w:val="single" w:color="1A171C" w:sz="4" w:space="0"/>
              <w:right w:val="single" w:color="1A171C" w:sz="4" w:space="0"/>
            </w:tcBorders>
            <w:shd w:val="clear" w:color="auto" w:fill="E4E5E5"/>
          </w:tcPr>
          <w:p w:rsidRPr="00D43D39" w:rsidR="0081175C" w:rsidP="00367C1E" w:rsidRDefault="0081175C" w14:paraId="1EF07C64" w14:textId="77777777">
            <w:pPr>
              <w:pStyle w:val="TableParagraph"/>
              <w:spacing w:before="66"/>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Columns</w:t>
            </w:r>
          </w:p>
        </w:tc>
        <w:tc>
          <w:tcPr>
            <w:tcW w:w="8118" w:type="dxa"/>
            <w:tcBorders>
              <w:top w:val="single" w:color="1A171C" w:sz="4" w:space="0"/>
              <w:left w:val="single" w:color="1A171C" w:sz="4" w:space="0"/>
              <w:bottom w:val="single" w:color="1A171C" w:sz="4" w:space="0"/>
              <w:right w:val="nil"/>
            </w:tcBorders>
            <w:shd w:val="clear" w:color="auto" w:fill="E4E5E5"/>
          </w:tcPr>
          <w:p w:rsidRPr="00D43D39" w:rsidR="0081175C" w:rsidP="00367C1E" w:rsidRDefault="0081175C" w14:paraId="0AE0BAD5" w14:textId="77777777">
            <w:pPr>
              <w:pStyle w:val="TableParagraph"/>
              <w:spacing w:before="66"/>
              <w:ind w:right="1"/>
              <w:jc w:val="center"/>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Pr="00D43D39" w:rsidR="00D22EB0" w:rsidTr="5E2F2DB1" w14:paraId="4E54FD5B" w14:textId="77777777">
        <w:tc>
          <w:tcPr>
            <w:tcW w:w="908" w:type="dxa"/>
            <w:tcBorders>
              <w:top w:val="single" w:color="1A171C" w:sz="4" w:space="0"/>
              <w:left w:val="nil"/>
              <w:bottom w:val="single" w:color="1A171C" w:sz="4" w:space="0"/>
              <w:right w:val="single" w:color="1A171C" w:sz="4" w:space="0"/>
            </w:tcBorders>
            <w:vAlign w:val="center"/>
          </w:tcPr>
          <w:p w:rsidRPr="00D43D39" w:rsidR="0081175C" w:rsidP="00367C1E" w:rsidRDefault="0081175C" w14:paraId="560DB709" w14:textId="4FE0E248">
            <w:pPr>
              <w:pStyle w:val="TableParagraph"/>
              <w:spacing w:before="106"/>
              <w:ind w:left="-1"/>
              <w:rPr>
                <w:rFonts w:ascii="Times New Roman" w:hAnsi="Times New Roman" w:eastAsia="Cambria" w:cs="Times New Roman"/>
                <w:b/>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F73CB0">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10</w:t>
            </w:r>
            <w:r w:rsidRPr="00D43D39" w:rsidR="001F2A5F">
              <w:rPr>
                <w:rFonts w:ascii="Times New Roman" w:hAnsi="Times New Roman" w:cs="Times New Roman"/>
                <w:color w:val="000000" w:themeColor="text1"/>
                <w:sz w:val="20"/>
                <w:szCs w:val="20"/>
                <w:lang w:val="en-GB"/>
              </w:rPr>
              <w:t>-0011</w:t>
            </w:r>
            <w:r w:rsidRPr="00D43D39">
              <w:rPr>
                <w:rFonts w:ascii="Times New Roman" w:hAnsi="Times New Roman" w:cs="Times New Roman"/>
                <w:color w:val="000000" w:themeColor="text1"/>
                <w:sz w:val="20"/>
                <w:szCs w:val="20"/>
                <w:lang w:val="en-GB"/>
              </w:rPr>
              <w:t xml:space="preserve"> </w:t>
            </w:r>
          </w:p>
        </w:tc>
        <w:tc>
          <w:tcPr>
            <w:tcW w:w="8118" w:type="dxa"/>
            <w:tcBorders>
              <w:top w:val="single" w:color="1A171C" w:sz="4" w:space="0"/>
              <w:left w:val="single" w:color="1A171C" w:sz="4" w:space="0"/>
              <w:bottom w:val="single" w:color="1A171C" w:sz="4" w:space="0"/>
              <w:right w:val="nil"/>
            </w:tcBorders>
            <w:vAlign w:val="center"/>
          </w:tcPr>
          <w:p w:rsidRPr="00D43D39" w:rsidR="0081175C" w:rsidP="0081175C" w:rsidRDefault="0081175C" w14:paraId="6733C3FC"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Households</w:t>
            </w:r>
          </w:p>
          <w:p w:rsidRPr="00D43D39" w:rsidR="0081175C" w:rsidP="0081175C" w:rsidRDefault="0081175C" w14:paraId="47F29415"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w:t>
            </w:r>
            <w:r w:rsidRPr="00D43D39" w:rsidR="00CF4CE8">
              <w:rPr>
                <w:rFonts w:ascii="Times New Roman" w:hAnsi="Times New Roman" w:eastAsia="Cambria" w:cs="Times New Roman"/>
                <w:color w:val="000000" w:themeColor="text1"/>
                <w:spacing w:val="-2"/>
                <w:w w:val="95"/>
                <w:sz w:val="20"/>
                <w:szCs w:val="20"/>
                <w:lang w:val="en-GB"/>
              </w:rPr>
              <w:t xml:space="preserve">INREP, </w:t>
            </w:r>
            <w:r w:rsidRPr="00D43D39">
              <w:rPr>
                <w:rFonts w:ascii="Times New Roman" w:hAnsi="Times New Roman" w:eastAsia="Cambria" w:cs="Times New Roman"/>
                <w:color w:val="000000" w:themeColor="text1"/>
                <w:spacing w:val="-2"/>
                <w:w w:val="95"/>
                <w:sz w:val="20"/>
                <w:szCs w:val="20"/>
                <w:lang w:val="en-GB"/>
              </w:rPr>
              <w:t>Annex V. Part 1</w:t>
            </w:r>
            <w:r w:rsidRPr="00D43D39" w:rsidR="004E1FA2">
              <w:rPr>
                <w:rFonts w:ascii="Times New Roman" w:hAnsi="Times New Roman" w:eastAsia="Cambria" w:cs="Times New Roman"/>
                <w:color w:val="000000" w:themeColor="text1"/>
                <w:spacing w:val="-2"/>
                <w:w w:val="95"/>
                <w:sz w:val="20"/>
                <w:szCs w:val="20"/>
                <w:lang w:val="en-GB"/>
              </w:rPr>
              <w:t>, paragrap</w:t>
            </w:r>
            <w:r w:rsidRPr="00D43D39" w:rsidR="00437E45">
              <w:rPr>
                <w:rFonts w:ascii="Times New Roman" w:hAnsi="Times New Roman" w:eastAsia="Cambria" w:cs="Times New Roman"/>
                <w:color w:val="000000" w:themeColor="text1"/>
                <w:spacing w:val="-2"/>
                <w:w w:val="95"/>
                <w:sz w:val="20"/>
                <w:szCs w:val="20"/>
                <w:lang w:val="en-GB"/>
              </w:rPr>
              <w:t>h</w:t>
            </w:r>
            <w:r w:rsidRPr="00D43D39" w:rsidR="00F82306">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42</w:t>
            </w:r>
            <w:r w:rsidRPr="00D43D39" w:rsidR="004E1FA2">
              <w:rPr>
                <w:rFonts w:ascii="Times New Roman" w:hAnsi="Times New Roman" w:eastAsia="Cambria" w:cs="Times New Roman"/>
                <w:color w:val="000000" w:themeColor="text1"/>
                <w:spacing w:val="-2"/>
                <w:w w:val="95"/>
                <w:sz w:val="20"/>
                <w:szCs w:val="20"/>
                <w:lang w:val="en-GB"/>
              </w:rPr>
              <w:t xml:space="preserve">, point </w:t>
            </w:r>
            <w:r w:rsidRPr="00D43D39">
              <w:rPr>
                <w:rFonts w:ascii="Times New Roman" w:hAnsi="Times New Roman" w:eastAsia="Cambria" w:cs="Times New Roman"/>
                <w:color w:val="000000" w:themeColor="text1"/>
                <w:spacing w:val="-2"/>
                <w:w w:val="95"/>
                <w:sz w:val="20"/>
                <w:szCs w:val="20"/>
                <w:lang w:val="en-GB"/>
              </w:rPr>
              <w:t xml:space="preserve">(f) </w:t>
            </w:r>
          </w:p>
          <w:p w:rsidRPr="00D43D39" w:rsidR="0081175C" w:rsidP="00F97BC8" w:rsidRDefault="0081175C" w14:paraId="4027B4EF" w14:textId="77777777">
            <w:pPr>
              <w:pStyle w:val="TableParagraph"/>
              <w:spacing w:before="108"/>
              <w:ind w:left="85"/>
              <w:jc w:val="both"/>
              <w:rPr>
                <w:rFonts w:ascii="Times New Roman" w:hAnsi="Times New Roman" w:cs="Times New Roman"/>
                <w:b/>
                <w:color w:val="000000" w:themeColor="text1"/>
                <w:spacing w:val="-1"/>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Individuals or groups of individuals as consumers, and producers of goods and non-financial services exclusively for their own final consumption, and as producers of market goods and non-financial and financial services provided that their activities are not those of quasi-corporations. Non-profit institutions which serve households and which are principally engaged in the production of non-market goods and services intended for particular groups of households </w:t>
            </w:r>
            <w:r w:rsidRPr="00D43D39" w:rsidR="00F97BC8">
              <w:rPr>
                <w:rFonts w:ascii="Times New Roman" w:hAnsi="Times New Roman" w:eastAsia="Cambria" w:cs="Times New Roman"/>
                <w:color w:val="000000" w:themeColor="text1"/>
                <w:spacing w:val="-2"/>
                <w:w w:val="95"/>
                <w:sz w:val="20"/>
                <w:szCs w:val="20"/>
                <w:lang w:val="en-GB"/>
              </w:rPr>
              <w:t>shall be</w:t>
            </w:r>
            <w:r w:rsidRPr="00D43D39">
              <w:rPr>
                <w:rFonts w:ascii="Times New Roman" w:hAnsi="Times New Roman" w:eastAsia="Cambria" w:cs="Times New Roman"/>
                <w:color w:val="000000" w:themeColor="text1"/>
                <w:spacing w:val="-2"/>
                <w:w w:val="95"/>
                <w:sz w:val="20"/>
                <w:szCs w:val="20"/>
                <w:lang w:val="en-GB"/>
              </w:rPr>
              <w:t xml:space="preserve"> included.</w:t>
            </w:r>
          </w:p>
        </w:tc>
      </w:tr>
      <w:tr w:rsidRPr="00D43D39" w:rsidR="00D22EB0" w:rsidTr="5E2F2DB1" w14:paraId="26250100" w14:textId="77777777">
        <w:tc>
          <w:tcPr>
            <w:tcW w:w="908" w:type="dxa"/>
            <w:tcBorders>
              <w:top w:val="single" w:color="1A171C" w:sz="4" w:space="0"/>
              <w:left w:val="nil"/>
              <w:bottom w:val="single" w:color="1A171C" w:sz="4" w:space="0"/>
              <w:right w:val="single" w:color="1A171C" w:sz="4" w:space="0"/>
            </w:tcBorders>
            <w:vAlign w:val="center"/>
          </w:tcPr>
          <w:p w:rsidRPr="00D43D39" w:rsidR="0081175C" w:rsidP="00367C1E" w:rsidRDefault="0081175C" w14:paraId="2D885F4E" w14:textId="436E64B9">
            <w:pPr>
              <w:pStyle w:val="TableParagraph"/>
              <w:spacing w:before="106"/>
              <w:ind w:left="-1"/>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F73CB0">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20</w:t>
            </w:r>
            <w:r w:rsidRPr="00D43D39" w:rsidR="001F2A5F">
              <w:rPr>
                <w:rFonts w:ascii="Times New Roman" w:hAnsi="Times New Roman" w:cs="Times New Roman"/>
                <w:color w:val="000000" w:themeColor="text1"/>
                <w:sz w:val="20"/>
                <w:szCs w:val="20"/>
                <w:lang w:val="en-GB"/>
              </w:rPr>
              <w:t>-0021</w:t>
            </w:r>
          </w:p>
        </w:tc>
        <w:tc>
          <w:tcPr>
            <w:tcW w:w="8118" w:type="dxa"/>
            <w:tcBorders>
              <w:top w:val="single" w:color="1A171C" w:sz="4" w:space="0"/>
              <w:left w:val="single" w:color="1A171C" w:sz="4" w:space="0"/>
              <w:bottom w:val="single" w:color="1A171C" w:sz="4" w:space="0"/>
              <w:right w:val="nil"/>
            </w:tcBorders>
            <w:vAlign w:val="center"/>
          </w:tcPr>
          <w:p w:rsidRPr="005F5507" w:rsidR="0081175C" w:rsidP="0081175C" w:rsidRDefault="0081175C" w14:paraId="63BD059B" w14:textId="77777777">
            <w:pPr>
              <w:pStyle w:val="TableParagraph"/>
              <w:spacing w:before="108"/>
              <w:ind w:left="85"/>
              <w:jc w:val="both"/>
              <w:rPr>
                <w:rFonts w:ascii="Times New Roman" w:hAnsi="Times New Roman" w:cs="Times New Roman"/>
                <w:b/>
                <w:color w:val="000000" w:themeColor="text1"/>
                <w:spacing w:val="-2"/>
                <w:w w:val="95"/>
                <w:sz w:val="20"/>
                <w:szCs w:val="20"/>
                <w:lang w:val="fr-FR"/>
              </w:rPr>
            </w:pPr>
            <w:r w:rsidRPr="005F5507">
              <w:rPr>
                <w:rFonts w:ascii="Times New Roman" w:hAnsi="Times New Roman" w:cs="Times New Roman"/>
                <w:b/>
                <w:color w:val="000000" w:themeColor="text1"/>
                <w:spacing w:val="-2"/>
                <w:w w:val="95"/>
                <w:sz w:val="20"/>
                <w:szCs w:val="20"/>
                <w:lang w:val="fr-FR"/>
              </w:rPr>
              <w:t>Non-financial corporations (SMEs)</w:t>
            </w:r>
          </w:p>
          <w:p w:rsidRPr="00D43D39" w:rsidR="001F2A5F" w:rsidP="001F2A5F" w:rsidRDefault="001F2A5F" w14:paraId="09EA1D7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fr-BE"/>
              </w:rPr>
            </w:pPr>
            <w:r w:rsidRPr="00D43D39">
              <w:rPr>
                <w:rFonts w:ascii="Times New Roman" w:hAnsi="Times New Roman" w:eastAsia="Cambria" w:cs="Times New Roman"/>
                <w:color w:val="000000" w:themeColor="text1"/>
                <w:spacing w:val="-2"/>
                <w:w w:val="95"/>
                <w:sz w:val="20"/>
                <w:szCs w:val="20"/>
                <w:lang w:val="fr-BE"/>
              </w:rPr>
              <w:t>FINREP, Annex V. Part 1, paragraph 42, point (e)</w:t>
            </w:r>
          </w:p>
          <w:p w:rsidRPr="00D43D39" w:rsidR="001F2A5F" w:rsidRDefault="001F2A5F" w14:paraId="3F185A00" w14:textId="02FC4DA1">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Corporations and quasi-corporations not engaged in financial intermediation but principally in the production of market goods and non-financial services according to Regulation (EU) No </w:t>
            </w:r>
            <w:r w:rsidR="000B622A">
              <w:rPr>
                <w:rFonts w:ascii="Times New Roman" w:hAnsi="Times New Roman" w:eastAsia="Cambria" w:cs="Times New Roman"/>
                <w:color w:val="000000" w:themeColor="text1"/>
                <w:spacing w:val="-2"/>
                <w:w w:val="95"/>
                <w:sz w:val="20"/>
                <w:szCs w:val="20"/>
                <w:lang w:val="en-GB"/>
              </w:rPr>
              <w:t>2021/379</w:t>
            </w:r>
            <w:r w:rsidRPr="00D43D39">
              <w:rPr>
                <w:rFonts w:ascii="Times New Roman" w:hAnsi="Times New Roman" w:eastAsia="Cambria" w:cs="Times New Roman"/>
                <w:color w:val="000000" w:themeColor="text1"/>
                <w:spacing w:val="-2"/>
                <w:w w:val="95"/>
                <w:sz w:val="20"/>
                <w:szCs w:val="20"/>
                <w:lang w:val="en-GB"/>
              </w:rPr>
              <w:t xml:space="preserve"> of</w:t>
            </w:r>
            <w:r w:rsidRPr="00D43D39">
              <w:rPr>
                <w:rFonts w:ascii="Times New Roman" w:hAnsi="Times New Roman" w:cs="Times New Roman"/>
                <w:color w:val="000000" w:themeColor="text1"/>
                <w:sz w:val="20"/>
                <w:szCs w:val="20"/>
                <w:lang w:val="en-GB" w:eastAsia="en-GB"/>
              </w:rPr>
              <w:t xml:space="preserve"> </w:t>
            </w:r>
            <w:r w:rsidRPr="00D43D39">
              <w:rPr>
                <w:rFonts w:ascii="Times New Roman" w:hAnsi="Times New Roman" w:eastAsia="Cambria" w:cs="Times New Roman"/>
                <w:color w:val="000000" w:themeColor="text1"/>
                <w:spacing w:val="-2"/>
                <w:w w:val="95"/>
                <w:sz w:val="20"/>
                <w:szCs w:val="20"/>
                <w:lang w:val="en-GB"/>
              </w:rPr>
              <w:t>the European Central Bank</w:t>
            </w:r>
            <w:r w:rsidRPr="00D43D39">
              <w:rPr>
                <w:rFonts w:ascii="Times New Roman" w:hAnsi="Times New Roman" w:cs="Times New Roman"/>
                <w:color w:val="000000" w:themeColor="text1"/>
                <w:sz w:val="20"/>
                <w:szCs w:val="20"/>
                <w:vertAlign w:val="superscript"/>
                <w:lang w:val="en-GB"/>
              </w:rPr>
              <w:footnoteReference w:id="11"/>
            </w:r>
            <w:r w:rsidRPr="00D43D39">
              <w:rPr>
                <w:rFonts w:ascii="Times New Roman" w:hAnsi="Times New Roman" w:eastAsia="Cambria" w:cs="Times New Roman"/>
                <w:color w:val="000000" w:themeColor="text1"/>
                <w:spacing w:val="-2"/>
                <w:w w:val="95"/>
                <w:sz w:val="20"/>
                <w:szCs w:val="20"/>
                <w:lang w:val="en-GB"/>
              </w:rPr>
              <w:t>, which also meet the following definition of SME:</w:t>
            </w:r>
          </w:p>
          <w:p w:rsidRPr="00D43D39" w:rsidR="0081175C" w:rsidP="0081175C" w:rsidRDefault="00CF4CE8" w14:paraId="658CF614" w14:textId="28D0081B">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Annex, Title I, Article 2.1</w:t>
            </w:r>
            <w:r w:rsidRPr="00D43D39" w:rsidR="00C62EEE">
              <w:rPr>
                <w:rFonts w:ascii="Times New Roman" w:hAnsi="Times New Roman" w:eastAsia="Cambria" w:cs="Times New Roman"/>
                <w:color w:val="000000" w:themeColor="text1"/>
                <w:spacing w:val="-2"/>
                <w:w w:val="95"/>
                <w:sz w:val="20"/>
                <w:szCs w:val="20"/>
                <w:lang w:val="en-GB"/>
              </w:rPr>
              <w:t xml:space="preserve"> of</w:t>
            </w:r>
            <w:r w:rsidRPr="00D43D39">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Commission Recommendation of 6 May 2003</w:t>
            </w:r>
            <w:r w:rsidRPr="005F5507" w:rsidR="0023501F">
              <w:rPr>
                <w:rStyle w:val="FootnoteReference"/>
                <w:rFonts w:ascii="Times New Roman" w:hAnsi="Times New Roman" w:eastAsia="Cambria" w:cs="Times New Roman"/>
                <w:color w:val="1A171C"/>
                <w:spacing w:val="-2"/>
                <w:w w:val="95"/>
                <w:lang w:val="en-GB"/>
              </w:rPr>
              <w:footnoteReference w:id="12"/>
            </w:r>
            <w:r w:rsidRPr="00D43D39">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F</w:t>
            </w:r>
            <w:r w:rsidRPr="00D43D39">
              <w:rPr>
                <w:rFonts w:ascii="Times New Roman" w:hAnsi="Times New Roman" w:eastAsia="Cambria" w:cs="Times New Roman"/>
                <w:color w:val="000000" w:themeColor="text1"/>
                <w:spacing w:val="-2"/>
                <w:w w:val="95"/>
                <w:sz w:val="20"/>
                <w:szCs w:val="20"/>
                <w:lang w:val="en-GB"/>
              </w:rPr>
              <w:t xml:space="preserve">INREP, </w:t>
            </w:r>
            <w:r w:rsidRPr="00D43D39" w:rsidR="0081175C">
              <w:rPr>
                <w:rFonts w:ascii="Times New Roman" w:hAnsi="Times New Roman" w:eastAsia="Cambria" w:cs="Times New Roman"/>
                <w:color w:val="000000" w:themeColor="text1"/>
                <w:spacing w:val="-2"/>
                <w:w w:val="95"/>
                <w:sz w:val="20"/>
                <w:szCs w:val="20"/>
                <w:lang w:val="en-GB"/>
              </w:rPr>
              <w:t>Annex V Part 1</w:t>
            </w:r>
            <w:r w:rsidRPr="00D43D39" w:rsidR="00465F41">
              <w:rPr>
                <w:rFonts w:ascii="Times New Roman" w:hAnsi="Times New Roman" w:eastAsia="Cambria" w:cs="Times New Roman"/>
                <w:color w:val="000000" w:themeColor="text1"/>
                <w:spacing w:val="-2"/>
                <w:w w:val="95"/>
                <w:sz w:val="20"/>
                <w:szCs w:val="20"/>
                <w:lang w:val="en-GB"/>
              </w:rPr>
              <w:t xml:space="preserve">, paragraph </w:t>
            </w:r>
            <w:r w:rsidRPr="00D43D39">
              <w:rPr>
                <w:rFonts w:ascii="Times New Roman" w:hAnsi="Times New Roman" w:eastAsia="Cambria" w:cs="Times New Roman"/>
                <w:color w:val="000000" w:themeColor="text1"/>
                <w:spacing w:val="-2"/>
                <w:w w:val="95"/>
                <w:sz w:val="20"/>
                <w:szCs w:val="20"/>
                <w:lang w:val="en-GB"/>
              </w:rPr>
              <w:t>5</w:t>
            </w:r>
            <w:r w:rsidRPr="00D43D39" w:rsidR="0081175C">
              <w:rPr>
                <w:rFonts w:ascii="Times New Roman" w:hAnsi="Times New Roman" w:eastAsia="Cambria" w:cs="Times New Roman"/>
                <w:color w:val="000000" w:themeColor="text1"/>
                <w:spacing w:val="-2"/>
                <w:w w:val="95"/>
                <w:sz w:val="20"/>
                <w:szCs w:val="20"/>
                <w:lang w:val="en-GB"/>
              </w:rPr>
              <w:t>(</w:t>
            </w:r>
            <w:r w:rsidRPr="00D43D39">
              <w:rPr>
                <w:rFonts w:ascii="Times New Roman" w:hAnsi="Times New Roman" w:eastAsia="Cambria" w:cs="Times New Roman"/>
                <w:color w:val="000000" w:themeColor="text1"/>
                <w:spacing w:val="-2"/>
                <w:w w:val="95"/>
                <w:sz w:val="20"/>
                <w:szCs w:val="20"/>
                <w:lang w:val="en-GB"/>
              </w:rPr>
              <w:t>i</w:t>
            </w:r>
            <w:r w:rsidRPr="00D43D39" w:rsidR="0081175C">
              <w:rPr>
                <w:rFonts w:ascii="Times New Roman" w:hAnsi="Times New Roman" w:eastAsia="Cambria" w:cs="Times New Roman"/>
                <w:color w:val="000000" w:themeColor="text1"/>
                <w:spacing w:val="-2"/>
                <w:w w:val="95"/>
                <w:sz w:val="20"/>
                <w:szCs w:val="20"/>
                <w:lang w:val="en-GB"/>
              </w:rPr>
              <w:t>)</w:t>
            </w:r>
            <w:r w:rsidRPr="00D43D39" w:rsidR="00EA4FA1">
              <w:rPr>
                <w:rFonts w:ascii="Times New Roman" w:hAnsi="Times New Roman" w:eastAsia="Cambria" w:cs="Times New Roman"/>
                <w:color w:val="000000" w:themeColor="text1"/>
                <w:spacing w:val="-2"/>
                <w:w w:val="95"/>
                <w:sz w:val="20"/>
                <w:szCs w:val="20"/>
                <w:lang w:val="en-GB"/>
              </w:rPr>
              <w:t>.</w:t>
            </w:r>
          </w:p>
          <w:p w:rsidRPr="00D43D39" w:rsidR="0081175C" w:rsidP="0081175C" w:rsidRDefault="0081175C" w14:paraId="6BC9573F" w14:textId="77777777">
            <w:pPr>
              <w:pStyle w:val="TableParagraph"/>
              <w:spacing w:before="108"/>
              <w:ind w:left="85"/>
              <w:jc w:val="both"/>
              <w:rPr>
                <w:rFonts w:ascii="Times New Roman" w:hAnsi="Times New Roman" w:eastAsia="Book Antiqua" w:cs="Times New Roman"/>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Enterprises which employ fewer than 250 persons and which have an annual turnover not exceeding EUR 50 million, and/or an annual balance sheet total not exceeding EUR 43 million.</w:t>
            </w:r>
          </w:p>
        </w:tc>
      </w:tr>
      <w:tr w:rsidRPr="00D43D39" w:rsidR="00D22EB0" w:rsidTr="5E2F2DB1" w14:paraId="4236B2F2" w14:textId="77777777">
        <w:tc>
          <w:tcPr>
            <w:tcW w:w="908" w:type="dxa"/>
            <w:tcBorders>
              <w:top w:val="single" w:color="1A171C" w:sz="4" w:space="0"/>
              <w:left w:val="nil"/>
              <w:bottom w:val="single" w:color="1A171C" w:sz="4" w:space="0"/>
              <w:right w:val="single" w:color="1A171C" w:sz="4" w:space="0"/>
            </w:tcBorders>
            <w:vAlign w:val="center"/>
          </w:tcPr>
          <w:p w:rsidRPr="00D43D39" w:rsidR="0081175C" w:rsidP="00367C1E" w:rsidRDefault="0081175C" w14:paraId="74A4333D" w14:textId="5642D0A6">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F73CB0">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30</w:t>
            </w:r>
            <w:r w:rsidRPr="00D43D39" w:rsidR="001F2A5F">
              <w:rPr>
                <w:rFonts w:ascii="Times New Roman" w:hAnsi="Times New Roman" w:cs="Times New Roman"/>
                <w:color w:val="000000" w:themeColor="text1"/>
                <w:sz w:val="20"/>
                <w:szCs w:val="20"/>
                <w:lang w:val="en-GB"/>
              </w:rPr>
              <w:t>-0031</w:t>
            </w:r>
          </w:p>
        </w:tc>
        <w:tc>
          <w:tcPr>
            <w:tcW w:w="8118" w:type="dxa"/>
            <w:tcBorders>
              <w:top w:val="single" w:color="1A171C" w:sz="4" w:space="0"/>
              <w:left w:val="single" w:color="1A171C" w:sz="4" w:space="0"/>
              <w:bottom w:val="single" w:color="1A171C" w:sz="4" w:space="0"/>
              <w:right w:val="nil"/>
            </w:tcBorders>
            <w:vAlign w:val="center"/>
          </w:tcPr>
          <w:p w:rsidRPr="00D43D39" w:rsidR="0081175C" w:rsidP="0081175C" w:rsidRDefault="0081175C" w14:paraId="5A4EADFC" w14:textId="77777777">
            <w:pPr>
              <w:pStyle w:val="TableParagraph"/>
              <w:spacing w:before="108"/>
              <w:ind w:left="85"/>
              <w:jc w:val="both"/>
              <w:rPr>
                <w:rFonts w:ascii="Times New Roman" w:hAnsi="Times New Roman" w:cs="Times New Roman"/>
                <w:b/>
                <w:color w:val="000000" w:themeColor="text1"/>
                <w:spacing w:val="-2"/>
                <w:w w:val="95"/>
                <w:sz w:val="20"/>
                <w:szCs w:val="20"/>
                <w:lang w:val="fr-BE"/>
              </w:rPr>
            </w:pPr>
            <w:r w:rsidRPr="00D43D39">
              <w:rPr>
                <w:rFonts w:ascii="Times New Roman" w:hAnsi="Times New Roman" w:cs="Times New Roman"/>
                <w:b/>
                <w:color w:val="000000" w:themeColor="text1"/>
                <w:spacing w:val="-2"/>
                <w:w w:val="95"/>
                <w:sz w:val="20"/>
                <w:szCs w:val="20"/>
                <w:lang w:val="fr-BE"/>
              </w:rPr>
              <w:t>Non-financial corporations (non-SMEs)</w:t>
            </w:r>
          </w:p>
          <w:p w:rsidRPr="00045F3F" w:rsidR="0081175C" w:rsidP="0081175C" w:rsidRDefault="0081175C" w14:paraId="17757C15"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045F3F">
              <w:rPr>
                <w:rFonts w:ascii="Times New Roman" w:hAnsi="Times New Roman" w:eastAsia="Cambria" w:cs="Times New Roman"/>
                <w:color w:val="000000" w:themeColor="text1"/>
                <w:spacing w:val="-2"/>
                <w:w w:val="95"/>
                <w:sz w:val="20"/>
                <w:szCs w:val="20"/>
                <w:lang w:val="en-GB"/>
              </w:rPr>
              <w:t>F</w:t>
            </w:r>
            <w:r w:rsidRPr="00045F3F" w:rsidR="00CF4CE8">
              <w:rPr>
                <w:rFonts w:ascii="Times New Roman" w:hAnsi="Times New Roman" w:eastAsia="Cambria" w:cs="Times New Roman"/>
                <w:color w:val="000000" w:themeColor="text1"/>
                <w:spacing w:val="-2"/>
                <w:w w:val="95"/>
                <w:sz w:val="20"/>
                <w:szCs w:val="20"/>
                <w:lang w:val="en-GB"/>
              </w:rPr>
              <w:t xml:space="preserve">INREP, </w:t>
            </w:r>
            <w:r w:rsidRPr="00045F3F">
              <w:rPr>
                <w:rFonts w:ascii="Times New Roman" w:hAnsi="Times New Roman" w:eastAsia="Cambria" w:cs="Times New Roman"/>
                <w:color w:val="000000" w:themeColor="text1"/>
                <w:spacing w:val="-2"/>
                <w:w w:val="95"/>
                <w:sz w:val="20"/>
                <w:szCs w:val="20"/>
                <w:lang w:val="en-GB"/>
              </w:rPr>
              <w:t>Annex V. Part 1</w:t>
            </w:r>
            <w:r w:rsidRPr="00045F3F" w:rsidR="00437E45">
              <w:rPr>
                <w:rFonts w:ascii="Times New Roman" w:hAnsi="Times New Roman" w:eastAsia="Cambria" w:cs="Times New Roman"/>
                <w:color w:val="000000" w:themeColor="text1"/>
                <w:spacing w:val="-2"/>
                <w:w w:val="95"/>
                <w:sz w:val="20"/>
                <w:szCs w:val="20"/>
                <w:lang w:val="en-GB"/>
              </w:rPr>
              <w:t>, paragraph</w:t>
            </w:r>
            <w:r w:rsidRPr="00045F3F" w:rsidR="00F82306">
              <w:rPr>
                <w:rFonts w:ascii="Times New Roman" w:hAnsi="Times New Roman" w:eastAsia="Cambria" w:cs="Times New Roman"/>
                <w:color w:val="000000" w:themeColor="text1"/>
                <w:spacing w:val="-2"/>
                <w:w w:val="95"/>
                <w:sz w:val="20"/>
                <w:szCs w:val="20"/>
                <w:lang w:val="en-GB"/>
              </w:rPr>
              <w:t xml:space="preserve"> </w:t>
            </w:r>
            <w:r w:rsidRPr="00045F3F" w:rsidR="00CF4CE8">
              <w:rPr>
                <w:rFonts w:ascii="Times New Roman" w:hAnsi="Times New Roman" w:eastAsia="Cambria" w:cs="Times New Roman"/>
                <w:color w:val="000000" w:themeColor="text1"/>
                <w:spacing w:val="-2"/>
                <w:w w:val="95"/>
                <w:sz w:val="20"/>
                <w:szCs w:val="20"/>
                <w:lang w:val="en-GB"/>
              </w:rPr>
              <w:t>42</w:t>
            </w:r>
            <w:r w:rsidRPr="00045F3F" w:rsidR="00437E45">
              <w:rPr>
                <w:rFonts w:ascii="Times New Roman" w:hAnsi="Times New Roman" w:eastAsia="Cambria" w:cs="Times New Roman"/>
                <w:color w:val="000000" w:themeColor="text1"/>
                <w:spacing w:val="-2"/>
                <w:w w:val="95"/>
                <w:sz w:val="20"/>
                <w:szCs w:val="20"/>
                <w:lang w:val="en-GB"/>
              </w:rPr>
              <w:t xml:space="preserve">, point </w:t>
            </w:r>
            <w:r w:rsidRPr="00045F3F">
              <w:rPr>
                <w:rFonts w:ascii="Times New Roman" w:hAnsi="Times New Roman" w:eastAsia="Cambria" w:cs="Times New Roman"/>
                <w:color w:val="000000" w:themeColor="text1"/>
                <w:spacing w:val="-2"/>
                <w:w w:val="95"/>
                <w:sz w:val="20"/>
                <w:szCs w:val="20"/>
                <w:lang w:val="en-GB"/>
              </w:rPr>
              <w:t>(e)</w:t>
            </w:r>
          </w:p>
          <w:p w:rsidRPr="00D43D39" w:rsidR="0081175C" w:rsidP="0081175C" w:rsidRDefault="0081175C" w14:paraId="1125FBD0" w14:textId="3D0DDFC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Corporations and quasi-corporations not engaged in financial intermediation but principally in the production of market goods and non-financial services according to </w:t>
            </w:r>
            <w:r w:rsidRPr="00D43D39" w:rsidR="001D258F">
              <w:rPr>
                <w:rFonts w:ascii="Times New Roman" w:hAnsi="Times New Roman" w:eastAsia="Cambria" w:cs="Times New Roman"/>
                <w:color w:val="000000" w:themeColor="text1"/>
                <w:spacing w:val="-2"/>
                <w:w w:val="95"/>
                <w:sz w:val="20"/>
                <w:szCs w:val="20"/>
                <w:lang w:val="en-GB"/>
              </w:rPr>
              <w:t xml:space="preserve">Regulation (EU) No </w:t>
            </w:r>
            <w:r w:rsidR="000B622A">
              <w:rPr>
                <w:rFonts w:ascii="Times New Roman" w:hAnsi="Times New Roman" w:eastAsia="Cambria" w:cs="Times New Roman"/>
                <w:color w:val="000000" w:themeColor="text1"/>
                <w:spacing w:val="-2"/>
                <w:w w:val="95"/>
                <w:sz w:val="20"/>
                <w:szCs w:val="20"/>
                <w:lang w:val="en-GB"/>
              </w:rPr>
              <w:t>2021/379</w:t>
            </w:r>
            <w:r w:rsidRPr="00D43D39" w:rsidR="001D258F">
              <w:rPr>
                <w:rFonts w:ascii="Times New Roman" w:hAnsi="Times New Roman" w:eastAsia="Cambria" w:cs="Times New Roman"/>
                <w:color w:val="000000" w:themeColor="text1"/>
                <w:spacing w:val="-2"/>
                <w:w w:val="95"/>
                <w:sz w:val="20"/>
                <w:szCs w:val="20"/>
                <w:lang w:val="en-GB"/>
              </w:rPr>
              <w:t xml:space="preserve"> of</w:t>
            </w:r>
            <w:r w:rsidRPr="00D43D39" w:rsidR="00586758">
              <w:rPr>
                <w:rFonts w:ascii="Times New Roman" w:hAnsi="Times New Roman" w:cs="Times New Roman"/>
                <w:color w:val="000000" w:themeColor="text1"/>
                <w:sz w:val="20"/>
                <w:szCs w:val="20"/>
                <w:lang w:val="en-GB" w:eastAsia="en-GB"/>
              </w:rPr>
              <w:t xml:space="preserve"> </w:t>
            </w:r>
            <w:r w:rsidRPr="00D43D39" w:rsidR="001D258F">
              <w:rPr>
                <w:rFonts w:ascii="Times New Roman" w:hAnsi="Times New Roman" w:eastAsia="Cambria" w:cs="Times New Roman"/>
                <w:color w:val="000000" w:themeColor="text1"/>
                <w:spacing w:val="-2"/>
                <w:w w:val="95"/>
                <w:sz w:val="20"/>
                <w:szCs w:val="20"/>
                <w:lang w:val="en-GB"/>
              </w:rPr>
              <w:t>the European Central Bank</w:t>
            </w:r>
            <w:r w:rsidRPr="00D43D39">
              <w:rPr>
                <w:rFonts w:ascii="Times New Roman" w:hAnsi="Times New Roman" w:eastAsia="Cambria" w:cs="Times New Roman"/>
                <w:color w:val="000000" w:themeColor="text1"/>
                <w:spacing w:val="-2"/>
                <w:w w:val="95"/>
                <w:sz w:val="20"/>
                <w:szCs w:val="20"/>
                <w:lang w:val="en-GB"/>
              </w:rPr>
              <w:t>.</w:t>
            </w:r>
          </w:p>
          <w:p w:rsidRPr="00D43D39" w:rsidR="0081175C" w:rsidP="00CF4CE8" w:rsidRDefault="0081175C" w14:paraId="793A074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Exclud</w:t>
            </w:r>
            <w:r w:rsidRPr="00D43D39" w:rsidR="00CF4CE8">
              <w:rPr>
                <w:rFonts w:ascii="Times New Roman" w:hAnsi="Times New Roman" w:eastAsia="Cambria" w:cs="Times New Roman"/>
                <w:color w:val="000000" w:themeColor="text1"/>
                <w:spacing w:val="-2"/>
                <w:w w:val="95"/>
                <w:sz w:val="20"/>
                <w:szCs w:val="20"/>
                <w:lang w:val="en-GB"/>
              </w:rPr>
              <w:t>es</w:t>
            </w:r>
            <w:r w:rsidRPr="00D43D39">
              <w:rPr>
                <w:rFonts w:ascii="Times New Roman" w:hAnsi="Times New Roman" w:eastAsia="Cambria" w:cs="Times New Roman"/>
                <w:color w:val="000000" w:themeColor="text1"/>
                <w:spacing w:val="-2"/>
                <w:w w:val="95"/>
                <w:sz w:val="20"/>
                <w:szCs w:val="20"/>
                <w:lang w:val="en-GB"/>
              </w:rPr>
              <w:t xml:space="preserve"> 'SMEs' reported in column 0</w:t>
            </w:r>
            <w:r w:rsidRPr="00D43D39" w:rsidR="00573846">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 xml:space="preserve">20. </w:t>
            </w:r>
          </w:p>
        </w:tc>
      </w:tr>
      <w:tr w:rsidRPr="00D43D39" w:rsidR="00D22EB0" w:rsidTr="5E2F2DB1" w14:paraId="2BCFD931" w14:textId="77777777">
        <w:tc>
          <w:tcPr>
            <w:tcW w:w="908" w:type="dxa"/>
            <w:tcBorders>
              <w:top w:val="single" w:color="1A171C" w:sz="4" w:space="0"/>
              <w:left w:val="nil"/>
              <w:bottom w:val="single" w:color="1A171C" w:sz="4" w:space="0"/>
              <w:right w:val="single" w:color="1A171C" w:sz="4" w:space="0"/>
            </w:tcBorders>
            <w:vAlign w:val="center"/>
          </w:tcPr>
          <w:p w:rsidRPr="00D43D39" w:rsidR="0081175C" w:rsidP="00367C1E" w:rsidRDefault="0081175C" w14:paraId="477BBA91" w14:textId="30135B8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F73CB0">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40</w:t>
            </w:r>
            <w:r w:rsidRPr="00D43D39" w:rsidR="002B2C4A">
              <w:rPr>
                <w:rFonts w:ascii="Times New Roman" w:hAnsi="Times New Roman" w:cs="Times New Roman"/>
                <w:color w:val="000000" w:themeColor="text1"/>
                <w:sz w:val="20"/>
                <w:szCs w:val="20"/>
                <w:lang w:val="en-GB"/>
              </w:rPr>
              <w:t>-0041</w:t>
            </w:r>
          </w:p>
        </w:tc>
        <w:tc>
          <w:tcPr>
            <w:tcW w:w="8118" w:type="dxa"/>
            <w:tcBorders>
              <w:top w:val="single" w:color="1A171C" w:sz="4" w:space="0"/>
              <w:left w:val="single" w:color="1A171C" w:sz="4" w:space="0"/>
              <w:bottom w:val="single" w:color="1A171C" w:sz="4" w:space="0"/>
              <w:right w:val="nil"/>
            </w:tcBorders>
            <w:vAlign w:val="center"/>
          </w:tcPr>
          <w:p w:rsidRPr="00D43D39" w:rsidR="0081175C" w:rsidP="00CF4CE8" w:rsidRDefault="0081175C" w14:paraId="70B11F8B"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Credit institutions</w:t>
            </w:r>
          </w:p>
          <w:p w:rsidRPr="00D43D39" w:rsidR="0081175C" w:rsidP="0081175C" w:rsidRDefault="0081175C" w14:paraId="561413A7"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w:t>
            </w:r>
            <w:r w:rsidRPr="00D43D39" w:rsidR="00CF4CE8">
              <w:rPr>
                <w:rFonts w:ascii="Times New Roman" w:hAnsi="Times New Roman" w:eastAsia="Cambria" w:cs="Times New Roman"/>
                <w:color w:val="000000" w:themeColor="text1"/>
                <w:spacing w:val="-2"/>
                <w:w w:val="95"/>
                <w:sz w:val="20"/>
                <w:szCs w:val="20"/>
                <w:lang w:val="en-GB"/>
              </w:rPr>
              <w:t xml:space="preserve">INREP, </w:t>
            </w:r>
            <w:r w:rsidRPr="00D43D39">
              <w:rPr>
                <w:rFonts w:ascii="Times New Roman" w:hAnsi="Times New Roman" w:eastAsia="Cambria" w:cs="Times New Roman"/>
                <w:color w:val="000000" w:themeColor="text1"/>
                <w:spacing w:val="-2"/>
                <w:w w:val="95"/>
                <w:sz w:val="20"/>
                <w:szCs w:val="20"/>
                <w:lang w:val="en-GB"/>
              </w:rPr>
              <w:t>Annex V. Part 1</w:t>
            </w:r>
            <w:r w:rsidRPr="00D43D39" w:rsidR="00437E45">
              <w:rPr>
                <w:rFonts w:ascii="Times New Roman" w:hAnsi="Times New Roman" w:eastAsia="Cambria" w:cs="Times New Roman"/>
                <w:color w:val="000000" w:themeColor="text1"/>
                <w:spacing w:val="-2"/>
                <w:w w:val="95"/>
                <w:sz w:val="20"/>
                <w:szCs w:val="20"/>
                <w:lang w:val="en-GB"/>
              </w:rPr>
              <w:t>, paragraph</w:t>
            </w:r>
            <w:r w:rsidRPr="00D43D39" w:rsidR="00F82306">
              <w:rPr>
                <w:rFonts w:ascii="Times New Roman" w:hAnsi="Times New Roman" w:eastAsia="Cambria" w:cs="Times New Roman"/>
                <w:color w:val="000000" w:themeColor="text1"/>
                <w:spacing w:val="-2"/>
                <w:w w:val="95"/>
                <w:sz w:val="20"/>
                <w:szCs w:val="20"/>
                <w:lang w:val="en-GB"/>
              </w:rPr>
              <w:t xml:space="preserve"> </w:t>
            </w:r>
            <w:r w:rsidRPr="00D43D39" w:rsidR="00CF4CE8">
              <w:rPr>
                <w:rFonts w:ascii="Times New Roman" w:hAnsi="Times New Roman" w:eastAsia="Cambria" w:cs="Times New Roman"/>
                <w:color w:val="000000" w:themeColor="text1"/>
                <w:spacing w:val="-2"/>
                <w:w w:val="95"/>
                <w:sz w:val="20"/>
                <w:szCs w:val="20"/>
                <w:lang w:val="en-GB"/>
              </w:rPr>
              <w:t>42</w:t>
            </w:r>
            <w:r w:rsidRPr="00D43D39" w:rsidR="00437E45">
              <w:rPr>
                <w:rFonts w:ascii="Times New Roman" w:hAnsi="Times New Roman" w:eastAsia="Cambria" w:cs="Times New Roman"/>
                <w:color w:val="000000" w:themeColor="text1"/>
                <w:spacing w:val="-2"/>
                <w:w w:val="95"/>
                <w:sz w:val="20"/>
                <w:szCs w:val="20"/>
                <w:lang w:val="en-GB"/>
              </w:rPr>
              <w:t xml:space="preserve">, point </w:t>
            </w:r>
            <w:r w:rsidRPr="00D43D39">
              <w:rPr>
                <w:rFonts w:ascii="Times New Roman" w:hAnsi="Times New Roman" w:eastAsia="Cambria" w:cs="Times New Roman"/>
                <w:color w:val="000000" w:themeColor="text1"/>
                <w:spacing w:val="-2"/>
                <w:w w:val="95"/>
                <w:sz w:val="20"/>
                <w:szCs w:val="20"/>
                <w:lang w:val="en-GB"/>
              </w:rPr>
              <w:t>(c)</w:t>
            </w:r>
          </w:p>
          <w:p w:rsidRPr="00D43D39" w:rsidR="0081175C" w:rsidP="00573846" w:rsidRDefault="00F97BC8" w14:paraId="5B42C6C2"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Credit institutions within the meaning of Article 4 (1) point (1) </w:t>
            </w:r>
            <w:r w:rsidRPr="00D43D39" w:rsidR="00573846">
              <w:rPr>
                <w:rFonts w:ascii="Times New Roman" w:hAnsi="Times New Roman" w:eastAsia="Cambria" w:cs="Times New Roman"/>
                <w:color w:val="000000" w:themeColor="text1"/>
                <w:spacing w:val="-2"/>
                <w:w w:val="95"/>
                <w:sz w:val="20"/>
                <w:szCs w:val="20"/>
                <w:lang w:val="en-GB"/>
              </w:rPr>
              <w:t xml:space="preserve">of </w:t>
            </w:r>
            <w:r w:rsidRPr="00D43D39" w:rsidR="00573846">
              <w:rPr>
                <w:rFonts w:ascii="Times New Roman" w:hAnsi="Times New Roman" w:cs="Times New Roman"/>
                <w:color w:val="000000" w:themeColor="text1"/>
                <w:sz w:val="20"/>
                <w:szCs w:val="20"/>
                <w:lang w:val="en-GB"/>
              </w:rPr>
              <w:t>Regulation (EU) No 575/2013</w:t>
            </w:r>
            <w:r w:rsidRPr="00D43D39" w:rsidR="0081175C">
              <w:rPr>
                <w:rFonts w:ascii="Times New Roman" w:hAnsi="Times New Roman" w:eastAsia="Cambria" w:cs="Times New Roman"/>
                <w:color w:val="000000" w:themeColor="text1"/>
                <w:spacing w:val="-2"/>
                <w:w w:val="95"/>
                <w:sz w:val="20"/>
                <w:szCs w:val="20"/>
                <w:lang w:val="en-GB"/>
              </w:rPr>
              <w:t xml:space="preserve"> and multilateral </w:t>
            </w:r>
            <w:r w:rsidRPr="00D43D39" w:rsidR="00CF4CE8">
              <w:rPr>
                <w:rFonts w:ascii="Times New Roman" w:hAnsi="Times New Roman" w:eastAsia="Cambria" w:cs="Times New Roman"/>
                <w:color w:val="000000" w:themeColor="text1"/>
                <w:spacing w:val="-2"/>
                <w:w w:val="95"/>
                <w:sz w:val="20"/>
                <w:szCs w:val="20"/>
                <w:lang w:val="en-GB"/>
              </w:rPr>
              <w:t xml:space="preserve">development </w:t>
            </w:r>
            <w:r w:rsidRPr="00D43D39" w:rsidR="0081175C">
              <w:rPr>
                <w:rFonts w:ascii="Times New Roman" w:hAnsi="Times New Roman" w:eastAsia="Cambria" w:cs="Times New Roman"/>
                <w:color w:val="000000" w:themeColor="text1"/>
                <w:spacing w:val="-2"/>
                <w:w w:val="95"/>
                <w:sz w:val="20"/>
                <w:szCs w:val="20"/>
                <w:lang w:val="en-GB"/>
              </w:rPr>
              <w:t>banks.</w:t>
            </w:r>
          </w:p>
        </w:tc>
      </w:tr>
      <w:tr w:rsidRPr="00D43D39" w:rsidR="00D22EB0" w:rsidTr="5E2F2DB1" w14:paraId="472CA265" w14:textId="77777777">
        <w:tc>
          <w:tcPr>
            <w:tcW w:w="908" w:type="dxa"/>
            <w:tcBorders>
              <w:top w:val="single" w:color="1A171C" w:sz="4" w:space="0"/>
              <w:left w:val="nil"/>
              <w:bottom w:val="single" w:color="1A171C" w:sz="4" w:space="0"/>
              <w:right w:val="single" w:color="1A171C" w:sz="4" w:space="0"/>
            </w:tcBorders>
            <w:vAlign w:val="center"/>
          </w:tcPr>
          <w:p w:rsidRPr="00D43D39" w:rsidR="0081175C" w:rsidP="00367C1E" w:rsidRDefault="0081175C" w14:paraId="5FCC0909" w14:textId="31C8301F">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F73CB0">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50</w:t>
            </w:r>
            <w:r w:rsidRPr="00D43D39" w:rsidR="002B2C4A">
              <w:rPr>
                <w:rFonts w:ascii="Times New Roman" w:hAnsi="Times New Roman" w:cs="Times New Roman"/>
                <w:color w:val="000000" w:themeColor="text1"/>
                <w:sz w:val="20"/>
                <w:szCs w:val="20"/>
                <w:lang w:val="en-GB"/>
              </w:rPr>
              <w:t>-0051</w:t>
            </w:r>
          </w:p>
        </w:tc>
        <w:tc>
          <w:tcPr>
            <w:tcW w:w="8118" w:type="dxa"/>
            <w:tcBorders>
              <w:top w:val="single" w:color="1A171C" w:sz="4" w:space="0"/>
              <w:left w:val="single" w:color="1A171C" w:sz="4" w:space="0"/>
              <w:bottom w:val="single" w:color="1A171C" w:sz="4" w:space="0"/>
              <w:right w:val="nil"/>
            </w:tcBorders>
            <w:vAlign w:val="center"/>
          </w:tcPr>
          <w:p w:rsidRPr="00D43D39" w:rsidR="0081175C" w:rsidP="00F97BC8" w:rsidRDefault="0081175C" w14:paraId="31838F1D"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Other financial corporations</w:t>
            </w:r>
          </w:p>
          <w:p w:rsidRPr="00D43D39" w:rsidR="0081175C" w:rsidP="0081175C" w:rsidRDefault="0081175C" w14:paraId="1F161425"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w:t>
            </w:r>
            <w:r w:rsidRPr="00D43D39" w:rsidR="00F97BC8">
              <w:rPr>
                <w:rFonts w:ascii="Times New Roman" w:hAnsi="Times New Roman" w:eastAsia="Cambria" w:cs="Times New Roman"/>
                <w:color w:val="000000" w:themeColor="text1"/>
                <w:spacing w:val="-2"/>
                <w:w w:val="95"/>
                <w:sz w:val="20"/>
                <w:szCs w:val="20"/>
                <w:lang w:val="en-GB"/>
              </w:rPr>
              <w:t xml:space="preserve">INREP, </w:t>
            </w:r>
            <w:r w:rsidRPr="00D43D39">
              <w:rPr>
                <w:rFonts w:ascii="Times New Roman" w:hAnsi="Times New Roman" w:eastAsia="Cambria" w:cs="Times New Roman"/>
                <w:color w:val="000000" w:themeColor="text1"/>
                <w:spacing w:val="-2"/>
                <w:w w:val="95"/>
                <w:sz w:val="20"/>
                <w:szCs w:val="20"/>
                <w:lang w:val="en-GB"/>
              </w:rPr>
              <w:t>Annex V. Part 1</w:t>
            </w:r>
            <w:r w:rsidRPr="00D43D39" w:rsidR="00437E45">
              <w:rPr>
                <w:rFonts w:ascii="Times New Roman" w:hAnsi="Times New Roman" w:eastAsia="Cambria" w:cs="Times New Roman"/>
                <w:color w:val="000000" w:themeColor="text1"/>
                <w:spacing w:val="-2"/>
                <w:w w:val="95"/>
                <w:sz w:val="20"/>
                <w:szCs w:val="20"/>
                <w:lang w:val="en-GB"/>
              </w:rPr>
              <w:t>, paragraph</w:t>
            </w:r>
            <w:r w:rsidRPr="00D43D39" w:rsidR="00F82306">
              <w:rPr>
                <w:rFonts w:ascii="Times New Roman" w:hAnsi="Times New Roman" w:eastAsia="Cambria" w:cs="Times New Roman"/>
                <w:color w:val="000000" w:themeColor="text1"/>
                <w:spacing w:val="-2"/>
                <w:w w:val="95"/>
                <w:sz w:val="20"/>
                <w:szCs w:val="20"/>
                <w:lang w:val="en-GB"/>
              </w:rPr>
              <w:t xml:space="preserve"> </w:t>
            </w:r>
            <w:r w:rsidRPr="00D43D39" w:rsidR="00F97BC8">
              <w:rPr>
                <w:rFonts w:ascii="Times New Roman" w:hAnsi="Times New Roman" w:eastAsia="Cambria" w:cs="Times New Roman"/>
                <w:color w:val="000000" w:themeColor="text1"/>
                <w:spacing w:val="-2"/>
                <w:w w:val="95"/>
                <w:sz w:val="20"/>
                <w:szCs w:val="20"/>
                <w:lang w:val="en-GB"/>
              </w:rPr>
              <w:t>42</w:t>
            </w:r>
            <w:r w:rsidRPr="00D43D39" w:rsidR="00437E45">
              <w:rPr>
                <w:rFonts w:ascii="Times New Roman" w:hAnsi="Times New Roman" w:eastAsia="Cambria" w:cs="Times New Roman"/>
                <w:color w:val="000000" w:themeColor="text1"/>
                <w:spacing w:val="-2"/>
                <w:w w:val="95"/>
                <w:sz w:val="20"/>
                <w:szCs w:val="20"/>
                <w:lang w:val="en-GB"/>
              </w:rPr>
              <w:t xml:space="preserve">, point </w:t>
            </w:r>
            <w:r w:rsidRPr="00D43D39">
              <w:rPr>
                <w:rFonts w:ascii="Times New Roman" w:hAnsi="Times New Roman" w:eastAsia="Cambria" w:cs="Times New Roman"/>
                <w:color w:val="000000" w:themeColor="text1"/>
                <w:spacing w:val="-2"/>
                <w:w w:val="95"/>
                <w:sz w:val="20"/>
                <w:szCs w:val="20"/>
                <w:lang w:val="en-GB"/>
              </w:rPr>
              <w:t>(d)</w:t>
            </w:r>
          </w:p>
          <w:p w:rsidRPr="00D43D39" w:rsidR="0081175C" w:rsidP="00F97BC8" w:rsidRDefault="0081175C" w14:paraId="2D0F834B" w14:textId="584F982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All financial corporations and quasi-corporations other than credit institutions such as investment firms, investment funds, insurance companies, pension funds, collective investment undertakings, and clearing houses as well as remaining financial intermediaries</w:t>
            </w:r>
            <w:r w:rsidRPr="00D43D39" w:rsidR="00F97BC8">
              <w:rPr>
                <w:rFonts w:ascii="Times New Roman" w:hAnsi="Times New Roman" w:eastAsia="Cambria" w:cs="Times New Roman"/>
                <w:color w:val="000000" w:themeColor="text1"/>
                <w:spacing w:val="-2"/>
                <w:w w:val="95"/>
                <w:sz w:val="20"/>
                <w:szCs w:val="20"/>
                <w:lang w:val="en-GB"/>
              </w:rPr>
              <w:t>,</w:t>
            </w:r>
            <w:r w:rsidRPr="00D43D39">
              <w:rPr>
                <w:rFonts w:ascii="Times New Roman" w:hAnsi="Times New Roman" w:eastAsia="Cambria" w:cs="Times New Roman"/>
                <w:color w:val="000000" w:themeColor="text1"/>
                <w:spacing w:val="-2"/>
                <w:w w:val="95"/>
                <w:sz w:val="20"/>
                <w:szCs w:val="20"/>
                <w:lang w:val="en-GB"/>
              </w:rPr>
              <w:t xml:space="preserve"> financial auxiliaries</w:t>
            </w:r>
            <w:r w:rsidRPr="00D43D39" w:rsidR="00F97BC8">
              <w:rPr>
                <w:rFonts w:ascii="Times New Roman" w:hAnsi="Times New Roman" w:eastAsia="Cambria" w:cs="Times New Roman"/>
                <w:color w:val="000000" w:themeColor="text1"/>
                <w:spacing w:val="-2"/>
                <w:w w:val="95"/>
                <w:sz w:val="20"/>
                <w:szCs w:val="20"/>
                <w:lang w:val="en-GB"/>
              </w:rPr>
              <w:t xml:space="preserve"> and captive financial institutions and money lenders.</w:t>
            </w:r>
          </w:p>
        </w:tc>
      </w:tr>
      <w:tr w:rsidRPr="00D43D39" w:rsidR="002B2C4A" w:rsidTr="5E2F2DB1" w14:paraId="5BF33CE7" w14:textId="77777777">
        <w:tc>
          <w:tcPr>
            <w:tcW w:w="908" w:type="dxa"/>
            <w:tcBorders>
              <w:top w:val="single" w:color="1A171C" w:sz="4" w:space="0"/>
              <w:left w:val="nil"/>
              <w:bottom w:val="single" w:color="1A171C" w:sz="4" w:space="0"/>
              <w:right w:val="single" w:color="1A171C" w:sz="4" w:space="0"/>
            </w:tcBorders>
            <w:vAlign w:val="center"/>
          </w:tcPr>
          <w:p w:rsidRPr="00D43D39" w:rsidR="002B2C4A" w:rsidP="00367C1E" w:rsidRDefault="002B2C4A" w14:paraId="0E6EC662" w14:textId="61BD2FF5">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0055-0056</w:t>
            </w:r>
          </w:p>
        </w:tc>
        <w:tc>
          <w:tcPr>
            <w:tcW w:w="8118" w:type="dxa"/>
            <w:tcBorders>
              <w:top w:val="single" w:color="1A171C" w:sz="4" w:space="0"/>
              <w:left w:val="single" w:color="1A171C" w:sz="4" w:space="0"/>
              <w:bottom w:val="single" w:color="1A171C" w:sz="4" w:space="0"/>
              <w:right w:val="nil"/>
            </w:tcBorders>
            <w:vAlign w:val="center"/>
          </w:tcPr>
          <w:p w:rsidRPr="00D43D39" w:rsidR="002B2C4A" w:rsidP="00F97BC8" w:rsidRDefault="002B2C4A" w14:paraId="0E4909DE"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Of which Insurance firms &amp; pension funds</w:t>
            </w:r>
          </w:p>
          <w:p w:rsidRPr="00D43D39" w:rsidR="002B2C4A" w:rsidP="00F97BC8" w:rsidRDefault="002B2C4A" w14:paraId="4ABD51AD" w14:textId="5132AF7A">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5F5507">
              <w:rPr>
                <w:rFonts w:ascii="Times New Roman" w:hAnsi="Times New Roman" w:eastAsia="Cambria" w:cs="Times New Roman"/>
                <w:color w:val="000000" w:themeColor="text1"/>
                <w:spacing w:val="-2"/>
                <w:w w:val="95"/>
                <w:sz w:val="20"/>
                <w:szCs w:val="20"/>
                <w:lang w:val="en-GB"/>
              </w:rPr>
              <w:t>Insurance undertakings, reinsurance undertakings firms (as referred to in Article 13(1) to (6) of Directive 2009/138/EC of the European Parliament and of the Council) and pension and retirement funds.</w:t>
            </w:r>
          </w:p>
        </w:tc>
      </w:tr>
      <w:tr w:rsidRPr="00D43D39" w:rsidR="00D22EB0" w:rsidTr="5E2F2DB1" w14:paraId="5C3481F7" w14:textId="77777777">
        <w:tc>
          <w:tcPr>
            <w:tcW w:w="908" w:type="dxa"/>
            <w:tcBorders>
              <w:top w:val="single" w:color="1A171C" w:sz="4" w:space="0"/>
              <w:left w:val="nil"/>
              <w:bottom w:val="single" w:color="1A171C" w:sz="4" w:space="0"/>
              <w:right w:val="single" w:color="1A171C" w:sz="4" w:space="0"/>
            </w:tcBorders>
            <w:vAlign w:val="center"/>
          </w:tcPr>
          <w:p w:rsidRPr="00D43D39" w:rsidR="0081175C" w:rsidP="00367C1E" w:rsidRDefault="0081175C" w14:paraId="165EE7D7" w14:textId="2BAFC6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F73CB0">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60</w:t>
            </w:r>
            <w:r w:rsidR="006D63F4">
              <w:rPr>
                <w:rFonts w:ascii="Times New Roman" w:hAnsi="Times New Roman" w:cs="Times New Roman"/>
                <w:color w:val="000000" w:themeColor="text1"/>
                <w:sz w:val="20"/>
                <w:szCs w:val="20"/>
                <w:lang w:val="en-GB"/>
              </w:rPr>
              <w:t>-0061</w:t>
            </w:r>
          </w:p>
        </w:tc>
        <w:tc>
          <w:tcPr>
            <w:tcW w:w="8118" w:type="dxa"/>
            <w:tcBorders>
              <w:top w:val="single" w:color="1A171C" w:sz="4" w:space="0"/>
              <w:left w:val="single" w:color="1A171C" w:sz="4" w:space="0"/>
              <w:bottom w:val="single" w:color="1A171C" w:sz="4" w:space="0"/>
              <w:right w:val="nil"/>
            </w:tcBorders>
            <w:vAlign w:val="center"/>
          </w:tcPr>
          <w:p w:rsidRPr="00D43D39" w:rsidR="0081175C" w:rsidP="00F97BC8" w:rsidRDefault="0081175C" w14:paraId="51F0F334"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General governments &amp; Central banks</w:t>
            </w:r>
          </w:p>
          <w:p w:rsidRPr="00D43D39" w:rsidR="0081175C" w:rsidP="0081175C" w:rsidRDefault="0081175C" w14:paraId="23AEF26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w:t>
            </w:r>
            <w:r w:rsidRPr="00D43D39" w:rsidR="00F97BC8">
              <w:rPr>
                <w:rFonts w:ascii="Times New Roman" w:hAnsi="Times New Roman" w:eastAsia="Cambria" w:cs="Times New Roman"/>
                <w:color w:val="000000" w:themeColor="text1"/>
                <w:spacing w:val="-2"/>
                <w:w w:val="95"/>
                <w:sz w:val="20"/>
                <w:szCs w:val="20"/>
                <w:lang w:val="en-GB"/>
              </w:rPr>
              <w:t xml:space="preserve">INREP, </w:t>
            </w:r>
            <w:r w:rsidRPr="00D43D39">
              <w:rPr>
                <w:rFonts w:ascii="Times New Roman" w:hAnsi="Times New Roman" w:eastAsia="Cambria" w:cs="Times New Roman"/>
                <w:color w:val="000000" w:themeColor="text1"/>
                <w:spacing w:val="-2"/>
                <w:w w:val="95"/>
                <w:sz w:val="20"/>
                <w:szCs w:val="20"/>
                <w:lang w:val="en-GB"/>
              </w:rPr>
              <w:t>Annex V. Part 1</w:t>
            </w:r>
            <w:r w:rsidRPr="00D43D39" w:rsidR="00437E45">
              <w:rPr>
                <w:rFonts w:ascii="Times New Roman" w:hAnsi="Times New Roman" w:eastAsia="Cambria" w:cs="Times New Roman"/>
                <w:color w:val="000000" w:themeColor="text1"/>
                <w:spacing w:val="-2"/>
                <w:w w:val="95"/>
                <w:sz w:val="20"/>
                <w:szCs w:val="20"/>
                <w:lang w:val="en-GB"/>
              </w:rPr>
              <w:t>, paragraph</w:t>
            </w:r>
            <w:r w:rsidRPr="00D43D39" w:rsidR="00F82306">
              <w:rPr>
                <w:rFonts w:ascii="Times New Roman" w:hAnsi="Times New Roman" w:eastAsia="Cambria" w:cs="Times New Roman"/>
                <w:color w:val="000000" w:themeColor="text1"/>
                <w:spacing w:val="-2"/>
                <w:w w:val="95"/>
                <w:sz w:val="20"/>
                <w:szCs w:val="20"/>
                <w:lang w:val="en-GB"/>
              </w:rPr>
              <w:t xml:space="preserve"> </w:t>
            </w:r>
            <w:r w:rsidRPr="00D43D39" w:rsidR="008B292D">
              <w:rPr>
                <w:rFonts w:ascii="Times New Roman" w:hAnsi="Times New Roman" w:eastAsia="Cambria" w:cs="Times New Roman"/>
                <w:color w:val="000000" w:themeColor="text1"/>
                <w:spacing w:val="-2"/>
                <w:w w:val="95"/>
                <w:sz w:val="20"/>
                <w:szCs w:val="20"/>
                <w:lang w:val="en-GB"/>
              </w:rPr>
              <w:t>42</w:t>
            </w:r>
            <w:r w:rsidRPr="00D43D39" w:rsidR="00437E45">
              <w:rPr>
                <w:rFonts w:ascii="Times New Roman" w:hAnsi="Times New Roman" w:eastAsia="Cambria" w:cs="Times New Roman"/>
                <w:color w:val="000000" w:themeColor="text1"/>
                <w:spacing w:val="-2"/>
                <w:w w:val="95"/>
                <w:sz w:val="20"/>
                <w:szCs w:val="20"/>
                <w:lang w:val="en-GB"/>
              </w:rPr>
              <w:t xml:space="preserve">, points </w:t>
            </w:r>
            <w:r w:rsidRPr="00D43D39">
              <w:rPr>
                <w:rFonts w:ascii="Times New Roman" w:hAnsi="Times New Roman" w:eastAsia="Cambria" w:cs="Times New Roman"/>
                <w:color w:val="000000" w:themeColor="text1"/>
                <w:spacing w:val="-2"/>
                <w:w w:val="95"/>
                <w:sz w:val="20"/>
                <w:szCs w:val="20"/>
                <w:lang w:val="en-GB"/>
              </w:rPr>
              <w:t>(a</w:t>
            </w:r>
            <w:r w:rsidRPr="00D43D39" w:rsidR="00F97BC8">
              <w:rPr>
                <w:rFonts w:ascii="Times New Roman" w:hAnsi="Times New Roman" w:eastAsia="Cambria" w:cs="Times New Roman"/>
                <w:color w:val="000000" w:themeColor="text1"/>
                <w:spacing w:val="-2"/>
                <w:w w:val="95"/>
                <w:sz w:val="20"/>
                <w:szCs w:val="20"/>
                <w:lang w:val="en-GB"/>
              </w:rPr>
              <w:t>)</w:t>
            </w:r>
            <w:r w:rsidRPr="00D43D39">
              <w:rPr>
                <w:rFonts w:ascii="Times New Roman" w:hAnsi="Times New Roman" w:eastAsia="Cambria" w:cs="Times New Roman"/>
                <w:color w:val="000000" w:themeColor="text1"/>
                <w:spacing w:val="-2"/>
                <w:w w:val="95"/>
                <w:sz w:val="20"/>
                <w:szCs w:val="20"/>
                <w:lang w:val="en-GB"/>
              </w:rPr>
              <w:t xml:space="preserve"> and </w:t>
            </w:r>
            <w:r w:rsidRPr="00D43D39" w:rsidR="00F97BC8">
              <w:rPr>
                <w:rFonts w:ascii="Times New Roman" w:hAnsi="Times New Roman" w:eastAsia="Cambria" w:cs="Times New Roman"/>
                <w:color w:val="000000" w:themeColor="text1"/>
                <w:spacing w:val="-2"/>
                <w:w w:val="95"/>
                <w:sz w:val="20"/>
                <w:szCs w:val="20"/>
                <w:lang w:val="en-GB"/>
              </w:rPr>
              <w:t>(</w:t>
            </w:r>
            <w:r w:rsidRPr="00D43D39">
              <w:rPr>
                <w:rFonts w:ascii="Times New Roman" w:hAnsi="Times New Roman" w:eastAsia="Cambria" w:cs="Times New Roman"/>
                <w:color w:val="000000" w:themeColor="text1"/>
                <w:spacing w:val="-2"/>
                <w:w w:val="95"/>
                <w:sz w:val="20"/>
                <w:szCs w:val="20"/>
                <w:lang w:val="en-GB"/>
              </w:rPr>
              <w:t>b)</w:t>
            </w:r>
          </w:p>
          <w:p w:rsidRPr="00D43D39" w:rsidR="0081175C" w:rsidP="00AA2A99" w:rsidRDefault="0081175C" w14:paraId="09960B1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Central banks and central governments, state or regional governments, and local governments, including administrative bodies and non-commercial undertakings, but excluding public companies and private companies held by these administrations that have a commercial activity (which shall be reported under </w:t>
            </w:r>
            <w:r w:rsidRPr="00D43D39" w:rsidR="00F97BC8">
              <w:rPr>
                <w:rFonts w:ascii="Times New Roman" w:hAnsi="Times New Roman" w:eastAsia="Cambria" w:cs="Times New Roman"/>
                <w:color w:val="000000" w:themeColor="text1"/>
                <w:spacing w:val="-2"/>
                <w:w w:val="95"/>
                <w:sz w:val="20"/>
                <w:szCs w:val="20"/>
                <w:lang w:val="en-GB"/>
              </w:rPr>
              <w:t>“credit institutions”, “other financial corporations” or “non-financial corporations” depending on their activity</w:t>
            </w:r>
            <w:r w:rsidRPr="00D43D39">
              <w:rPr>
                <w:rFonts w:ascii="Times New Roman" w:hAnsi="Times New Roman" w:eastAsia="Cambria" w:cs="Times New Roman"/>
                <w:color w:val="000000" w:themeColor="text1"/>
                <w:spacing w:val="-2"/>
                <w:w w:val="95"/>
                <w:sz w:val="20"/>
                <w:szCs w:val="20"/>
                <w:lang w:val="en-GB"/>
              </w:rPr>
              <w:t xml:space="preserve">); social security funds; and international organisations, such as the European </w:t>
            </w:r>
            <w:r w:rsidRPr="00D43D39" w:rsidR="00AA2A99">
              <w:rPr>
                <w:rFonts w:ascii="Times New Roman" w:hAnsi="Times New Roman" w:eastAsia="Cambria" w:cs="Times New Roman"/>
                <w:color w:val="000000" w:themeColor="text1"/>
                <w:spacing w:val="-2"/>
                <w:w w:val="95"/>
                <w:sz w:val="20"/>
                <w:szCs w:val="20"/>
                <w:lang w:val="en-GB"/>
              </w:rPr>
              <w:t>Union</w:t>
            </w:r>
            <w:r w:rsidRPr="00D43D39">
              <w:rPr>
                <w:rFonts w:ascii="Times New Roman" w:hAnsi="Times New Roman" w:eastAsia="Cambria" w:cs="Times New Roman"/>
                <w:color w:val="000000" w:themeColor="text1"/>
                <w:spacing w:val="-2"/>
                <w:w w:val="95"/>
                <w:sz w:val="20"/>
                <w:szCs w:val="20"/>
                <w:lang w:val="en-GB"/>
              </w:rPr>
              <w:t>, the International Monetary Fund and the Bank for International Settlements.</w:t>
            </w:r>
          </w:p>
        </w:tc>
      </w:tr>
      <w:tr w:rsidRPr="00D43D39" w:rsidR="00D22EB0" w:rsidTr="5E2F2DB1" w14:paraId="0DCDCB42" w14:textId="77777777">
        <w:tc>
          <w:tcPr>
            <w:tcW w:w="908" w:type="dxa"/>
            <w:tcBorders>
              <w:top w:val="single" w:color="1A171C" w:sz="4" w:space="0"/>
              <w:left w:val="nil"/>
              <w:bottom w:val="single" w:color="1A171C" w:sz="4" w:space="0"/>
              <w:right w:val="single" w:color="1A171C" w:sz="4" w:space="0"/>
            </w:tcBorders>
            <w:vAlign w:val="center"/>
          </w:tcPr>
          <w:p w:rsidRPr="00D43D39" w:rsidR="0081175C" w:rsidP="00367C1E" w:rsidRDefault="0081175C" w14:paraId="656AD04C" w14:textId="68FCD378">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F73CB0">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70</w:t>
            </w:r>
            <w:r w:rsidR="006D63F4">
              <w:rPr>
                <w:rFonts w:ascii="Times New Roman" w:hAnsi="Times New Roman" w:cs="Times New Roman"/>
                <w:color w:val="000000" w:themeColor="text1"/>
                <w:sz w:val="20"/>
                <w:szCs w:val="20"/>
                <w:lang w:val="en-GB"/>
              </w:rPr>
              <w:t>-0071</w:t>
            </w:r>
          </w:p>
        </w:tc>
        <w:tc>
          <w:tcPr>
            <w:tcW w:w="8118" w:type="dxa"/>
            <w:tcBorders>
              <w:top w:val="single" w:color="1A171C" w:sz="4" w:space="0"/>
              <w:left w:val="single" w:color="1A171C" w:sz="4" w:space="0"/>
              <w:bottom w:val="single" w:color="1A171C" w:sz="4" w:space="0"/>
              <w:right w:val="nil"/>
            </w:tcBorders>
            <w:vAlign w:val="center"/>
          </w:tcPr>
          <w:p w:rsidRPr="00D43D39" w:rsidR="0081175C" w:rsidP="00F97BC8" w:rsidRDefault="005174D3" w14:paraId="4DC5DF35"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N</w:t>
            </w:r>
            <w:r w:rsidRPr="00D43D39" w:rsidR="0081175C">
              <w:rPr>
                <w:rFonts w:ascii="Times New Roman" w:hAnsi="Times New Roman" w:cs="Times New Roman"/>
                <w:b/>
                <w:color w:val="000000" w:themeColor="text1"/>
                <w:spacing w:val="-2"/>
                <w:w w:val="95"/>
                <w:sz w:val="20"/>
                <w:szCs w:val="20"/>
                <w:lang w:val="en-GB"/>
              </w:rPr>
              <w:t>on-identified</w:t>
            </w:r>
            <w:r w:rsidRPr="00D43D39" w:rsidR="00807112">
              <w:rPr>
                <w:rFonts w:ascii="Times New Roman" w:hAnsi="Times New Roman" w:cs="Times New Roman"/>
                <w:b/>
                <w:color w:val="000000" w:themeColor="text1"/>
                <w:spacing w:val="-2"/>
                <w:w w:val="95"/>
                <w:sz w:val="20"/>
                <w:szCs w:val="20"/>
                <w:lang w:val="en-GB"/>
              </w:rPr>
              <w:t xml:space="preserve">, listed on a </w:t>
            </w:r>
            <w:r w:rsidRPr="00D43D39" w:rsidR="000A3045">
              <w:rPr>
                <w:rFonts w:ascii="Times New Roman" w:hAnsi="Times New Roman" w:cs="Times New Roman"/>
                <w:b/>
                <w:color w:val="000000" w:themeColor="text1"/>
                <w:spacing w:val="-2"/>
                <w:w w:val="95"/>
                <w:sz w:val="20"/>
                <w:szCs w:val="20"/>
                <w:lang w:val="en-GB"/>
              </w:rPr>
              <w:t>trading venue</w:t>
            </w:r>
          </w:p>
          <w:p w:rsidRPr="00D43D39" w:rsidR="0081175C" w:rsidP="00F82306" w:rsidRDefault="00FF209B" w14:paraId="3B10C7CD"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pacing w:val="-2"/>
                <w:w w:val="95"/>
                <w:sz w:val="20"/>
                <w:szCs w:val="20"/>
                <w:lang w:val="en-GB"/>
              </w:rPr>
              <w:t xml:space="preserve">Where the identity of the holder of a security is not known due to the instruments being listed on </w:t>
            </w:r>
            <w:r w:rsidRPr="00D43D39" w:rsidR="000A3045">
              <w:rPr>
                <w:rFonts w:ascii="Times New Roman" w:hAnsi="Times New Roman" w:cs="Times New Roman"/>
                <w:color w:val="000000" w:themeColor="text1"/>
                <w:spacing w:val="-2"/>
                <w:w w:val="95"/>
                <w:sz w:val="20"/>
                <w:szCs w:val="20"/>
                <w:lang w:val="en-GB"/>
              </w:rPr>
              <w:t>a trading venue</w:t>
            </w:r>
            <w:r w:rsidRPr="00D43D39">
              <w:rPr>
                <w:rFonts w:ascii="Times New Roman" w:hAnsi="Times New Roman" w:cs="Times New Roman"/>
                <w:color w:val="000000" w:themeColor="text1"/>
                <w:spacing w:val="-2"/>
                <w:w w:val="95"/>
                <w:sz w:val="20"/>
                <w:szCs w:val="20"/>
                <w:lang w:val="en-GB"/>
              </w:rPr>
              <w:t>, as defined under Directive 2014/65/EU of the European Parliament and of the Council of 15 May 2014 on markets in financial instruments, the amounts</w:t>
            </w:r>
            <w:r w:rsidRPr="00D43D39" w:rsidR="00D15A6F">
              <w:rPr>
                <w:rFonts w:ascii="Times New Roman" w:hAnsi="Times New Roman" w:cs="Times New Roman"/>
                <w:color w:val="000000" w:themeColor="text1"/>
                <w:spacing w:val="-2"/>
                <w:w w:val="95"/>
                <w:sz w:val="20"/>
                <w:szCs w:val="20"/>
                <w:lang w:val="en-GB"/>
              </w:rPr>
              <w:t xml:space="preserve"> shall</w:t>
            </w:r>
            <w:r w:rsidRPr="00D43D39">
              <w:rPr>
                <w:rFonts w:ascii="Times New Roman" w:hAnsi="Times New Roman" w:cs="Times New Roman"/>
                <w:color w:val="000000" w:themeColor="text1"/>
                <w:spacing w:val="-2"/>
                <w:w w:val="95"/>
                <w:sz w:val="20"/>
                <w:szCs w:val="20"/>
                <w:lang w:val="en-GB"/>
              </w:rPr>
              <w:t xml:space="preserve"> be attributed to this column.</w:t>
            </w:r>
          </w:p>
        </w:tc>
      </w:tr>
      <w:tr w:rsidRPr="00325893" w:rsidR="00D22EB0" w:rsidTr="5E2F2DB1" w14:paraId="4E066D15" w14:textId="77777777">
        <w:tc>
          <w:tcPr>
            <w:tcW w:w="908" w:type="dxa"/>
            <w:tcBorders>
              <w:top w:val="single" w:color="1A171C" w:sz="4" w:space="0"/>
              <w:left w:val="nil"/>
              <w:bottom w:val="single" w:color="1A171C" w:sz="4" w:space="0"/>
              <w:right w:val="single" w:color="1A171C" w:sz="4" w:space="0"/>
            </w:tcBorders>
            <w:vAlign w:val="center"/>
          </w:tcPr>
          <w:p w:rsidRPr="00D43D39" w:rsidR="00FF209B" w:rsidP="00FF209B" w:rsidRDefault="00FF209B" w14:paraId="2AFB56E7" w14:textId="25828F10">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0080</w:t>
            </w:r>
            <w:r w:rsidR="006D63F4">
              <w:rPr>
                <w:rFonts w:ascii="Times New Roman" w:hAnsi="Times New Roman" w:cs="Times New Roman"/>
                <w:color w:val="000000" w:themeColor="text1"/>
                <w:sz w:val="20"/>
                <w:szCs w:val="20"/>
                <w:lang w:val="en-GB"/>
              </w:rPr>
              <w:t>-0081</w:t>
            </w:r>
          </w:p>
        </w:tc>
        <w:tc>
          <w:tcPr>
            <w:tcW w:w="8118" w:type="dxa"/>
            <w:tcBorders>
              <w:top w:val="single" w:color="1A171C" w:sz="4" w:space="0"/>
              <w:left w:val="single" w:color="1A171C" w:sz="4" w:space="0"/>
              <w:bottom w:val="single" w:color="1A171C" w:sz="4" w:space="0"/>
              <w:right w:val="nil"/>
            </w:tcBorders>
            <w:vAlign w:val="center"/>
          </w:tcPr>
          <w:p w:rsidRPr="00D43D39" w:rsidR="00FF209B" w:rsidP="00FF209B" w:rsidRDefault="00FF209B" w14:paraId="0741B10A"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Non-identified,</w:t>
            </w:r>
            <w:r w:rsidRPr="00D43D39" w:rsidR="008A320A">
              <w:rPr>
                <w:rFonts w:ascii="Times New Roman" w:hAnsi="Times New Roman" w:cs="Times New Roman"/>
                <w:b/>
                <w:color w:val="000000" w:themeColor="text1"/>
                <w:spacing w:val="-2"/>
                <w:w w:val="95"/>
                <w:sz w:val="20"/>
                <w:szCs w:val="20"/>
                <w:lang w:val="en-GB"/>
              </w:rPr>
              <w:t xml:space="preserve"> not</w:t>
            </w:r>
            <w:r w:rsidRPr="00D43D39">
              <w:rPr>
                <w:rFonts w:ascii="Times New Roman" w:hAnsi="Times New Roman" w:cs="Times New Roman"/>
                <w:b/>
                <w:color w:val="000000" w:themeColor="text1"/>
                <w:spacing w:val="-2"/>
                <w:w w:val="95"/>
                <w:sz w:val="20"/>
                <w:szCs w:val="20"/>
                <w:lang w:val="en-GB"/>
              </w:rPr>
              <w:t xml:space="preserve"> listed on a</w:t>
            </w:r>
            <w:r w:rsidRPr="00D43D39" w:rsidR="000A3045">
              <w:rPr>
                <w:rFonts w:ascii="Times New Roman" w:hAnsi="Times New Roman" w:cs="Times New Roman"/>
                <w:b/>
                <w:color w:val="000000" w:themeColor="text1"/>
                <w:spacing w:val="-2"/>
                <w:w w:val="95"/>
                <w:sz w:val="20"/>
                <w:szCs w:val="20"/>
                <w:lang w:val="en-GB"/>
              </w:rPr>
              <w:t xml:space="preserve"> trading venue</w:t>
            </w:r>
          </w:p>
          <w:p w:rsidRPr="00D43D39" w:rsidR="00FF209B" w:rsidP="000A3045" w:rsidRDefault="00FF209B" w14:paraId="7E318D4B" w14:textId="42B09088">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Where the identity of the holder of a security is not known, </w:t>
            </w:r>
            <w:r w:rsidRPr="00D43D39" w:rsidR="00F71121">
              <w:rPr>
                <w:rFonts w:ascii="Times New Roman" w:hAnsi="Times New Roman" w:eastAsia="Cambria" w:cs="Times New Roman"/>
                <w:color w:val="000000" w:themeColor="text1"/>
                <w:spacing w:val="-2"/>
                <w:w w:val="95"/>
                <w:sz w:val="20"/>
                <w:szCs w:val="20"/>
                <w:lang w:val="en-GB"/>
              </w:rPr>
              <w:t>without the instruments being listed on a</w:t>
            </w:r>
            <w:r w:rsidRPr="00D43D39" w:rsidR="000A3045">
              <w:rPr>
                <w:rFonts w:ascii="Times New Roman" w:hAnsi="Times New Roman" w:eastAsia="Cambria" w:cs="Times New Roman"/>
                <w:color w:val="000000" w:themeColor="text1"/>
                <w:spacing w:val="-2"/>
                <w:w w:val="95"/>
                <w:sz w:val="20"/>
                <w:szCs w:val="20"/>
                <w:lang w:val="en-GB"/>
              </w:rPr>
              <w:t xml:space="preserve"> trading venue</w:t>
            </w:r>
            <w:r w:rsidRPr="00D43D39" w:rsidR="00F71121">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 xml:space="preserve">the amounts </w:t>
            </w:r>
            <w:r w:rsidRPr="00D43D39" w:rsidR="002E0A15">
              <w:rPr>
                <w:rFonts w:ascii="Times New Roman" w:hAnsi="Times New Roman" w:eastAsia="Cambria" w:cs="Times New Roman"/>
                <w:color w:val="000000" w:themeColor="text1"/>
                <w:spacing w:val="-2"/>
                <w:w w:val="95"/>
                <w:sz w:val="20"/>
                <w:szCs w:val="20"/>
                <w:lang w:val="en-GB"/>
              </w:rPr>
              <w:t xml:space="preserve">shall </w:t>
            </w:r>
            <w:r w:rsidRPr="00D43D39">
              <w:rPr>
                <w:rFonts w:ascii="Times New Roman" w:hAnsi="Times New Roman" w:eastAsia="Cambria" w:cs="Times New Roman"/>
                <w:color w:val="000000" w:themeColor="text1"/>
                <w:spacing w:val="-2"/>
                <w:w w:val="95"/>
                <w:sz w:val="20"/>
                <w:szCs w:val="20"/>
                <w:lang w:val="en-GB"/>
              </w:rPr>
              <w:t xml:space="preserve">be attributed to this column and no further counterparty breakdown is required. </w:t>
            </w:r>
            <w:r w:rsidR="00325893">
              <w:rPr>
                <w:rFonts w:ascii="Times New Roman" w:hAnsi="Times New Roman" w:eastAsia="Cambria" w:cs="Times New Roman"/>
                <w:color w:val="000000" w:themeColor="text1"/>
                <w:spacing w:val="-2"/>
                <w:w w:val="95"/>
                <w:sz w:val="20"/>
                <w:szCs w:val="20"/>
                <w:lang w:val="en-GB"/>
              </w:rPr>
              <w:t>Reporting e</w:t>
            </w:r>
            <w:r w:rsidRPr="00D43D39">
              <w:rPr>
                <w:rFonts w:ascii="Times New Roman" w:hAnsi="Times New Roman" w:eastAsia="Cambria" w:cs="Times New Roman"/>
                <w:color w:val="000000" w:themeColor="text1"/>
                <w:spacing w:val="-2"/>
                <w:w w:val="95"/>
                <w:sz w:val="20"/>
                <w:szCs w:val="20"/>
                <w:lang w:val="en-GB"/>
              </w:rPr>
              <w:t xml:space="preserve">ntities </w:t>
            </w:r>
            <w:r w:rsidR="00325893">
              <w:rPr>
                <w:rFonts w:ascii="Times New Roman" w:hAnsi="Times New Roman" w:eastAsia="Cambria" w:cs="Times New Roman"/>
                <w:color w:val="000000" w:themeColor="text1"/>
                <w:spacing w:val="-2"/>
                <w:w w:val="95"/>
                <w:sz w:val="20"/>
                <w:szCs w:val="20"/>
                <w:lang w:val="en-GB"/>
              </w:rPr>
              <w:t xml:space="preserve">are encouraged </w:t>
            </w:r>
            <w:r w:rsidRPr="00D43D39">
              <w:rPr>
                <w:rFonts w:ascii="Times New Roman" w:hAnsi="Times New Roman" w:eastAsia="Cambria" w:cs="Times New Roman"/>
                <w:color w:val="000000" w:themeColor="text1"/>
                <w:spacing w:val="-2"/>
                <w:w w:val="95"/>
                <w:sz w:val="20"/>
                <w:szCs w:val="20"/>
                <w:lang w:val="en-GB"/>
              </w:rPr>
              <w:t>to identify counterparties and limit the use of this column to a minimum.</w:t>
            </w:r>
          </w:p>
        </w:tc>
      </w:tr>
      <w:tr w:rsidRPr="00D43D39" w:rsidR="00D22EB0" w:rsidTr="5E2F2DB1" w14:paraId="2DEA0E48" w14:textId="77777777">
        <w:tc>
          <w:tcPr>
            <w:tcW w:w="908" w:type="dxa"/>
            <w:tcBorders>
              <w:top w:val="single" w:color="1A171C" w:sz="4" w:space="0"/>
              <w:left w:val="nil"/>
              <w:bottom w:val="single" w:color="1A171C" w:sz="4" w:space="0"/>
              <w:right w:val="single" w:color="1A171C" w:sz="4" w:space="0"/>
            </w:tcBorders>
            <w:vAlign w:val="center"/>
          </w:tcPr>
          <w:p w:rsidRPr="00D43D39" w:rsidR="00FF209B" w:rsidP="00FF209B" w:rsidRDefault="00FF209B" w14:paraId="67939BC3" w14:textId="7E2CF4B9">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0090</w:t>
            </w:r>
            <w:r w:rsidR="006D63F4">
              <w:rPr>
                <w:rFonts w:ascii="Times New Roman" w:hAnsi="Times New Roman" w:cs="Times New Roman"/>
                <w:color w:val="000000" w:themeColor="text1"/>
                <w:sz w:val="20"/>
                <w:szCs w:val="20"/>
                <w:lang w:val="en-GB"/>
              </w:rPr>
              <w:t>-0091</w:t>
            </w:r>
          </w:p>
        </w:tc>
        <w:tc>
          <w:tcPr>
            <w:tcW w:w="8118" w:type="dxa"/>
            <w:tcBorders>
              <w:top w:val="single" w:color="1A171C" w:sz="4" w:space="0"/>
              <w:left w:val="single" w:color="1A171C" w:sz="4" w:space="0"/>
              <w:bottom w:val="single" w:color="1A171C" w:sz="4" w:space="0"/>
              <w:right w:val="nil"/>
            </w:tcBorders>
            <w:vAlign w:val="center"/>
          </w:tcPr>
          <w:p w:rsidRPr="00D43D39" w:rsidR="00FF209B" w:rsidP="00FF209B" w:rsidRDefault="00FF209B" w14:paraId="24CB7F94"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Total</w:t>
            </w:r>
          </w:p>
        </w:tc>
      </w:tr>
      <w:tr w:rsidRPr="00D43D39" w:rsidR="00D22EB0" w:rsidTr="5E2F2DB1" w14:paraId="330772C3" w14:textId="77777777">
        <w:tc>
          <w:tcPr>
            <w:tcW w:w="908" w:type="dxa"/>
            <w:tcBorders>
              <w:top w:val="single" w:color="1A171C" w:sz="4" w:space="0"/>
              <w:left w:val="nil"/>
              <w:bottom w:val="single" w:color="1A171C" w:sz="4" w:space="0"/>
              <w:right w:val="single" w:color="1A171C" w:sz="4" w:space="0"/>
            </w:tcBorders>
            <w:vAlign w:val="center"/>
          </w:tcPr>
          <w:p w:rsidRPr="00D43D39" w:rsidR="00FF209B" w:rsidP="00FF209B" w:rsidRDefault="00FF209B" w14:paraId="0732BEDF" w14:textId="190503B8">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0100</w:t>
            </w:r>
            <w:r w:rsidR="006D63F4">
              <w:rPr>
                <w:rFonts w:ascii="Times New Roman" w:hAnsi="Times New Roman" w:cs="Times New Roman"/>
                <w:color w:val="000000" w:themeColor="text1"/>
                <w:sz w:val="20"/>
                <w:szCs w:val="20"/>
                <w:lang w:val="en-GB"/>
              </w:rPr>
              <w:t>-0101</w:t>
            </w:r>
          </w:p>
        </w:tc>
        <w:tc>
          <w:tcPr>
            <w:tcW w:w="8118" w:type="dxa"/>
            <w:tcBorders>
              <w:top w:val="single" w:color="1A171C" w:sz="4" w:space="0"/>
              <w:left w:val="single" w:color="1A171C" w:sz="4" w:space="0"/>
              <w:bottom w:val="single" w:color="1A171C" w:sz="4" w:space="0"/>
              <w:right w:val="nil"/>
            </w:tcBorders>
            <w:vAlign w:val="center"/>
          </w:tcPr>
          <w:p w:rsidRPr="00D43D39" w:rsidR="00FF209B" w:rsidP="00FF209B" w:rsidRDefault="00FF209B" w14:paraId="40D114E7"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Of which: intragroup</w:t>
            </w:r>
          </w:p>
          <w:p w:rsidRPr="00D43D39" w:rsidR="00FF209B" w:rsidRDefault="34AC5322" w14:paraId="301BBBFC" w14:textId="74A36C32">
            <w:pPr>
              <w:pStyle w:val="TableParagraph"/>
              <w:spacing w:before="108"/>
              <w:ind w:left="85"/>
              <w:jc w:val="both"/>
              <w:rPr>
                <w:rFonts w:ascii="Times New Roman" w:hAnsi="Times New Roman" w:eastAsia="Times New Roman" w:cs="Times New Roman"/>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Liabilities towards entities included in the </w:t>
            </w:r>
            <w:r w:rsidRPr="00D43D39" w:rsidR="009A7FEB">
              <w:rPr>
                <w:rFonts w:ascii="Times New Roman" w:hAnsi="Times New Roman" w:cs="Times New Roman"/>
                <w:color w:val="000000" w:themeColor="text1"/>
                <w:sz w:val="20"/>
                <w:szCs w:val="20"/>
                <w:lang w:val="en-GB"/>
              </w:rPr>
              <w:t>accounting scope of consolidation</w:t>
            </w:r>
            <w:r w:rsidRPr="00D43D39">
              <w:rPr>
                <w:rFonts w:ascii="Times New Roman" w:hAnsi="Times New Roman" w:eastAsia="Cambria" w:cs="Times New Roman"/>
                <w:color w:val="000000" w:themeColor="text1"/>
                <w:spacing w:val="-2"/>
                <w:w w:val="95"/>
                <w:sz w:val="20"/>
                <w:szCs w:val="20"/>
                <w:lang w:val="en-GB"/>
              </w:rPr>
              <w:t xml:space="preserve"> of the ultimate parent entity (as opposed to the </w:t>
            </w:r>
            <w:r w:rsidRPr="00D43D39" w:rsidR="009A7FEB">
              <w:rPr>
                <w:rFonts w:ascii="Times New Roman" w:hAnsi="Times New Roman" w:eastAsia="Cambria" w:cs="Times New Roman"/>
                <w:color w:val="000000" w:themeColor="text1"/>
                <w:spacing w:val="-2"/>
                <w:w w:val="95"/>
                <w:sz w:val="20"/>
                <w:szCs w:val="20"/>
                <w:lang w:val="en-GB"/>
              </w:rPr>
              <w:t xml:space="preserve">prudential </w:t>
            </w:r>
            <w:r w:rsidRPr="00D43D39">
              <w:rPr>
                <w:rFonts w:ascii="Times New Roman" w:hAnsi="Times New Roman" w:eastAsia="Cambria" w:cs="Times New Roman"/>
                <w:color w:val="000000" w:themeColor="text1"/>
                <w:spacing w:val="-2"/>
                <w:w w:val="95"/>
                <w:sz w:val="20"/>
                <w:szCs w:val="20"/>
                <w:lang w:val="en-GB"/>
              </w:rPr>
              <w:t xml:space="preserve">scope of consolidation). </w:t>
            </w:r>
          </w:p>
        </w:tc>
      </w:tr>
      <w:tr w:rsidRPr="00D43D39" w:rsidR="00D22EB0" w:rsidTr="5E2F2DB1" w14:paraId="7C1E3EA7" w14:textId="77777777">
        <w:tc>
          <w:tcPr>
            <w:tcW w:w="908" w:type="dxa"/>
            <w:tcBorders>
              <w:top w:val="single" w:color="1A171C" w:sz="4" w:space="0"/>
              <w:left w:val="nil"/>
              <w:bottom w:val="single" w:color="1A171C" w:sz="4" w:space="0"/>
              <w:right w:val="single" w:color="1A171C" w:sz="4" w:space="0"/>
            </w:tcBorders>
            <w:vAlign w:val="center"/>
          </w:tcPr>
          <w:p w:rsidRPr="00D43D39" w:rsidR="00FF209B" w:rsidP="00FF209B" w:rsidRDefault="009B423F" w14:paraId="3FCA6FDE" w14:textId="22B59585">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0110</w:t>
            </w:r>
            <w:r w:rsidR="006D63F4">
              <w:rPr>
                <w:rFonts w:ascii="Times New Roman" w:hAnsi="Times New Roman" w:cs="Times New Roman"/>
                <w:color w:val="000000" w:themeColor="text1"/>
                <w:sz w:val="20"/>
                <w:szCs w:val="20"/>
                <w:lang w:val="en-GB"/>
              </w:rPr>
              <w:t>-0111</w:t>
            </w:r>
          </w:p>
        </w:tc>
        <w:tc>
          <w:tcPr>
            <w:tcW w:w="8118" w:type="dxa"/>
            <w:tcBorders>
              <w:top w:val="single" w:color="1A171C" w:sz="4" w:space="0"/>
              <w:left w:val="single" w:color="1A171C" w:sz="4" w:space="0"/>
              <w:bottom w:val="single" w:color="1A171C" w:sz="4" w:space="0"/>
              <w:right w:val="nil"/>
            </w:tcBorders>
            <w:vAlign w:val="center"/>
          </w:tcPr>
          <w:p w:rsidRPr="00D43D39" w:rsidR="00FF209B" w:rsidP="00FF209B" w:rsidRDefault="00FF209B" w14:paraId="543266FF" w14:textId="3C7AB712">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 xml:space="preserve">Of which: </w:t>
            </w:r>
            <w:r w:rsidRPr="00D43D39" w:rsidR="006F50B4">
              <w:rPr>
                <w:rFonts w:ascii="Times New Roman" w:hAnsi="Times New Roman" w:cs="Times New Roman"/>
                <w:b/>
                <w:color w:val="000000" w:themeColor="text1"/>
                <w:spacing w:val="-2"/>
                <w:w w:val="95"/>
                <w:sz w:val="20"/>
                <w:szCs w:val="20"/>
                <w:lang w:val="en-GB"/>
              </w:rPr>
              <w:t>liabilities</w:t>
            </w:r>
            <w:r w:rsidRPr="00D43D39">
              <w:rPr>
                <w:rFonts w:ascii="Times New Roman" w:hAnsi="Times New Roman" w:cs="Times New Roman"/>
                <w:b/>
                <w:color w:val="000000" w:themeColor="text1"/>
                <w:spacing w:val="-2"/>
                <w:w w:val="95"/>
                <w:sz w:val="20"/>
                <w:szCs w:val="20"/>
                <w:lang w:val="en-GB"/>
              </w:rPr>
              <w:t xml:space="preserve"> governed</w:t>
            </w:r>
            <w:r w:rsidRPr="00D43D39" w:rsidR="005F4BA1">
              <w:rPr>
                <w:rFonts w:ascii="Times New Roman" w:hAnsi="Times New Roman" w:cs="Times New Roman"/>
                <w:b/>
                <w:color w:val="000000" w:themeColor="text1"/>
                <w:spacing w:val="-2"/>
                <w:w w:val="95"/>
                <w:sz w:val="20"/>
                <w:szCs w:val="20"/>
                <w:lang w:val="en-GB"/>
              </w:rPr>
              <w:t xml:space="preserve"> by the law of a third country, excluding intragroup</w:t>
            </w:r>
          </w:p>
          <w:p w:rsidRPr="00D43D39" w:rsidR="00FF209B" w:rsidP="00FF209B" w:rsidRDefault="00FF209B" w14:paraId="2CA62C3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These shall include the gross amounts of liabilities governed by the law of a third-country and/or issued by group entities established in third-countries.</w:t>
            </w:r>
            <w:r w:rsidRPr="00D43D39" w:rsidR="00623BD8">
              <w:rPr>
                <w:rFonts w:ascii="Times New Roman" w:hAnsi="Times New Roman" w:eastAsia="Cambria" w:cs="Times New Roman"/>
                <w:color w:val="000000" w:themeColor="text1"/>
                <w:spacing w:val="-2"/>
                <w:w w:val="95"/>
                <w:sz w:val="20"/>
                <w:szCs w:val="20"/>
                <w:lang w:val="en-GB"/>
              </w:rPr>
              <w:t xml:space="preserve"> Intragroup liabilities shall be excluded.</w:t>
            </w:r>
          </w:p>
          <w:p w:rsidRPr="00D43D39" w:rsidR="00FF209B" w:rsidP="00C51914" w:rsidRDefault="0028783E" w14:paraId="7DFA0852" w14:textId="3EE55132">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Where the resolution authority has confirmed that it is satisfied, pursuant to A</w:t>
            </w:r>
            <w:r w:rsidRPr="00D43D39" w:rsidR="00FF209B">
              <w:rPr>
                <w:rFonts w:ascii="Times New Roman" w:hAnsi="Times New Roman" w:eastAsia="Cambria" w:cs="Times New Roman"/>
                <w:color w:val="000000" w:themeColor="text1"/>
                <w:spacing w:val="-2"/>
                <w:w w:val="95"/>
                <w:sz w:val="20"/>
                <w:szCs w:val="20"/>
                <w:lang w:val="en-GB"/>
              </w:rPr>
              <w:t xml:space="preserve">rticle </w:t>
            </w:r>
            <w:r w:rsidRPr="00D43D39" w:rsidR="00C51914">
              <w:rPr>
                <w:rFonts w:ascii="Times New Roman" w:hAnsi="Times New Roman" w:eastAsia="Cambria" w:cs="Times New Roman"/>
                <w:color w:val="000000" w:themeColor="text1"/>
                <w:spacing w:val="-2"/>
                <w:w w:val="95"/>
                <w:sz w:val="20"/>
                <w:szCs w:val="20"/>
                <w:lang w:val="en-GB"/>
              </w:rPr>
              <w:t>55</w:t>
            </w:r>
            <w:r w:rsidRPr="00D43D39" w:rsidR="002F3E81">
              <w:rPr>
                <w:rFonts w:ascii="Times New Roman" w:hAnsi="Times New Roman" w:eastAsia="Cambria" w:cs="Times New Roman"/>
                <w:color w:val="000000" w:themeColor="text1"/>
                <w:spacing w:val="-2"/>
                <w:w w:val="95"/>
                <w:sz w:val="20"/>
                <w:szCs w:val="20"/>
                <w:lang w:val="en-GB"/>
              </w:rPr>
              <w:t xml:space="preserve"> (3)</w:t>
            </w:r>
            <w:r w:rsidRPr="00D43D39" w:rsidR="00FF209B">
              <w:rPr>
                <w:rFonts w:ascii="Times New Roman" w:hAnsi="Times New Roman" w:eastAsia="Cambria" w:cs="Times New Roman"/>
                <w:color w:val="000000" w:themeColor="text1"/>
                <w:spacing w:val="-2"/>
                <w:w w:val="95"/>
                <w:sz w:val="20"/>
                <w:szCs w:val="20"/>
                <w:lang w:val="en-GB"/>
              </w:rPr>
              <w:t xml:space="preserve"> of </w:t>
            </w:r>
            <w:r w:rsidRPr="00D43D39" w:rsidR="00B77FC7">
              <w:rPr>
                <w:rFonts w:ascii="Times New Roman" w:hAnsi="Times New Roman" w:eastAsia="Cambria" w:cs="Times New Roman"/>
                <w:color w:val="000000" w:themeColor="text1"/>
                <w:spacing w:val="-2"/>
                <w:w w:val="95"/>
                <w:sz w:val="20"/>
                <w:szCs w:val="20"/>
                <w:lang w:val="en-GB"/>
              </w:rPr>
              <w:t>Directive 2014/59/EU of the European Parliament and of the Council</w:t>
            </w:r>
            <w:r w:rsidRPr="005F5507" w:rsidR="00B77FC7">
              <w:rPr>
                <w:rStyle w:val="FootnoteReference"/>
                <w:rFonts w:ascii="Times New Roman" w:hAnsi="Times New Roman" w:eastAsia="Cambria" w:cs="Times New Roman"/>
                <w:color w:val="000000" w:themeColor="text1"/>
                <w:spacing w:val="-2"/>
                <w:w w:val="95"/>
                <w:lang w:val="en-GB"/>
              </w:rPr>
              <w:footnoteReference w:id="13"/>
            </w:r>
            <w:r w:rsidRPr="00D43D39" w:rsidR="00FF209B">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 xml:space="preserve">that any decision of a resolution authority to write down or convert </w:t>
            </w:r>
            <w:r w:rsidRPr="00D43D39" w:rsidR="00FA02BE">
              <w:rPr>
                <w:rFonts w:ascii="Times New Roman" w:hAnsi="Times New Roman" w:eastAsia="Cambria" w:cs="Times New Roman"/>
                <w:color w:val="000000" w:themeColor="text1"/>
                <w:spacing w:val="-2"/>
                <w:w w:val="95"/>
                <w:sz w:val="20"/>
                <w:szCs w:val="20"/>
                <w:lang w:val="en-GB"/>
              </w:rPr>
              <w:t xml:space="preserve">a </w:t>
            </w:r>
            <w:r w:rsidRPr="00D43D39">
              <w:rPr>
                <w:rFonts w:ascii="Times New Roman" w:hAnsi="Times New Roman" w:eastAsia="Cambria" w:cs="Times New Roman"/>
                <w:color w:val="000000" w:themeColor="text1"/>
                <w:spacing w:val="-2"/>
                <w:w w:val="95"/>
                <w:sz w:val="20"/>
                <w:szCs w:val="20"/>
                <w:lang w:val="en-GB"/>
              </w:rPr>
              <w:t xml:space="preserve">liability would be effective under the law of that third country, </w:t>
            </w:r>
            <w:r w:rsidRPr="00D43D39" w:rsidR="00FA02BE">
              <w:rPr>
                <w:rFonts w:ascii="Times New Roman" w:hAnsi="Times New Roman" w:eastAsia="Cambria" w:cs="Times New Roman"/>
                <w:color w:val="000000" w:themeColor="text1"/>
                <w:spacing w:val="-2"/>
                <w:w w:val="95"/>
                <w:sz w:val="20"/>
                <w:szCs w:val="20"/>
                <w:lang w:val="en-GB"/>
              </w:rPr>
              <w:t xml:space="preserve">that </w:t>
            </w:r>
            <w:r w:rsidRPr="00D43D39">
              <w:rPr>
                <w:rFonts w:ascii="Times New Roman" w:hAnsi="Times New Roman" w:eastAsia="Cambria" w:cs="Times New Roman"/>
                <w:color w:val="000000" w:themeColor="text1"/>
                <w:spacing w:val="-2"/>
                <w:w w:val="95"/>
                <w:sz w:val="20"/>
                <w:szCs w:val="20"/>
                <w:lang w:val="en-GB"/>
              </w:rPr>
              <w:t xml:space="preserve">liability </w:t>
            </w:r>
            <w:r w:rsidRPr="00D43D39" w:rsidR="009571BE">
              <w:rPr>
                <w:rFonts w:ascii="Times New Roman" w:hAnsi="Times New Roman" w:eastAsia="Cambria" w:cs="Times New Roman"/>
                <w:color w:val="000000" w:themeColor="text1"/>
                <w:spacing w:val="-2"/>
                <w:w w:val="95"/>
                <w:sz w:val="20"/>
                <w:szCs w:val="20"/>
                <w:lang w:val="en-GB"/>
              </w:rPr>
              <w:t xml:space="preserve">shall </w:t>
            </w:r>
            <w:r w:rsidRPr="00D43D39" w:rsidR="00FF209B">
              <w:rPr>
                <w:rFonts w:ascii="Times New Roman" w:hAnsi="Times New Roman" w:eastAsia="Cambria" w:cs="Times New Roman"/>
                <w:color w:val="000000" w:themeColor="text1"/>
                <w:spacing w:val="-2"/>
                <w:w w:val="95"/>
                <w:sz w:val="20"/>
                <w:szCs w:val="20"/>
                <w:lang w:val="en-GB"/>
              </w:rPr>
              <w:t xml:space="preserve">not be reported </w:t>
            </w:r>
            <w:r w:rsidRPr="00D43D39" w:rsidR="00C51914">
              <w:rPr>
                <w:rFonts w:ascii="Times New Roman" w:hAnsi="Times New Roman" w:eastAsia="Cambria" w:cs="Times New Roman"/>
                <w:color w:val="000000" w:themeColor="text1"/>
                <w:spacing w:val="-2"/>
                <w:w w:val="95"/>
                <w:sz w:val="20"/>
                <w:szCs w:val="20"/>
                <w:lang w:val="en-GB"/>
              </w:rPr>
              <w:t>in this column</w:t>
            </w:r>
            <w:r w:rsidRPr="00D43D39" w:rsidR="00FF209B">
              <w:rPr>
                <w:rFonts w:ascii="Times New Roman" w:hAnsi="Times New Roman" w:eastAsia="Cambria" w:cs="Times New Roman"/>
                <w:color w:val="000000" w:themeColor="text1"/>
                <w:spacing w:val="-2"/>
                <w:w w:val="95"/>
                <w:sz w:val="20"/>
                <w:szCs w:val="20"/>
                <w:lang w:val="en-GB"/>
              </w:rPr>
              <w:t>.</w:t>
            </w:r>
          </w:p>
        </w:tc>
      </w:tr>
    </w:tbl>
    <w:p w:rsidRPr="005F5507" w:rsidR="5E2F2DB1" w:rsidRDefault="5E2F2DB1" w14:paraId="125F5AAD" w14:textId="6DD589E9">
      <w:pPr>
        <w:rPr>
          <w:rFonts w:ascii="Times New Roman" w:hAnsi="Times New Roman" w:cs="Times New Roman"/>
        </w:rPr>
      </w:pPr>
    </w:p>
    <w:p w:rsidRPr="00D43D39" w:rsidR="0081175C" w:rsidP="00E13CE3" w:rsidRDefault="0081175C" w14:paraId="784CE850" w14:textId="77777777">
      <w:pPr>
        <w:rPr>
          <w:rFonts w:ascii="Times New Roman" w:hAnsi="Times New Roman" w:cs="Times New Roman"/>
          <w:color w:val="000000" w:themeColor="text1"/>
          <w:sz w:val="20"/>
          <w:szCs w:val="20"/>
          <w:lang w:val="en-GB"/>
        </w:rPr>
      </w:pPr>
    </w:p>
    <w:tbl>
      <w:tblPr>
        <w:tblW w:w="0" w:type="auto"/>
        <w:tblCellMar>
          <w:top w:w="57" w:type="dxa"/>
          <w:left w:w="57" w:type="dxa"/>
          <w:bottom w:w="57" w:type="dxa"/>
          <w:right w:w="0" w:type="dxa"/>
        </w:tblCellMar>
        <w:tblLook w:val="01E0" w:firstRow="1" w:lastRow="1" w:firstColumn="1" w:lastColumn="1" w:noHBand="0" w:noVBand="0"/>
      </w:tblPr>
      <w:tblGrid>
        <w:gridCol w:w="905"/>
        <w:gridCol w:w="8121"/>
      </w:tblGrid>
      <w:tr w:rsidRPr="00D43D39" w:rsidR="00D22EB0" w:rsidTr="005F5507" w14:paraId="5C971427" w14:textId="77777777">
        <w:trPr>
          <w:tblHeader/>
        </w:trPr>
        <w:tc>
          <w:tcPr>
            <w:tcW w:w="905" w:type="dxa"/>
            <w:tcBorders>
              <w:top w:val="single" w:color="1A171C" w:sz="4" w:space="0"/>
              <w:left w:val="nil"/>
              <w:bottom w:val="single" w:color="1A171C" w:sz="4" w:space="0"/>
              <w:right w:val="single" w:color="1A171C" w:sz="4" w:space="0"/>
            </w:tcBorders>
            <w:shd w:val="clear" w:color="auto" w:fill="E4E5E5"/>
          </w:tcPr>
          <w:p w:rsidRPr="00D43D39" w:rsidR="0081175C" w:rsidP="00367C1E" w:rsidRDefault="0081175C" w14:paraId="3979408C" w14:textId="77777777">
            <w:pPr>
              <w:pStyle w:val="TableParagraph"/>
              <w:spacing w:before="66"/>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Rows</w:t>
            </w:r>
          </w:p>
        </w:tc>
        <w:tc>
          <w:tcPr>
            <w:tcW w:w="8121" w:type="dxa"/>
            <w:tcBorders>
              <w:top w:val="single" w:color="1A171C" w:sz="4" w:space="0"/>
              <w:left w:val="single" w:color="1A171C" w:sz="4" w:space="0"/>
              <w:bottom w:val="single" w:color="1A171C" w:sz="4" w:space="0"/>
              <w:right w:val="nil"/>
            </w:tcBorders>
            <w:shd w:val="clear" w:color="auto" w:fill="E4E5E5"/>
          </w:tcPr>
          <w:p w:rsidRPr="00D43D39" w:rsidR="0081175C" w:rsidP="00367C1E" w:rsidRDefault="0081175C" w14:paraId="7BADFB85" w14:textId="77777777">
            <w:pPr>
              <w:pStyle w:val="TableParagraph"/>
              <w:spacing w:before="66"/>
              <w:ind w:right="1"/>
              <w:jc w:val="center"/>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Pr="00D43D39" w:rsidR="00D22EB0" w:rsidTr="005F5507" w14:paraId="39C36290"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2AECF94E" w14:textId="77777777">
            <w:pPr>
              <w:pStyle w:val="TableParagraph"/>
              <w:spacing w:before="106"/>
              <w:ind w:left="-1"/>
              <w:rPr>
                <w:rFonts w:ascii="Times New Roman" w:hAnsi="Times New Roman" w:eastAsia="Cambria" w:cs="Times New Roman"/>
                <w:b/>
                <w:color w:val="000000" w:themeColor="text1"/>
                <w:sz w:val="20"/>
                <w:szCs w:val="20"/>
                <w:lang w:val="en-GB"/>
              </w:rPr>
            </w:pPr>
            <w:r w:rsidRPr="00D43D39">
              <w:rPr>
                <w:rFonts w:ascii="Times New Roman" w:hAnsi="Times New Roman" w:cs="Times New Roman"/>
                <w:color w:val="000000" w:themeColor="text1"/>
                <w:sz w:val="20"/>
                <w:szCs w:val="20"/>
                <w:lang w:val="en-GB"/>
              </w:rPr>
              <w:t>0100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6024F6B5"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Liabilities excluded from bail-in</w:t>
            </w:r>
          </w:p>
          <w:p w:rsidRPr="00D43D39" w:rsidR="0081175C" w:rsidP="005F5507" w:rsidRDefault="005762F8" w14:paraId="051961A3" w14:textId="3C9AC64D">
            <w:pPr>
              <w:pStyle w:val="TableParagraph"/>
              <w:spacing w:before="108"/>
              <w:jc w:val="both"/>
              <w:rPr>
                <w:rFonts w:ascii="Times New Roman" w:hAnsi="Times New Roman" w:eastAsia="Cambria" w:cs="Times New Roman"/>
                <w:color w:val="000000" w:themeColor="text1"/>
                <w:spacing w:val="-1"/>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of liabilities for which the resolution authorities shall not exercise the write down or conversion powers in accordance with Article 44 (2) of Directive 2014/59/EU.</w:t>
            </w:r>
            <w:r w:rsidRPr="00D43D39" w:rsidR="41C0F9F8">
              <w:rPr>
                <w:rFonts w:ascii="Times New Roman" w:hAnsi="Times New Roman" w:eastAsia="Cambria" w:cs="Times New Roman"/>
                <w:color w:val="000000" w:themeColor="text1"/>
                <w:spacing w:val="-2"/>
                <w:w w:val="95"/>
                <w:sz w:val="20"/>
                <w:szCs w:val="20"/>
                <w:lang w:val="en-GB"/>
              </w:rPr>
              <w:t xml:space="preserve"> </w:t>
            </w:r>
          </w:p>
        </w:tc>
      </w:tr>
      <w:tr w:rsidRPr="00D43D39" w:rsidR="00D22EB0" w:rsidTr="005F5507" w14:paraId="38FCB230"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17A8F892" w14:textId="77777777">
            <w:pPr>
              <w:pStyle w:val="TableParagraph"/>
              <w:spacing w:before="106"/>
              <w:ind w:left="-1"/>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110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4854ACBD"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Covered deposits</w:t>
            </w:r>
          </w:p>
          <w:p w:rsidRPr="00D43D39" w:rsidR="0081175C" w:rsidP="00D6309A" w:rsidRDefault="0081175C" w14:paraId="7373B53C" w14:textId="77777777">
            <w:pPr>
              <w:pStyle w:val="TableParagraph"/>
              <w:spacing w:before="108"/>
              <w:ind w:left="85"/>
              <w:jc w:val="both"/>
              <w:rPr>
                <w:rFonts w:ascii="Times New Roman" w:hAnsi="Times New Roman" w:eastAsia="Book Antiqua" w:cs="Times New Roman"/>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covered deposits as defined in point (5) of Article 2 (1) of </w:t>
            </w:r>
            <w:r w:rsidRPr="005D71E0" w:rsidR="001D3665">
              <w:rPr>
                <w:rFonts w:ascii="Times New Roman" w:hAnsi="Times New Roman" w:cs="Times New Roman"/>
                <w:color w:val="000000" w:themeColor="text1"/>
                <w:sz w:val="20"/>
                <w:szCs w:val="20"/>
                <w:lang w:val="en-GB" w:eastAsia="en-GB"/>
              </w:rPr>
              <w:t xml:space="preserve">Directive 2014/49/EU of the </w:t>
            </w:r>
            <w:r w:rsidRPr="00D43D39" w:rsidR="001D258F">
              <w:rPr>
                <w:rFonts w:ascii="Times New Roman" w:hAnsi="Times New Roman" w:eastAsia="Cambria" w:cs="Times New Roman"/>
                <w:color w:val="000000" w:themeColor="text1"/>
                <w:spacing w:val="-2"/>
                <w:w w:val="95"/>
                <w:sz w:val="20"/>
                <w:szCs w:val="20"/>
                <w:lang w:val="en-GB"/>
              </w:rPr>
              <w:t>European Parliament and of</w:t>
            </w:r>
            <w:r w:rsidRPr="005D71E0" w:rsidR="001D3665">
              <w:rPr>
                <w:rFonts w:ascii="Times New Roman" w:hAnsi="Times New Roman" w:cs="Times New Roman"/>
                <w:color w:val="000000" w:themeColor="text1"/>
                <w:sz w:val="20"/>
                <w:szCs w:val="20"/>
                <w:lang w:val="en-GB" w:eastAsia="en-GB"/>
              </w:rPr>
              <w:t xml:space="preserve"> the Council</w:t>
            </w:r>
            <w:r w:rsidRPr="005F5507" w:rsidR="001D3665">
              <w:rPr>
                <w:rStyle w:val="FootnoteReference"/>
                <w:rFonts w:ascii="Times New Roman" w:hAnsi="Times New Roman" w:cs="Times New Roman"/>
                <w:color w:val="000000" w:themeColor="text1"/>
                <w:lang w:val="en-GB" w:eastAsia="en-GB"/>
              </w:rPr>
              <w:footnoteReference w:id="14"/>
            </w:r>
            <w:r w:rsidRPr="00D43D39" w:rsidR="00824CFD">
              <w:rPr>
                <w:rFonts w:ascii="Times New Roman" w:hAnsi="Times New Roman" w:eastAsia="Cambria" w:cs="Times New Roman"/>
                <w:color w:val="000000" w:themeColor="text1"/>
                <w:spacing w:val="-2"/>
                <w:w w:val="95"/>
                <w:sz w:val="20"/>
                <w:szCs w:val="20"/>
                <w:lang w:val="en-GB"/>
              </w:rPr>
              <w:t>, with the exclusion of t</w:t>
            </w:r>
            <w:r w:rsidRPr="00D43D39" w:rsidR="00223F70">
              <w:rPr>
                <w:rFonts w:ascii="Times New Roman" w:hAnsi="Times New Roman" w:eastAsia="Cambria" w:cs="Times New Roman"/>
                <w:color w:val="000000" w:themeColor="text1"/>
                <w:spacing w:val="-2"/>
                <w:w w:val="95"/>
                <w:sz w:val="20"/>
                <w:szCs w:val="20"/>
                <w:lang w:val="en-GB"/>
              </w:rPr>
              <w:t xml:space="preserve">emporary high balances as defined in Article 6(2) of </w:t>
            </w:r>
            <w:r w:rsidRPr="00D43D39" w:rsidR="00D6309A">
              <w:rPr>
                <w:rFonts w:ascii="Times New Roman" w:hAnsi="Times New Roman" w:eastAsia="Cambria" w:cs="Times New Roman"/>
                <w:color w:val="000000" w:themeColor="text1"/>
                <w:spacing w:val="-2"/>
                <w:w w:val="95"/>
                <w:sz w:val="20"/>
                <w:szCs w:val="20"/>
                <w:lang w:val="en-GB"/>
              </w:rPr>
              <w:t>that Directive</w:t>
            </w:r>
            <w:r w:rsidRPr="00D43D39" w:rsidR="00223F70">
              <w:rPr>
                <w:rFonts w:ascii="Times New Roman" w:hAnsi="Times New Roman" w:eastAsia="Cambria" w:cs="Times New Roman"/>
                <w:color w:val="000000" w:themeColor="text1"/>
                <w:spacing w:val="-2"/>
                <w:w w:val="95"/>
                <w:sz w:val="20"/>
                <w:szCs w:val="20"/>
                <w:lang w:val="en-GB"/>
              </w:rPr>
              <w:t>.</w:t>
            </w:r>
          </w:p>
        </w:tc>
      </w:tr>
      <w:tr w:rsidRPr="00D43D39" w:rsidR="00D22EB0" w:rsidTr="005F5507" w14:paraId="271963FF"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514CAAC9" w14:textId="77777777">
            <w:pPr>
              <w:pStyle w:val="TableParagraph"/>
              <w:spacing w:before="106"/>
              <w:ind w:left="-1"/>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120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0540C893"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Secured liabilities – collateralized part</w:t>
            </w:r>
          </w:p>
          <w:p w:rsidRPr="00D43D39" w:rsidR="0081175C" w:rsidP="00367C1E" w:rsidRDefault="001E7F9D" w14:paraId="215B63EE" w14:textId="26AF5BC0">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w:t>
            </w:r>
            <w:r w:rsidRPr="00D43D39" w:rsidR="00D61FA4">
              <w:rPr>
                <w:rFonts w:ascii="Times New Roman" w:hAnsi="Times New Roman" w:eastAsia="Cambria" w:cs="Times New Roman"/>
                <w:color w:val="000000" w:themeColor="text1"/>
                <w:spacing w:val="-2"/>
                <w:w w:val="95"/>
                <w:sz w:val="20"/>
                <w:szCs w:val="20"/>
                <w:lang w:val="en-GB"/>
              </w:rPr>
              <w:t>referenced</w:t>
            </w:r>
            <w:r w:rsidRPr="00D43D39">
              <w:rPr>
                <w:rFonts w:ascii="Times New Roman" w:hAnsi="Times New Roman" w:eastAsia="Cambria" w:cs="Times New Roman"/>
                <w:color w:val="000000" w:themeColor="text1"/>
                <w:spacing w:val="-2"/>
                <w:w w:val="95"/>
                <w:sz w:val="20"/>
                <w:szCs w:val="20"/>
                <w:lang w:val="en-GB"/>
              </w:rPr>
              <w:t xml:space="preserve"> in point b of </w:t>
            </w:r>
            <w:r w:rsidRPr="00D43D39" w:rsidR="0081175C">
              <w:rPr>
                <w:rFonts w:ascii="Times New Roman" w:hAnsi="Times New Roman" w:eastAsia="Cambria" w:cs="Times New Roman"/>
                <w:color w:val="000000" w:themeColor="text1"/>
                <w:spacing w:val="-2"/>
                <w:w w:val="95"/>
                <w:sz w:val="20"/>
                <w:szCs w:val="20"/>
                <w:lang w:val="en-GB"/>
              </w:rPr>
              <w:t>Article 44</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2</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 xml:space="preserve">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sidR="00BB7D92">
              <w:rPr>
                <w:rFonts w:ascii="Times New Roman" w:hAnsi="Times New Roman" w:eastAsia="Cambria" w:cs="Times New Roman"/>
                <w:color w:val="000000" w:themeColor="text1"/>
                <w:spacing w:val="-2"/>
                <w:w w:val="95"/>
                <w:sz w:val="20"/>
                <w:szCs w:val="20"/>
                <w:lang w:val="en-GB"/>
              </w:rPr>
              <w:t>.</w:t>
            </w:r>
          </w:p>
          <w:p w:rsidRPr="00D43D39" w:rsidR="0081175C" w:rsidP="00367C1E" w:rsidRDefault="0081175C" w14:paraId="4A15619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Secured liabilities including repurchase agreements (repos), covered bonds and liabilities in the form of financial instruments which form an integral part of the cover pool and which according to national law are secured in a way similar to covered bonds.</w:t>
            </w:r>
          </w:p>
          <w:p w:rsidRPr="00D43D39" w:rsidR="0081175C" w:rsidP="00367C1E" w:rsidRDefault="0081175C" w14:paraId="314E170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Neither the requirement to ensure that all secured assets relating to a covered bond cover pool remain unaffected, segregated and with enough funding, nor the exclusion </w:t>
            </w:r>
            <w:r w:rsidRPr="00D43D39" w:rsidR="00CC130F">
              <w:rPr>
                <w:rFonts w:ascii="Times New Roman" w:hAnsi="Times New Roman" w:eastAsia="Cambria" w:cs="Times New Roman"/>
                <w:color w:val="000000" w:themeColor="text1"/>
                <w:spacing w:val="-2"/>
                <w:w w:val="95"/>
                <w:sz w:val="20"/>
                <w:szCs w:val="20"/>
                <w:lang w:val="en-GB"/>
              </w:rPr>
              <w:t xml:space="preserve">of Article 44 (2) point b of Directive 2014/59/EU </w:t>
            </w:r>
            <w:r w:rsidRPr="00D43D39">
              <w:rPr>
                <w:rFonts w:ascii="Times New Roman" w:hAnsi="Times New Roman" w:eastAsia="Cambria" w:cs="Times New Roman"/>
                <w:color w:val="000000" w:themeColor="text1"/>
                <w:spacing w:val="-2"/>
                <w:w w:val="95"/>
                <w:sz w:val="20"/>
                <w:szCs w:val="20"/>
                <w:lang w:val="en-GB"/>
              </w:rPr>
              <w:t xml:space="preserve">shall prevent resolution authorities, where appropriate, from exercising those powers in relation to any part of a secured liability or a liability for which collateral has been pledged that exceeds the value of the assets, pledge, lien or collateral against which it is secured. Such an uncovered amount of these secured liabilities shall not be reported in this </w:t>
            </w:r>
            <w:r w:rsidRPr="00D43D39" w:rsidR="00D840C3">
              <w:rPr>
                <w:rFonts w:ascii="Times New Roman" w:hAnsi="Times New Roman" w:eastAsia="Cambria" w:cs="Times New Roman"/>
                <w:color w:val="000000" w:themeColor="text1"/>
                <w:spacing w:val="-2"/>
                <w:w w:val="95"/>
                <w:sz w:val="20"/>
                <w:szCs w:val="20"/>
                <w:lang w:val="en-GB"/>
              </w:rPr>
              <w:t>row</w:t>
            </w:r>
            <w:r w:rsidRPr="00D43D39">
              <w:rPr>
                <w:rFonts w:ascii="Times New Roman" w:hAnsi="Times New Roman" w:eastAsia="Cambria" w:cs="Times New Roman"/>
                <w:color w:val="000000" w:themeColor="text1"/>
                <w:spacing w:val="-2"/>
                <w:w w:val="95"/>
                <w:sz w:val="20"/>
                <w:szCs w:val="20"/>
                <w:lang w:val="en-GB"/>
              </w:rPr>
              <w:t xml:space="preserve">, but reported </w:t>
            </w:r>
            <w:r w:rsidRPr="00D43D39" w:rsidR="00D840C3">
              <w:rPr>
                <w:rFonts w:ascii="Times New Roman" w:hAnsi="Times New Roman" w:eastAsia="Cambria" w:cs="Times New Roman"/>
                <w:color w:val="000000" w:themeColor="text1"/>
                <w:spacing w:val="-2"/>
                <w:w w:val="95"/>
                <w:sz w:val="20"/>
                <w:szCs w:val="20"/>
                <w:lang w:val="en-GB"/>
              </w:rPr>
              <w:t>in row</w:t>
            </w:r>
            <w:r w:rsidRPr="00D43D39">
              <w:rPr>
                <w:rFonts w:ascii="Times New Roman" w:hAnsi="Times New Roman" w:eastAsia="Cambria" w:cs="Times New Roman"/>
                <w:color w:val="000000" w:themeColor="text1"/>
                <w:spacing w:val="-2"/>
                <w:w w:val="95"/>
                <w:sz w:val="20"/>
                <w:szCs w:val="20"/>
                <w:lang w:val="en-GB"/>
              </w:rPr>
              <w:t xml:space="preserve"> </w:t>
            </w:r>
            <w:r w:rsidRPr="00D43D39" w:rsidR="00824CFD">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340, subject to additional breakdown.</w:t>
            </w:r>
          </w:p>
          <w:p w:rsidRPr="00D43D39" w:rsidR="0081175C" w:rsidP="00F34A91" w:rsidRDefault="0081175C" w14:paraId="6224568E" w14:textId="03528F5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Central Bank liabilities which are covered by a collateral pool (</w:t>
            </w:r>
            <w:r w:rsidRPr="00D43D39" w:rsidR="00906ED3">
              <w:rPr>
                <w:rFonts w:ascii="Times New Roman" w:hAnsi="Times New Roman" w:eastAsia="Cambria" w:cs="Times New Roman"/>
                <w:color w:val="1A171C"/>
                <w:spacing w:val="-2"/>
                <w:w w:val="95"/>
                <w:sz w:val="20"/>
                <w:szCs w:val="20"/>
                <w:lang w:val="en-GB"/>
              </w:rPr>
              <w:t xml:space="preserve">for example main refinancing operations, </w:t>
            </w:r>
            <w:r w:rsidRPr="00D43D39" w:rsidR="00906ED3">
              <w:rPr>
                <w:rFonts w:ascii="Times New Roman" w:hAnsi="Times New Roman" w:eastAsia="Cambria" w:cs="Times New Roman"/>
                <w:color w:val="1A171C"/>
                <w:spacing w:val="-2"/>
                <w:w w:val="95"/>
                <w:sz w:val="20"/>
                <w:szCs w:val="20"/>
                <w:lang w:val="en-GB"/>
              </w:rPr>
              <w:t>long term refinancing operation, target longer-term refinancing operation</w:t>
            </w:r>
            <w:r w:rsidRPr="00D43D39" w:rsidR="00CC130F">
              <w:rPr>
                <w:rFonts w:ascii="Times New Roman" w:hAnsi="Times New Roman" w:eastAsia="Cambria" w:cs="Times New Roman"/>
                <w:color w:val="1A171C"/>
                <w:spacing w:val="-2"/>
                <w:w w:val="95"/>
                <w:sz w:val="20"/>
                <w:szCs w:val="20"/>
                <w:lang w:val="en-GB"/>
              </w:rPr>
              <w:t>s,</w:t>
            </w:r>
            <w:r w:rsidRPr="00D43D39" w:rsidR="00906ED3">
              <w:rPr>
                <w:rFonts w:ascii="Times New Roman" w:hAnsi="Times New Roman" w:eastAsia="Cambria" w:cs="Times New Roman"/>
                <w:color w:val="1A171C"/>
                <w:spacing w:val="-2"/>
                <w:w w:val="95"/>
                <w:sz w:val="20"/>
                <w:szCs w:val="20"/>
                <w:lang w:val="en-GB"/>
              </w:rPr>
              <w:t xml:space="preserve"> etc</w:t>
            </w:r>
            <w:r w:rsidRPr="00D43D39">
              <w:rPr>
                <w:rFonts w:ascii="Times New Roman" w:hAnsi="Times New Roman" w:eastAsia="Cambria" w:cs="Times New Roman"/>
                <w:color w:val="000000" w:themeColor="text1"/>
                <w:spacing w:val="-2"/>
                <w:w w:val="95"/>
                <w:sz w:val="20"/>
                <w:szCs w:val="20"/>
                <w:lang w:val="en-GB"/>
              </w:rPr>
              <w:t xml:space="preserve">) shall be regarded as secured liabilities. </w:t>
            </w:r>
          </w:p>
        </w:tc>
      </w:tr>
      <w:tr w:rsidRPr="00D43D39" w:rsidR="00D22EB0" w:rsidTr="005F5507" w14:paraId="7B614A34"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141E0262"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130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5E4E2DC9"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Client liabilities, if protected in insolvency</w:t>
            </w:r>
          </w:p>
          <w:p w:rsidRPr="00D43D39" w:rsidR="0081175C" w:rsidRDefault="00D61FA4" w14:paraId="31E36332" w14:textId="4EB40CD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w:t>
            </w:r>
            <w:r w:rsidRPr="00D43D39" w:rsidR="007C73E1">
              <w:rPr>
                <w:rFonts w:ascii="Times New Roman" w:hAnsi="Times New Roman" w:eastAsia="Cambria" w:cs="Times New Roman"/>
                <w:color w:val="000000" w:themeColor="text1"/>
                <w:spacing w:val="-2"/>
                <w:w w:val="95"/>
                <w:sz w:val="20"/>
                <w:szCs w:val="20"/>
                <w:lang w:val="en-GB"/>
              </w:rPr>
              <w:t>referenced in</w:t>
            </w:r>
            <w:r w:rsidRPr="00D43D39">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Article 44</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(2)</w:t>
            </w:r>
            <w:r w:rsidRPr="00D43D39" w:rsidR="00C62EEE">
              <w:rPr>
                <w:rFonts w:ascii="Times New Roman" w:hAnsi="Times New Roman" w:eastAsia="Cambria" w:cs="Times New Roman"/>
                <w:color w:val="000000" w:themeColor="text1"/>
                <w:spacing w:val="-2"/>
                <w:w w:val="95"/>
                <w:sz w:val="20"/>
                <w:szCs w:val="20"/>
                <w:lang w:val="en-GB"/>
              </w:rPr>
              <w:t xml:space="preserve"> point </w:t>
            </w:r>
            <w:r w:rsidRPr="00D43D39" w:rsidR="0081175C">
              <w:rPr>
                <w:rFonts w:ascii="Times New Roman" w:hAnsi="Times New Roman" w:eastAsia="Cambria" w:cs="Times New Roman"/>
                <w:color w:val="000000" w:themeColor="text1"/>
                <w:spacing w:val="-2"/>
                <w:w w:val="95"/>
                <w:sz w:val="20"/>
                <w:szCs w:val="20"/>
                <w:lang w:val="en-GB"/>
              </w:rPr>
              <w:t xml:space="preserve">c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sidR="006B3895">
              <w:rPr>
                <w:rFonts w:ascii="Times New Roman" w:hAnsi="Times New Roman" w:eastAsia="Cambria" w:cs="Times New Roman"/>
                <w:color w:val="000000" w:themeColor="text1"/>
                <w:spacing w:val="-2"/>
                <w:w w:val="95"/>
                <w:sz w:val="20"/>
                <w:szCs w:val="20"/>
                <w:lang w:val="en-GB"/>
              </w:rPr>
              <w:t>.</w:t>
            </w:r>
          </w:p>
        </w:tc>
      </w:tr>
      <w:tr w:rsidRPr="00D43D39" w:rsidR="00D22EB0" w:rsidTr="005F5507" w14:paraId="6D327B10"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5E68B34F"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140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71B3D8CE"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Fiduciary liabilities, if protected in insolvency</w:t>
            </w:r>
          </w:p>
          <w:p w:rsidRPr="00D43D39" w:rsidR="0081175C" w:rsidRDefault="007C73E1" w14:paraId="2E8631D5" w14:textId="61F77DA2">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referenced in </w:t>
            </w:r>
            <w:r w:rsidRPr="00D43D39" w:rsidR="0081175C">
              <w:rPr>
                <w:rFonts w:ascii="Times New Roman" w:hAnsi="Times New Roman" w:eastAsia="Cambria" w:cs="Times New Roman"/>
                <w:color w:val="000000" w:themeColor="text1"/>
                <w:spacing w:val="-2"/>
                <w:w w:val="95"/>
                <w:sz w:val="20"/>
                <w:szCs w:val="20"/>
                <w:lang w:val="en-GB"/>
              </w:rPr>
              <w:t>Article 44</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(2)</w:t>
            </w:r>
            <w:r w:rsidRPr="00D43D39" w:rsidR="00C62EEE">
              <w:rPr>
                <w:rFonts w:ascii="Times New Roman" w:hAnsi="Times New Roman" w:eastAsia="Cambria" w:cs="Times New Roman"/>
                <w:color w:val="000000" w:themeColor="text1"/>
                <w:spacing w:val="-2"/>
                <w:w w:val="95"/>
                <w:sz w:val="20"/>
                <w:szCs w:val="20"/>
                <w:lang w:val="en-GB"/>
              </w:rPr>
              <w:t xml:space="preserve"> point </w:t>
            </w:r>
            <w:r w:rsidRPr="00D43D39" w:rsidR="00AA2A99">
              <w:rPr>
                <w:rFonts w:ascii="Times New Roman" w:hAnsi="Times New Roman" w:eastAsia="Cambria" w:cs="Times New Roman"/>
                <w:color w:val="000000" w:themeColor="text1"/>
                <w:spacing w:val="-2"/>
                <w:w w:val="95"/>
                <w:sz w:val="20"/>
                <w:szCs w:val="20"/>
                <w:lang w:val="en-GB"/>
              </w:rPr>
              <w:t>d</w:t>
            </w:r>
            <w:r w:rsidRPr="00D43D39" w:rsidR="0081175C">
              <w:rPr>
                <w:rFonts w:ascii="Times New Roman" w:hAnsi="Times New Roman" w:eastAsia="Cambria" w:cs="Times New Roman"/>
                <w:color w:val="000000" w:themeColor="text1"/>
                <w:spacing w:val="-2"/>
                <w:w w:val="95"/>
                <w:sz w:val="20"/>
                <w:szCs w:val="20"/>
                <w:lang w:val="en-GB"/>
              </w:rPr>
              <w:t xml:space="preserve">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sidR="006B3895">
              <w:rPr>
                <w:rFonts w:ascii="Times New Roman" w:hAnsi="Times New Roman" w:eastAsia="Cambria" w:cs="Times New Roman"/>
                <w:color w:val="000000" w:themeColor="text1"/>
                <w:spacing w:val="-2"/>
                <w:w w:val="95"/>
                <w:sz w:val="20"/>
                <w:szCs w:val="20"/>
                <w:lang w:val="en-GB"/>
              </w:rPr>
              <w:t>.</w:t>
            </w:r>
          </w:p>
        </w:tc>
      </w:tr>
      <w:tr w:rsidRPr="00D43D39" w:rsidR="00D22EB0" w:rsidTr="005F5507" w14:paraId="527C00F6"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44A807FA"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150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2965E8" w14:paraId="7D46E2B3" w14:textId="66B274DB">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I</w:t>
            </w:r>
            <w:r w:rsidRPr="00D43D39" w:rsidR="0081175C">
              <w:rPr>
                <w:rFonts w:ascii="Times New Roman" w:hAnsi="Times New Roman" w:cs="Times New Roman"/>
                <w:b/>
                <w:color w:val="000000" w:themeColor="text1"/>
                <w:spacing w:val="-2"/>
                <w:w w:val="95"/>
                <w:sz w:val="20"/>
                <w:szCs w:val="20"/>
                <w:lang w:val="en-GB"/>
              </w:rPr>
              <w:t xml:space="preserve">nstitution liabilities &lt; 7 days </w:t>
            </w:r>
          </w:p>
          <w:p w:rsidRPr="00D43D39" w:rsidR="0081175C" w:rsidRDefault="007C73E1" w14:paraId="3094AB4A" w14:textId="0659D1C2">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referenced in </w:t>
            </w:r>
            <w:r w:rsidRPr="00D43D39" w:rsidR="00D840C3">
              <w:rPr>
                <w:rFonts w:ascii="Times New Roman" w:hAnsi="Times New Roman" w:eastAsia="Cambria" w:cs="Times New Roman"/>
                <w:color w:val="000000" w:themeColor="text1"/>
                <w:spacing w:val="-2"/>
                <w:w w:val="95"/>
                <w:sz w:val="20"/>
                <w:szCs w:val="20"/>
                <w:lang w:val="en-GB"/>
              </w:rPr>
              <w:t>A</w:t>
            </w:r>
            <w:r w:rsidRPr="00D43D39" w:rsidR="0081175C">
              <w:rPr>
                <w:rFonts w:ascii="Times New Roman" w:hAnsi="Times New Roman" w:eastAsia="Cambria" w:cs="Times New Roman"/>
                <w:color w:val="000000" w:themeColor="text1"/>
                <w:spacing w:val="-2"/>
                <w:w w:val="95"/>
                <w:sz w:val="20"/>
                <w:szCs w:val="20"/>
                <w:lang w:val="en-GB"/>
              </w:rPr>
              <w:t>rticle 44</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2</w:t>
            </w:r>
            <w:r w:rsidRPr="00D43D39" w:rsidR="00C62EEE">
              <w:rPr>
                <w:rFonts w:ascii="Times New Roman" w:hAnsi="Times New Roman" w:eastAsia="Cambria" w:cs="Times New Roman"/>
                <w:color w:val="000000" w:themeColor="text1"/>
                <w:spacing w:val="-2"/>
                <w:w w:val="95"/>
                <w:sz w:val="20"/>
                <w:szCs w:val="20"/>
                <w:lang w:val="en-GB"/>
              </w:rPr>
              <w:t xml:space="preserve">) point </w:t>
            </w:r>
            <w:r w:rsidRPr="00D43D39" w:rsidR="0081175C">
              <w:rPr>
                <w:rFonts w:ascii="Times New Roman" w:hAnsi="Times New Roman" w:eastAsia="Cambria" w:cs="Times New Roman"/>
                <w:color w:val="000000" w:themeColor="text1"/>
                <w:spacing w:val="-2"/>
                <w:w w:val="95"/>
                <w:sz w:val="20"/>
                <w:szCs w:val="20"/>
                <w:lang w:val="en-GB"/>
              </w:rPr>
              <w:t>e</w:t>
            </w:r>
            <w:r w:rsidRPr="00D43D39" w:rsidR="00D840C3">
              <w:rPr>
                <w:rFonts w:ascii="Times New Roman" w:hAnsi="Times New Roman" w:eastAsia="Cambria" w:cs="Times New Roman"/>
                <w:color w:val="000000" w:themeColor="text1"/>
                <w:spacing w:val="-2"/>
                <w:w w:val="95"/>
                <w:sz w:val="20"/>
                <w:szCs w:val="20"/>
                <w:lang w:val="en-GB"/>
              </w:rPr>
              <w:t xml:space="preserve">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sidR="006B3895">
              <w:rPr>
                <w:rFonts w:ascii="Times New Roman" w:hAnsi="Times New Roman" w:eastAsia="Cambria" w:cs="Times New Roman"/>
                <w:color w:val="000000" w:themeColor="text1"/>
                <w:spacing w:val="-2"/>
                <w:w w:val="95"/>
                <w:sz w:val="20"/>
                <w:szCs w:val="20"/>
                <w:lang w:val="en-GB"/>
              </w:rPr>
              <w:t>.</w:t>
            </w:r>
          </w:p>
        </w:tc>
      </w:tr>
      <w:tr w:rsidRPr="00D43D39" w:rsidR="00D22EB0" w:rsidTr="005F5507" w14:paraId="47CEE2DB"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A75EE3" w:rsidRDefault="00903E0D" w14:paraId="7A3DB75A" w14:textId="48D35BB6">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16</w:t>
            </w:r>
            <w:r w:rsidRPr="00D43D39" w:rsidR="00A75EE3">
              <w:rPr>
                <w:rFonts w:ascii="Times New Roman" w:hAnsi="Times New Roman" w:cs="Times New Roman"/>
                <w:color w:val="000000" w:themeColor="text1"/>
                <w:sz w:val="20"/>
                <w:szCs w:val="20"/>
                <w:lang w:val="en-GB"/>
              </w:rPr>
              <w:t>1</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2CAFFDAB" w14:textId="64D3342B">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 xml:space="preserve">System (operator) </w:t>
            </w:r>
            <w:r w:rsidRPr="00D43D39" w:rsidR="00D36A8C">
              <w:rPr>
                <w:rFonts w:ascii="Times New Roman" w:hAnsi="Times New Roman" w:cs="Times New Roman"/>
                <w:b/>
                <w:color w:val="000000" w:themeColor="text1"/>
                <w:spacing w:val="-2"/>
                <w:w w:val="95"/>
                <w:sz w:val="20"/>
                <w:szCs w:val="20"/>
                <w:lang w:val="en-GB"/>
              </w:rPr>
              <w:t xml:space="preserve">and CCP </w:t>
            </w:r>
            <w:r w:rsidRPr="00D43D39">
              <w:rPr>
                <w:rFonts w:ascii="Times New Roman" w:hAnsi="Times New Roman" w:cs="Times New Roman"/>
                <w:b/>
                <w:color w:val="000000" w:themeColor="text1"/>
                <w:spacing w:val="-2"/>
                <w:w w:val="95"/>
                <w:sz w:val="20"/>
                <w:szCs w:val="20"/>
                <w:lang w:val="en-GB"/>
              </w:rPr>
              <w:t>liabilities &lt; 7 days</w:t>
            </w:r>
          </w:p>
          <w:p w:rsidRPr="00D43D39" w:rsidR="0081175C" w:rsidP="00D36A8C" w:rsidRDefault="007C73E1" w14:paraId="73CAD80A" w14:textId="67570D5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referenced in </w:t>
            </w:r>
            <w:r w:rsidRPr="00D43D39" w:rsidR="00D840C3">
              <w:rPr>
                <w:rFonts w:ascii="Times New Roman" w:hAnsi="Times New Roman" w:eastAsia="Cambria" w:cs="Times New Roman"/>
                <w:color w:val="000000" w:themeColor="text1"/>
                <w:spacing w:val="-2"/>
                <w:w w:val="95"/>
                <w:sz w:val="20"/>
                <w:szCs w:val="20"/>
                <w:lang w:val="en-GB"/>
              </w:rPr>
              <w:t>A</w:t>
            </w:r>
            <w:r w:rsidRPr="00D43D39" w:rsidR="0081175C">
              <w:rPr>
                <w:rFonts w:ascii="Times New Roman" w:hAnsi="Times New Roman" w:eastAsia="Cambria" w:cs="Times New Roman"/>
                <w:color w:val="000000" w:themeColor="text1"/>
                <w:spacing w:val="-2"/>
                <w:w w:val="95"/>
                <w:sz w:val="20"/>
                <w:szCs w:val="20"/>
                <w:lang w:val="en-GB"/>
              </w:rPr>
              <w:t>rticle 44</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2</w:t>
            </w:r>
            <w:r w:rsidRPr="00D43D39" w:rsidR="00C62EEE">
              <w:rPr>
                <w:rFonts w:ascii="Times New Roman" w:hAnsi="Times New Roman" w:eastAsia="Cambria" w:cs="Times New Roman"/>
                <w:color w:val="000000" w:themeColor="text1"/>
                <w:spacing w:val="-2"/>
                <w:w w:val="95"/>
                <w:sz w:val="20"/>
                <w:szCs w:val="20"/>
                <w:lang w:val="en-GB"/>
              </w:rPr>
              <w:t xml:space="preserve">) point </w:t>
            </w:r>
            <w:r w:rsidRPr="00D43D39" w:rsidR="0081175C">
              <w:rPr>
                <w:rFonts w:ascii="Times New Roman" w:hAnsi="Times New Roman" w:eastAsia="Cambria" w:cs="Times New Roman"/>
                <w:color w:val="000000" w:themeColor="text1"/>
                <w:spacing w:val="-2"/>
                <w:w w:val="95"/>
                <w:sz w:val="20"/>
                <w:szCs w:val="20"/>
                <w:lang w:val="en-GB"/>
              </w:rPr>
              <w:t>f</w:t>
            </w:r>
            <w:r w:rsidRPr="00D43D39" w:rsidR="00D840C3">
              <w:rPr>
                <w:rFonts w:ascii="Times New Roman" w:hAnsi="Times New Roman" w:eastAsia="Cambria" w:cs="Times New Roman"/>
                <w:color w:val="000000" w:themeColor="text1"/>
                <w:spacing w:val="-2"/>
                <w:w w:val="95"/>
                <w:sz w:val="20"/>
                <w:szCs w:val="20"/>
                <w:lang w:val="en-GB"/>
              </w:rPr>
              <w:t xml:space="preserve">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sidR="00177D52">
              <w:rPr>
                <w:rFonts w:ascii="Times New Roman" w:hAnsi="Times New Roman" w:eastAsia="Cambria" w:cs="Times New Roman"/>
                <w:color w:val="000000" w:themeColor="text1"/>
                <w:spacing w:val="-2"/>
                <w:w w:val="95"/>
                <w:sz w:val="20"/>
                <w:szCs w:val="20"/>
                <w:lang w:val="en-GB"/>
              </w:rPr>
              <w:t xml:space="preserve">, including payment and security settlement systems and clearing houses, as well as CCP-cleared derivatives with maturity below 7 days. </w:t>
            </w:r>
          </w:p>
        </w:tc>
      </w:tr>
      <w:tr w:rsidRPr="00D43D39" w:rsidR="00D22EB0" w:rsidTr="005F5507" w14:paraId="7637178E"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66E1C2B3"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170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7DF73061"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Employee liabilities</w:t>
            </w:r>
          </w:p>
          <w:p w:rsidRPr="00D43D39" w:rsidR="0081175C" w:rsidP="00367C1E" w:rsidRDefault="007C73E1" w14:paraId="0F07F3E6" w14:textId="17A03A02">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referenced in </w:t>
            </w:r>
            <w:r w:rsidRPr="00D43D39" w:rsidR="00D840C3">
              <w:rPr>
                <w:rFonts w:ascii="Times New Roman" w:hAnsi="Times New Roman" w:eastAsia="Cambria" w:cs="Times New Roman"/>
                <w:color w:val="000000" w:themeColor="text1"/>
                <w:spacing w:val="-2"/>
                <w:w w:val="95"/>
                <w:sz w:val="20"/>
                <w:szCs w:val="20"/>
                <w:lang w:val="en-GB"/>
              </w:rPr>
              <w:t>A</w:t>
            </w:r>
            <w:r w:rsidRPr="00D43D39" w:rsidR="0081175C">
              <w:rPr>
                <w:rFonts w:ascii="Times New Roman" w:hAnsi="Times New Roman" w:eastAsia="Cambria" w:cs="Times New Roman"/>
                <w:color w:val="000000" w:themeColor="text1"/>
                <w:spacing w:val="-2"/>
                <w:w w:val="95"/>
                <w:sz w:val="20"/>
                <w:szCs w:val="20"/>
                <w:lang w:val="en-GB"/>
              </w:rPr>
              <w:t>rticle 44</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2</w:t>
            </w:r>
            <w:r w:rsidRPr="00D43D39" w:rsidR="00C62EEE">
              <w:rPr>
                <w:rFonts w:ascii="Times New Roman" w:hAnsi="Times New Roman" w:eastAsia="Cambria" w:cs="Times New Roman"/>
                <w:color w:val="000000" w:themeColor="text1"/>
                <w:spacing w:val="-2"/>
                <w:w w:val="95"/>
                <w:sz w:val="20"/>
                <w:szCs w:val="20"/>
                <w:lang w:val="en-GB"/>
              </w:rPr>
              <w:t xml:space="preserve">) point </w:t>
            </w:r>
            <w:r w:rsidRPr="00D43D39" w:rsidR="0081175C">
              <w:rPr>
                <w:rFonts w:ascii="Times New Roman" w:hAnsi="Times New Roman" w:eastAsia="Cambria" w:cs="Times New Roman"/>
                <w:color w:val="000000" w:themeColor="text1"/>
                <w:spacing w:val="-2"/>
                <w:w w:val="95"/>
                <w:sz w:val="20"/>
                <w:szCs w:val="20"/>
                <w:lang w:val="en-GB"/>
              </w:rPr>
              <w:t>g</w:t>
            </w:r>
            <w:r w:rsidRPr="00D43D39" w:rsidR="00C62EEE">
              <w:rPr>
                <w:rFonts w:ascii="Times New Roman" w:hAnsi="Times New Roman" w:eastAsia="Cambria" w:cs="Times New Roman"/>
                <w:color w:val="000000" w:themeColor="text1"/>
                <w:spacing w:val="-2"/>
                <w:w w:val="95"/>
                <w:sz w:val="20"/>
                <w:szCs w:val="20"/>
                <w:lang w:val="en-GB"/>
              </w:rPr>
              <w:t xml:space="preserve"> (i)</w:t>
            </w:r>
            <w:r w:rsidRPr="00D43D39" w:rsidR="00D840C3">
              <w:rPr>
                <w:rFonts w:ascii="Times New Roman" w:hAnsi="Times New Roman" w:eastAsia="Cambria" w:cs="Times New Roman"/>
                <w:color w:val="000000" w:themeColor="text1"/>
                <w:spacing w:val="-2"/>
                <w:w w:val="95"/>
                <w:sz w:val="20"/>
                <w:szCs w:val="20"/>
                <w:lang w:val="en-GB"/>
              </w:rPr>
              <w:t xml:space="preserve">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sidR="006B3895">
              <w:rPr>
                <w:rFonts w:ascii="Times New Roman" w:hAnsi="Times New Roman" w:eastAsia="Cambria" w:cs="Times New Roman"/>
                <w:color w:val="000000" w:themeColor="text1"/>
                <w:spacing w:val="-2"/>
                <w:w w:val="95"/>
                <w:sz w:val="20"/>
                <w:szCs w:val="20"/>
                <w:lang w:val="en-GB"/>
              </w:rPr>
              <w:t>.</w:t>
            </w:r>
          </w:p>
          <w:p w:rsidRPr="00D43D39" w:rsidR="0081175C" w:rsidP="00AB6215" w:rsidRDefault="0081175C" w14:paraId="3F247F5E"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Liabilities to an employee, in relation to accrued salary, pension benefits or other fixed remuneration, except for the variable component of remuneration that is not regulated by a collective bargaining agreement. This shall however not apply to the variable component of the remuneration of material risk takers as identified in Article 92 (2) of </w:t>
            </w:r>
            <w:r w:rsidRPr="00D43D39" w:rsidR="00997DED">
              <w:rPr>
                <w:rFonts w:ascii="Times New Roman" w:hAnsi="Times New Roman" w:eastAsia="Cambria" w:cs="Times New Roman"/>
                <w:color w:val="000000" w:themeColor="text1"/>
                <w:spacing w:val="-2"/>
                <w:w w:val="95"/>
                <w:sz w:val="20"/>
                <w:szCs w:val="20"/>
                <w:lang w:val="en-GB"/>
              </w:rPr>
              <w:t>Directive 2013/36</w:t>
            </w:r>
            <w:r w:rsidRPr="00D43D39" w:rsidR="00D73A7B">
              <w:rPr>
                <w:rFonts w:ascii="Times New Roman" w:hAnsi="Times New Roman" w:eastAsia="Cambria" w:cs="Times New Roman"/>
                <w:color w:val="000000" w:themeColor="text1"/>
                <w:spacing w:val="-2"/>
                <w:w w:val="95"/>
                <w:sz w:val="20"/>
                <w:szCs w:val="20"/>
                <w:lang w:val="en-GB"/>
              </w:rPr>
              <w:t>/EU</w:t>
            </w:r>
            <w:r w:rsidRPr="00D43D39">
              <w:rPr>
                <w:rFonts w:ascii="Times New Roman" w:hAnsi="Times New Roman" w:eastAsia="Cambria" w:cs="Times New Roman"/>
                <w:color w:val="000000" w:themeColor="text1"/>
                <w:spacing w:val="-2"/>
                <w:w w:val="95"/>
                <w:sz w:val="20"/>
                <w:szCs w:val="20"/>
                <w:lang w:val="en-GB"/>
              </w:rPr>
              <w:t>.</w:t>
            </w:r>
          </w:p>
        </w:tc>
      </w:tr>
      <w:tr w:rsidRPr="00D43D39" w:rsidR="00D22EB0" w:rsidTr="005F5507" w14:paraId="28EA96CD"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3A8F9DB2"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180</w:t>
            </w:r>
          </w:p>
        </w:tc>
        <w:tc>
          <w:tcPr>
            <w:tcW w:w="8121" w:type="dxa"/>
            <w:tcBorders>
              <w:top w:val="single" w:color="1A171C" w:sz="4" w:space="0"/>
              <w:left w:val="single" w:color="1A171C" w:sz="4" w:space="0"/>
              <w:bottom w:val="single" w:color="1A171C" w:sz="4" w:space="0"/>
              <w:right w:val="nil"/>
            </w:tcBorders>
            <w:vAlign w:val="center"/>
          </w:tcPr>
          <w:p w:rsidRPr="00D43D39" w:rsidR="001971EB" w:rsidP="00367C1E" w:rsidRDefault="00BC1A85" w14:paraId="32A179ED"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Liabilities critical to operational daily functioning</w:t>
            </w:r>
          </w:p>
          <w:p w:rsidRPr="00D43D39" w:rsidR="0081175C" w:rsidRDefault="00FE1879" w14:paraId="64A855A5" w14:textId="08D1667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referenced in </w:t>
            </w:r>
            <w:r w:rsidRPr="00D43D39" w:rsidR="00D840C3">
              <w:rPr>
                <w:rFonts w:ascii="Times New Roman" w:hAnsi="Times New Roman" w:eastAsia="Cambria" w:cs="Times New Roman"/>
                <w:color w:val="000000" w:themeColor="text1"/>
                <w:spacing w:val="-2"/>
                <w:w w:val="95"/>
                <w:sz w:val="20"/>
                <w:szCs w:val="20"/>
                <w:lang w:val="en-GB"/>
              </w:rPr>
              <w:t>A</w:t>
            </w:r>
            <w:r w:rsidRPr="00D43D39" w:rsidR="0081175C">
              <w:rPr>
                <w:rFonts w:ascii="Times New Roman" w:hAnsi="Times New Roman" w:eastAsia="Cambria" w:cs="Times New Roman"/>
                <w:color w:val="000000" w:themeColor="text1"/>
                <w:spacing w:val="-2"/>
                <w:w w:val="95"/>
                <w:sz w:val="20"/>
                <w:szCs w:val="20"/>
                <w:lang w:val="en-GB"/>
              </w:rPr>
              <w:t>rticle 44</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2</w:t>
            </w:r>
            <w:r w:rsidRPr="00D43D39" w:rsidR="00C62EEE">
              <w:rPr>
                <w:rFonts w:ascii="Times New Roman" w:hAnsi="Times New Roman" w:eastAsia="Cambria" w:cs="Times New Roman"/>
                <w:color w:val="000000" w:themeColor="text1"/>
                <w:spacing w:val="-2"/>
                <w:w w:val="95"/>
                <w:sz w:val="20"/>
                <w:szCs w:val="20"/>
                <w:lang w:val="en-GB"/>
              </w:rPr>
              <w:t>) point g (</w:t>
            </w:r>
            <w:r w:rsidRPr="00D43D39" w:rsidR="0081175C">
              <w:rPr>
                <w:rFonts w:ascii="Times New Roman" w:hAnsi="Times New Roman" w:eastAsia="Cambria" w:cs="Times New Roman"/>
                <w:color w:val="000000" w:themeColor="text1"/>
                <w:spacing w:val="-2"/>
                <w:w w:val="95"/>
                <w:sz w:val="20"/>
                <w:szCs w:val="20"/>
                <w:lang w:val="en-GB"/>
              </w:rPr>
              <w:t>ii</w:t>
            </w:r>
            <w:r w:rsidRPr="00D43D39" w:rsidR="00C62EEE">
              <w:rPr>
                <w:rFonts w:ascii="Times New Roman" w:hAnsi="Times New Roman" w:eastAsia="Cambria" w:cs="Times New Roman"/>
                <w:color w:val="000000" w:themeColor="text1"/>
                <w:spacing w:val="-2"/>
                <w:w w:val="95"/>
                <w:sz w:val="20"/>
                <w:szCs w:val="20"/>
                <w:lang w:val="en-GB"/>
              </w:rPr>
              <w:t>)</w:t>
            </w:r>
            <w:r w:rsidRPr="00D43D39" w:rsidR="008017B4">
              <w:rPr>
                <w:rFonts w:ascii="Times New Roman" w:hAnsi="Times New Roman" w:eastAsia="Cambria" w:cs="Times New Roman"/>
                <w:color w:val="000000" w:themeColor="text1"/>
                <w:spacing w:val="-2"/>
                <w:w w:val="95"/>
                <w:sz w:val="20"/>
                <w:szCs w:val="20"/>
                <w:lang w:val="en-GB"/>
              </w:rPr>
              <w:t xml:space="preserve">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sidR="006B3895">
              <w:rPr>
                <w:rFonts w:ascii="Times New Roman" w:hAnsi="Times New Roman" w:eastAsia="Cambria" w:cs="Times New Roman"/>
                <w:color w:val="000000" w:themeColor="text1"/>
                <w:spacing w:val="-2"/>
                <w:w w:val="95"/>
                <w:sz w:val="20"/>
                <w:szCs w:val="20"/>
                <w:lang w:val="en-GB"/>
              </w:rPr>
              <w:t>.</w:t>
            </w:r>
          </w:p>
        </w:tc>
      </w:tr>
      <w:tr w:rsidRPr="00D43D39" w:rsidR="00D22EB0" w:rsidTr="005F5507" w14:paraId="797799AF"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4AA7F39D"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190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2839B045"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Tax and social security authorities liabilities, if preferred</w:t>
            </w:r>
          </w:p>
          <w:p w:rsidRPr="00D43D39" w:rsidR="0081175C" w:rsidP="00367C1E" w:rsidRDefault="00AF7EBC" w14:paraId="5AF80F80" w14:textId="4B7D5BB4">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referenced in </w:t>
            </w:r>
            <w:r w:rsidRPr="00D43D39" w:rsidR="00D840C3">
              <w:rPr>
                <w:rFonts w:ascii="Times New Roman" w:hAnsi="Times New Roman" w:eastAsia="Cambria" w:cs="Times New Roman"/>
                <w:color w:val="000000" w:themeColor="text1"/>
                <w:spacing w:val="-2"/>
                <w:w w:val="95"/>
                <w:sz w:val="20"/>
                <w:szCs w:val="20"/>
                <w:lang w:val="en-GB"/>
              </w:rPr>
              <w:t>A</w:t>
            </w:r>
            <w:r w:rsidRPr="00D43D39" w:rsidR="0081175C">
              <w:rPr>
                <w:rFonts w:ascii="Times New Roman" w:hAnsi="Times New Roman" w:eastAsia="Cambria" w:cs="Times New Roman"/>
                <w:color w:val="000000" w:themeColor="text1"/>
                <w:spacing w:val="-2"/>
                <w:w w:val="95"/>
                <w:sz w:val="20"/>
                <w:szCs w:val="20"/>
                <w:lang w:val="en-GB"/>
              </w:rPr>
              <w:t>rticle 44</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2</w:t>
            </w:r>
            <w:r w:rsidRPr="00D43D39" w:rsidR="00C62EEE">
              <w:rPr>
                <w:rFonts w:ascii="Times New Roman" w:hAnsi="Times New Roman" w:eastAsia="Cambria" w:cs="Times New Roman"/>
                <w:color w:val="000000" w:themeColor="text1"/>
                <w:spacing w:val="-2"/>
                <w:w w:val="95"/>
                <w:sz w:val="20"/>
                <w:szCs w:val="20"/>
                <w:lang w:val="en-GB"/>
              </w:rPr>
              <w:t>) point g (</w:t>
            </w:r>
            <w:r w:rsidRPr="00D43D39" w:rsidR="0081175C">
              <w:rPr>
                <w:rFonts w:ascii="Times New Roman" w:hAnsi="Times New Roman" w:eastAsia="Cambria" w:cs="Times New Roman"/>
                <w:color w:val="000000" w:themeColor="text1"/>
                <w:spacing w:val="-2"/>
                <w:w w:val="95"/>
                <w:sz w:val="20"/>
                <w:szCs w:val="20"/>
                <w:lang w:val="en-GB"/>
              </w:rPr>
              <w:t>iii</w:t>
            </w:r>
            <w:r w:rsidRPr="00D43D39" w:rsidR="00C62EEE">
              <w:rPr>
                <w:rFonts w:ascii="Times New Roman" w:hAnsi="Times New Roman" w:eastAsia="Cambria" w:cs="Times New Roman"/>
                <w:color w:val="000000" w:themeColor="text1"/>
                <w:spacing w:val="-2"/>
                <w:w w:val="95"/>
                <w:sz w:val="20"/>
                <w:szCs w:val="20"/>
                <w:lang w:val="en-GB"/>
              </w:rPr>
              <w:t>)</w:t>
            </w:r>
            <w:r w:rsidRPr="00D43D39" w:rsidR="00D840C3">
              <w:rPr>
                <w:rFonts w:ascii="Times New Roman" w:hAnsi="Times New Roman" w:eastAsia="Cambria" w:cs="Times New Roman"/>
                <w:color w:val="000000" w:themeColor="text1"/>
                <w:spacing w:val="-2"/>
                <w:w w:val="95"/>
                <w:sz w:val="20"/>
                <w:szCs w:val="20"/>
                <w:lang w:val="en-GB"/>
              </w:rPr>
              <w:t xml:space="preserve"> </w:t>
            </w:r>
            <w:r w:rsidRPr="00D43D39" w:rsidR="00C62EEE">
              <w:rPr>
                <w:rFonts w:ascii="Times New Roman" w:hAnsi="Times New Roman" w:eastAsia="Cambria" w:cs="Times New Roman"/>
                <w:color w:val="000000" w:themeColor="text1"/>
                <w:spacing w:val="-2"/>
                <w:w w:val="95"/>
                <w:sz w:val="20"/>
                <w:szCs w:val="20"/>
                <w:lang w:val="en-GB"/>
              </w:rPr>
              <w:t xml:space="preserve">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Pr>
                <w:rFonts w:ascii="Times New Roman" w:hAnsi="Times New Roman" w:eastAsia="Cambria" w:cs="Times New Roman"/>
                <w:color w:val="000000" w:themeColor="text1"/>
                <w:spacing w:val="-2"/>
                <w:w w:val="95"/>
                <w:sz w:val="20"/>
                <w:szCs w:val="20"/>
                <w:lang w:val="en-GB"/>
              </w:rPr>
              <w:t>.</w:t>
            </w:r>
          </w:p>
        </w:tc>
      </w:tr>
      <w:tr w:rsidRPr="00D43D39" w:rsidR="00D22EB0" w:rsidTr="005F5507" w14:paraId="77099BC0"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7C4FB5E6"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200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190224FB"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DGS liabilities</w:t>
            </w:r>
          </w:p>
          <w:p w:rsidRPr="00D43D39" w:rsidR="0081175C" w:rsidP="002E7149" w:rsidRDefault="00AF7EBC" w14:paraId="069E03EF" w14:textId="473D8B1F">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referenced in </w:t>
            </w:r>
            <w:r w:rsidRPr="00D43D39" w:rsidR="00D840C3">
              <w:rPr>
                <w:rFonts w:ascii="Times New Roman" w:hAnsi="Times New Roman" w:eastAsia="Cambria" w:cs="Times New Roman"/>
                <w:color w:val="000000" w:themeColor="text1"/>
                <w:spacing w:val="-2"/>
                <w:w w:val="95"/>
                <w:sz w:val="20"/>
                <w:szCs w:val="20"/>
                <w:lang w:val="en-GB"/>
              </w:rPr>
              <w:t>A</w:t>
            </w:r>
            <w:r w:rsidRPr="00D43D39" w:rsidR="0081175C">
              <w:rPr>
                <w:rFonts w:ascii="Times New Roman" w:hAnsi="Times New Roman" w:eastAsia="Cambria" w:cs="Times New Roman"/>
                <w:color w:val="000000" w:themeColor="text1"/>
                <w:spacing w:val="-2"/>
                <w:w w:val="95"/>
                <w:sz w:val="20"/>
                <w:szCs w:val="20"/>
                <w:lang w:val="en-GB"/>
              </w:rPr>
              <w:t>rticle 44</w:t>
            </w:r>
            <w:r w:rsidRPr="00D43D39" w:rsidR="00C62EEE">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2</w:t>
            </w:r>
            <w:r w:rsidRPr="00D43D39" w:rsidR="00C62EEE">
              <w:rPr>
                <w:rFonts w:ascii="Times New Roman" w:hAnsi="Times New Roman" w:eastAsia="Cambria" w:cs="Times New Roman"/>
                <w:color w:val="000000" w:themeColor="text1"/>
                <w:spacing w:val="-2"/>
                <w:w w:val="95"/>
                <w:sz w:val="20"/>
                <w:szCs w:val="20"/>
                <w:lang w:val="en-GB"/>
              </w:rPr>
              <w:t>) point g (</w:t>
            </w:r>
            <w:r w:rsidRPr="00D43D39" w:rsidR="0081175C">
              <w:rPr>
                <w:rFonts w:ascii="Times New Roman" w:hAnsi="Times New Roman" w:eastAsia="Cambria" w:cs="Times New Roman"/>
                <w:color w:val="000000" w:themeColor="text1"/>
                <w:spacing w:val="-2"/>
                <w:w w:val="95"/>
                <w:sz w:val="20"/>
                <w:szCs w:val="20"/>
                <w:lang w:val="en-GB"/>
              </w:rPr>
              <w:t>iv</w:t>
            </w:r>
            <w:r w:rsidRPr="00D43D39" w:rsidR="00C62EEE">
              <w:rPr>
                <w:rFonts w:ascii="Times New Roman" w:hAnsi="Times New Roman" w:eastAsia="Cambria" w:cs="Times New Roman"/>
                <w:color w:val="000000" w:themeColor="text1"/>
                <w:spacing w:val="-2"/>
                <w:w w:val="95"/>
                <w:sz w:val="20"/>
                <w:szCs w:val="20"/>
                <w:lang w:val="en-GB"/>
              </w:rPr>
              <w:t>)</w:t>
            </w:r>
            <w:r w:rsidRPr="00D43D39" w:rsidR="00D840C3">
              <w:rPr>
                <w:rFonts w:ascii="Times New Roman" w:hAnsi="Times New Roman" w:eastAsia="Cambria" w:cs="Times New Roman"/>
                <w:color w:val="000000" w:themeColor="text1"/>
                <w:spacing w:val="-2"/>
                <w:w w:val="95"/>
                <w:sz w:val="20"/>
                <w:szCs w:val="20"/>
                <w:lang w:val="en-GB"/>
              </w:rPr>
              <w:t xml:space="preserve"> </w:t>
            </w:r>
            <w:r w:rsidRPr="00D43D39" w:rsidR="002E7149">
              <w:rPr>
                <w:rFonts w:ascii="Times New Roman" w:hAnsi="Times New Roman" w:eastAsia="Cambria" w:cs="Times New Roman"/>
                <w:color w:val="000000" w:themeColor="text1"/>
                <w:spacing w:val="-2"/>
                <w:w w:val="95"/>
                <w:sz w:val="20"/>
                <w:szCs w:val="20"/>
                <w:lang w:val="en-GB"/>
              </w:rPr>
              <w:t xml:space="preserve">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Pr>
                <w:rFonts w:ascii="Times New Roman" w:hAnsi="Times New Roman" w:eastAsia="Cambria" w:cs="Times New Roman"/>
                <w:color w:val="000000" w:themeColor="text1"/>
                <w:spacing w:val="-2"/>
                <w:w w:val="95"/>
                <w:sz w:val="20"/>
                <w:szCs w:val="20"/>
                <w:lang w:val="en-GB"/>
              </w:rPr>
              <w:t>.</w:t>
            </w:r>
          </w:p>
        </w:tc>
      </w:tr>
      <w:tr w:rsidRPr="00D43D39" w:rsidR="00B55E04" w:rsidTr="005F5507" w14:paraId="0593C62F" w14:textId="77777777">
        <w:tc>
          <w:tcPr>
            <w:tcW w:w="905" w:type="dxa"/>
            <w:tcBorders>
              <w:top w:val="single" w:color="1A171C" w:sz="4" w:space="0"/>
              <w:left w:val="nil"/>
              <w:bottom w:val="single" w:color="1A171C" w:sz="4" w:space="0"/>
              <w:right w:val="single" w:color="1A171C" w:sz="4" w:space="0"/>
            </w:tcBorders>
            <w:vAlign w:val="center"/>
          </w:tcPr>
          <w:p w:rsidRPr="00D43D39" w:rsidR="00B55E04" w:rsidP="00367C1E" w:rsidRDefault="00B55E04" w14:paraId="46A900DD"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0210</w:t>
            </w:r>
          </w:p>
        </w:tc>
        <w:tc>
          <w:tcPr>
            <w:tcW w:w="8121" w:type="dxa"/>
            <w:tcBorders>
              <w:top w:val="single" w:color="1A171C" w:sz="4" w:space="0"/>
              <w:left w:val="single" w:color="1A171C" w:sz="4" w:space="0"/>
              <w:bottom w:val="single" w:color="1A171C" w:sz="4" w:space="0"/>
              <w:right w:val="nil"/>
            </w:tcBorders>
            <w:vAlign w:val="center"/>
          </w:tcPr>
          <w:p w:rsidRPr="00D43D39" w:rsidR="00B55E04" w:rsidP="00B55E04" w:rsidRDefault="00B55E04" w14:paraId="5C92ED09"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Liabilities towards other entities of the resolution group</w:t>
            </w:r>
          </w:p>
          <w:p w:rsidRPr="00D43D39" w:rsidR="00B55E04" w:rsidP="00B55E04" w:rsidRDefault="00AF7EBC" w14:paraId="1B41DE84" w14:textId="382E21EA">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liabilities as referenced in </w:t>
            </w:r>
            <w:r w:rsidRPr="00D43D39" w:rsidR="00B55E04">
              <w:rPr>
                <w:rFonts w:ascii="Times New Roman" w:hAnsi="Times New Roman" w:eastAsia="Cambria" w:cs="Times New Roman"/>
                <w:color w:val="000000" w:themeColor="text1"/>
                <w:spacing w:val="-2"/>
                <w:w w:val="95"/>
                <w:sz w:val="20"/>
                <w:szCs w:val="20"/>
                <w:lang w:val="en-GB"/>
              </w:rPr>
              <w:t>Article 44 (2)</w:t>
            </w:r>
            <w:r w:rsidRPr="00D43D39" w:rsidR="00D61CF5">
              <w:rPr>
                <w:rFonts w:ascii="Times New Roman" w:hAnsi="Times New Roman" w:eastAsia="Cambria" w:cs="Times New Roman"/>
                <w:color w:val="000000" w:themeColor="text1"/>
                <w:spacing w:val="-2"/>
                <w:w w:val="95"/>
                <w:sz w:val="20"/>
                <w:szCs w:val="20"/>
                <w:lang w:val="en-GB"/>
              </w:rPr>
              <w:t>,</w:t>
            </w:r>
            <w:r w:rsidRPr="00D43D39" w:rsidR="00B55E04">
              <w:rPr>
                <w:rFonts w:ascii="Times New Roman" w:hAnsi="Times New Roman" w:eastAsia="Cambria" w:cs="Times New Roman"/>
                <w:color w:val="000000" w:themeColor="text1"/>
                <w:spacing w:val="-2"/>
                <w:w w:val="95"/>
                <w:sz w:val="20"/>
                <w:szCs w:val="20"/>
                <w:lang w:val="en-GB"/>
              </w:rPr>
              <w:t xml:space="preserve"> point (h) of Directive 2014/59/EU</w:t>
            </w:r>
          </w:p>
          <w:p w:rsidRPr="00D43D39" w:rsidR="00D61CF5" w:rsidP="00D61CF5" w:rsidRDefault="0047040A" w14:paraId="6B3FAF9E"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Where the excluded liability is a derivatives liability, the net liability positions taking into account the prudential netting rules of Article 429c of Regulation (EU) No 575/2013 shall be reported.</w:t>
            </w:r>
          </w:p>
          <w:p w:rsidRPr="00D43D39" w:rsidR="00B610DE" w:rsidP="00D61CF5" w:rsidRDefault="00B610DE" w14:paraId="6392DAFE" w14:textId="1F0F0D8A">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When the reporting entity is not identified as resolution entity itself, it </w:t>
            </w:r>
            <w:r w:rsidR="00285FF6">
              <w:rPr>
                <w:rFonts w:ascii="Times New Roman" w:hAnsi="Times New Roman" w:eastAsia="Cambria" w:cs="Times New Roman"/>
                <w:color w:val="000000" w:themeColor="text1"/>
                <w:spacing w:val="-2"/>
                <w:w w:val="95"/>
                <w:sz w:val="20"/>
                <w:szCs w:val="20"/>
                <w:lang w:val="en-GB"/>
              </w:rPr>
              <w:t>must</w:t>
            </w:r>
            <w:r w:rsidRPr="00D43D39">
              <w:rPr>
                <w:rFonts w:ascii="Times New Roman" w:hAnsi="Times New Roman" w:eastAsia="Cambria" w:cs="Times New Roman"/>
                <w:color w:val="000000" w:themeColor="text1"/>
                <w:spacing w:val="-2"/>
                <w:w w:val="95"/>
                <w:sz w:val="20"/>
                <w:szCs w:val="20"/>
                <w:lang w:val="en-GB"/>
              </w:rPr>
              <w:t xml:space="preserve"> report in only those liabilities falling under Article 44(2)(h) BRRD that are held by its subsidiaries that are also not resolution entities but are part of the same resolution group as the reporting entity.</w:t>
            </w:r>
          </w:p>
          <w:p w:rsidRPr="00D43D39" w:rsidR="00B610DE" w:rsidP="00D61CF5" w:rsidRDefault="00B610DE" w14:paraId="0B9C4871" w14:textId="32CE21E1">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Intra-group liabilities for entities established outside the EU shall not be reported in this row, as per </w:t>
            </w:r>
            <w:r w:rsidRPr="00D43D39" w:rsidR="002C1C19">
              <w:rPr>
                <w:rFonts w:ascii="Times New Roman" w:hAnsi="Times New Roman" w:eastAsia="Cambria" w:cs="Times New Roman"/>
                <w:color w:val="000000" w:themeColor="text1"/>
                <w:spacing w:val="-2"/>
                <w:w w:val="95"/>
                <w:sz w:val="20"/>
                <w:szCs w:val="20"/>
                <w:lang w:val="en-GB"/>
              </w:rPr>
              <w:t>Article 1</w:t>
            </w:r>
            <w:r w:rsidR="002C1C19">
              <w:rPr>
                <w:rFonts w:ascii="Times New Roman" w:hAnsi="Times New Roman" w:eastAsia="Cambria" w:cs="Times New Roman"/>
                <w:color w:val="000000" w:themeColor="text1"/>
                <w:spacing w:val="-2"/>
                <w:w w:val="95"/>
                <w:sz w:val="20"/>
                <w:szCs w:val="20"/>
                <w:lang w:val="en-GB"/>
              </w:rPr>
              <w:t>(</w:t>
            </w:r>
            <w:r w:rsidRPr="00D43D39" w:rsidR="002C1C19">
              <w:rPr>
                <w:rFonts w:ascii="Times New Roman" w:hAnsi="Times New Roman" w:eastAsia="Cambria" w:cs="Times New Roman"/>
                <w:color w:val="000000" w:themeColor="text1"/>
                <w:spacing w:val="-2"/>
                <w:w w:val="95"/>
                <w:sz w:val="20"/>
                <w:szCs w:val="20"/>
                <w:lang w:val="en-GB"/>
              </w:rPr>
              <w:t>1</w:t>
            </w:r>
            <w:r w:rsidR="002C1C19">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of BRRD</w:t>
            </w:r>
            <w:r w:rsidR="002C1C19">
              <w:rPr>
                <w:rFonts w:ascii="Times New Roman" w:hAnsi="Times New Roman" w:eastAsia="Cambria" w:cs="Times New Roman"/>
                <w:color w:val="000000" w:themeColor="text1"/>
                <w:spacing w:val="-2"/>
                <w:w w:val="95"/>
                <w:sz w:val="20"/>
                <w:szCs w:val="20"/>
                <w:lang w:val="en-GB"/>
              </w:rPr>
              <w:t>,</w:t>
            </w:r>
            <w:r w:rsidRPr="00D43D39" w:rsidR="002C1C19">
              <w:rPr>
                <w:rFonts w:ascii="Times New Roman" w:hAnsi="Times New Roman" w:eastAsia="Cambria" w:cs="Times New Roman"/>
                <w:color w:val="000000" w:themeColor="text1"/>
                <w:spacing w:val="-2"/>
                <w:w w:val="95"/>
                <w:sz w:val="20"/>
                <w:szCs w:val="20"/>
                <w:lang w:val="en-GB"/>
              </w:rPr>
              <w:t xml:space="preserve"> points (b), (c) or (d</w:t>
            </w:r>
            <w:r w:rsidR="002C1C19">
              <w:rPr>
                <w:rFonts w:ascii="Times New Roman" w:hAnsi="Times New Roman" w:eastAsia="Cambria" w:cs="Times New Roman"/>
                <w:color w:val="000000" w:themeColor="text1"/>
                <w:spacing w:val="-2"/>
                <w:w w:val="95"/>
                <w:sz w:val="20"/>
                <w:szCs w:val="20"/>
                <w:lang w:val="en-GB"/>
              </w:rPr>
              <w:t>)</w:t>
            </w:r>
            <w:r w:rsidRPr="00D43D39">
              <w:rPr>
                <w:rFonts w:ascii="Times New Roman" w:hAnsi="Times New Roman" w:eastAsia="Cambria" w:cs="Times New Roman"/>
                <w:color w:val="000000" w:themeColor="text1"/>
                <w:spacing w:val="-2"/>
                <w:w w:val="95"/>
                <w:sz w:val="20"/>
                <w:szCs w:val="20"/>
                <w:lang w:val="en-GB"/>
              </w:rPr>
              <w:t>, as referred to in BRRD Article 44</w:t>
            </w:r>
            <w:r w:rsidR="002C1C19">
              <w:rPr>
                <w:rFonts w:ascii="Times New Roman" w:hAnsi="Times New Roman" w:eastAsia="Cambria" w:cs="Times New Roman"/>
                <w:color w:val="000000" w:themeColor="text1"/>
                <w:spacing w:val="-2"/>
                <w:w w:val="95"/>
                <w:sz w:val="20"/>
                <w:szCs w:val="20"/>
                <w:lang w:val="en-GB"/>
              </w:rPr>
              <w:t>(</w:t>
            </w:r>
            <w:r w:rsidRPr="00D43D39">
              <w:rPr>
                <w:rFonts w:ascii="Times New Roman" w:hAnsi="Times New Roman" w:eastAsia="Cambria" w:cs="Times New Roman"/>
                <w:color w:val="000000" w:themeColor="text1"/>
                <w:spacing w:val="-2"/>
                <w:w w:val="95"/>
                <w:sz w:val="20"/>
                <w:szCs w:val="20"/>
                <w:lang w:val="en-GB"/>
              </w:rPr>
              <w:t>2</w:t>
            </w:r>
            <w:r w:rsidR="002C1C19">
              <w:rPr>
                <w:rFonts w:ascii="Times New Roman" w:hAnsi="Times New Roman" w:eastAsia="Cambria" w:cs="Times New Roman"/>
                <w:color w:val="000000" w:themeColor="text1"/>
                <w:spacing w:val="-2"/>
                <w:w w:val="95"/>
                <w:sz w:val="20"/>
                <w:szCs w:val="20"/>
                <w:lang w:val="en-GB"/>
              </w:rPr>
              <w:t>) (</w:t>
            </w:r>
            <w:r w:rsidRPr="00D43D39">
              <w:rPr>
                <w:rFonts w:ascii="Times New Roman" w:hAnsi="Times New Roman" w:eastAsia="Cambria" w:cs="Times New Roman"/>
                <w:color w:val="000000" w:themeColor="text1"/>
                <w:spacing w:val="-2"/>
                <w:w w:val="95"/>
                <w:sz w:val="20"/>
                <w:szCs w:val="20"/>
                <w:lang w:val="en-GB"/>
              </w:rPr>
              <w:t>h</w:t>
            </w:r>
            <w:r w:rsidR="002C1C19">
              <w:rPr>
                <w:rFonts w:ascii="Times New Roman" w:hAnsi="Times New Roman" w:eastAsia="Cambria" w:cs="Times New Roman"/>
                <w:color w:val="000000" w:themeColor="text1"/>
                <w:spacing w:val="-2"/>
                <w:w w:val="95"/>
                <w:sz w:val="20"/>
                <w:szCs w:val="20"/>
                <w:lang w:val="en-GB"/>
              </w:rPr>
              <w:t>)</w:t>
            </w:r>
            <w:r w:rsidRPr="00D43D39">
              <w:rPr>
                <w:rFonts w:ascii="Times New Roman" w:hAnsi="Times New Roman" w:eastAsia="Cambria" w:cs="Times New Roman"/>
                <w:color w:val="000000" w:themeColor="text1"/>
                <w:spacing w:val="-2"/>
                <w:w w:val="95"/>
                <w:sz w:val="20"/>
                <w:szCs w:val="20"/>
                <w:lang w:val="en-GB"/>
              </w:rPr>
              <w:t>. Where the excluded liability is a derivatives liability, the net liability positions taking into account the prudential netting rules laid down in Article 429c of Regulation (EU) No 575/2013 shall be reported.</w:t>
            </w:r>
          </w:p>
        </w:tc>
      </w:tr>
      <w:tr w:rsidRPr="00D43D39" w:rsidR="00D22EB0" w:rsidTr="005F5507" w14:paraId="60682C82"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1126B638"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300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D840C3" w:rsidRDefault="0081175C" w14:paraId="15293E37"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Liabilities not excluded from bail-in</w:t>
            </w:r>
          </w:p>
          <w:p w:rsidRPr="00D43D39" w:rsidR="00431BCA" w:rsidP="00D840C3" w:rsidRDefault="007137BB" w14:paraId="6A447C79" w14:textId="37F5BD55">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bail-inable liabilities, as defined in Article 2(1 </w:t>
            </w:r>
            <w:r w:rsidRPr="00D43D39" w:rsidR="002C1C19">
              <w:rPr>
                <w:rFonts w:ascii="Times New Roman" w:hAnsi="Times New Roman" w:eastAsia="Cambria" w:cs="Times New Roman"/>
                <w:color w:val="000000" w:themeColor="text1"/>
                <w:spacing w:val="-2"/>
                <w:w w:val="95"/>
                <w:sz w:val="20"/>
                <w:szCs w:val="20"/>
                <w:lang w:val="en-GB"/>
              </w:rPr>
              <w:t>of Directive 2014/59/EU</w:t>
            </w:r>
            <w:r w:rsidR="002C1C19">
              <w:rPr>
                <w:rFonts w:ascii="Times New Roman" w:hAnsi="Times New Roman" w:eastAsia="Cambria" w:cs="Times New Roman"/>
                <w:color w:val="000000" w:themeColor="text1"/>
                <w:spacing w:val="-2"/>
                <w:w w:val="95"/>
                <w:sz w:val="20"/>
                <w:szCs w:val="20"/>
                <w:lang w:val="en-GB"/>
              </w:rPr>
              <w:t>,</w:t>
            </w:r>
            <w:r w:rsidRPr="00D43D39" w:rsidR="002C1C19">
              <w:rPr>
                <w:rFonts w:ascii="Times New Roman" w:hAnsi="Times New Roman" w:eastAsia="Cambria" w:cs="Times New Roman"/>
                <w:color w:val="000000" w:themeColor="text1"/>
                <w:spacing w:val="-2"/>
                <w:w w:val="95"/>
                <w:sz w:val="20"/>
                <w:szCs w:val="20"/>
                <w:lang w:val="en-GB"/>
              </w:rPr>
              <w:t xml:space="preserve"> point (71)</w:t>
            </w:r>
            <w:r w:rsidRPr="00D43D39">
              <w:rPr>
                <w:rFonts w:ascii="Times New Roman" w:hAnsi="Times New Roman" w:eastAsia="Cambria" w:cs="Times New Roman"/>
                <w:color w:val="000000" w:themeColor="text1"/>
                <w:spacing w:val="-2"/>
                <w:w w:val="95"/>
                <w:sz w:val="20"/>
                <w:szCs w:val="20"/>
                <w:lang w:val="en-GB"/>
              </w:rPr>
              <w:t xml:space="preserve">. </w:t>
            </w:r>
            <w:r w:rsidRPr="00D43D39" w:rsidR="00431BCA">
              <w:rPr>
                <w:rFonts w:ascii="Times New Roman" w:hAnsi="Times New Roman" w:eastAsia="Cambria" w:cs="Times New Roman"/>
                <w:color w:val="000000" w:themeColor="text1"/>
                <w:spacing w:val="-2"/>
                <w:w w:val="95"/>
                <w:sz w:val="20"/>
                <w:szCs w:val="20"/>
                <w:lang w:val="en-GB"/>
              </w:rPr>
              <w:t>This is the sum of rows 0310, 0320, 0334, 0340, 0350, 0360, 0365, 0370, 0380, 0390 and 0400.</w:t>
            </w:r>
          </w:p>
        </w:tc>
      </w:tr>
      <w:tr w:rsidRPr="00D43D39" w:rsidR="00D22EB0" w:rsidTr="005F5507" w14:paraId="2FC90D05"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E91334" w:rsidRDefault="00903E0D" w14:paraId="17806F6A"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310</w:t>
            </w:r>
            <w:r w:rsidRPr="00D43D39" w:rsidR="002965E8">
              <w:rPr>
                <w:rFonts w:ascii="Times New Roman" w:hAnsi="Times New Roman" w:cs="Times New Roman"/>
                <w:color w:val="000000" w:themeColor="text1"/>
                <w:sz w:val="20"/>
                <w:szCs w:val="20"/>
                <w:lang w:val="en-GB"/>
              </w:rPr>
              <w:t xml:space="preserve"> – </w:t>
            </w:r>
            <w:r w:rsidRPr="00D43D39" w:rsidR="002965E8">
              <w:rPr>
                <w:rFonts w:ascii="Times New Roman" w:hAnsi="Times New Roman" w:cs="Times New Roman"/>
                <w:color w:val="000000" w:themeColor="text1"/>
                <w:sz w:val="20"/>
                <w:szCs w:val="20"/>
                <w:lang w:val="en-GB"/>
              </w:rPr>
              <w:t>031</w:t>
            </w:r>
            <w:r w:rsidRPr="00D43D39" w:rsidR="00E91334">
              <w:rPr>
                <w:rFonts w:ascii="Times New Roman" w:hAnsi="Times New Roman" w:cs="Times New Roman"/>
                <w:color w:val="000000" w:themeColor="text1"/>
                <w:sz w:val="20"/>
                <w:szCs w:val="20"/>
                <w:lang w:val="en-GB"/>
              </w:rPr>
              <w:t>4</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353EF679"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Deposits, not covered but preferential</w:t>
            </w:r>
          </w:p>
          <w:p w:rsidRPr="00D43D39" w:rsidR="0081175C" w:rsidP="00367C1E" w:rsidRDefault="00D840C3" w14:paraId="4B8245F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w:t>
            </w:r>
            <w:r w:rsidRPr="00D43D39" w:rsidR="0081175C">
              <w:rPr>
                <w:rFonts w:ascii="Times New Roman" w:hAnsi="Times New Roman" w:eastAsia="Cambria" w:cs="Times New Roman"/>
                <w:color w:val="000000" w:themeColor="text1"/>
                <w:spacing w:val="-2"/>
                <w:w w:val="95"/>
                <w:sz w:val="20"/>
                <w:szCs w:val="20"/>
                <w:lang w:val="en-GB"/>
              </w:rPr>
              <w:t>rt</w:t>
            </w:r>
            <w:r w:rsidRPr="00D43D39">
              <w:rPr>
                <w:rFonts w:ascii="Times New Roman" w:hAnsi="Times New Roman" w:eastAsia="Cambria" w:cs="Times New Roman"/>
                <w:color w:val="000000" w:themeColor="text1"/>
                <w:spacing w:val="-2"/>
                <w:w w:val="95"/>
                <w:sz w:val="20"/>
                <w:szCs w:val="20"/>
                <w:lang w:val="en-GB"/>
              </w:rPr>
              <w:t>icle</w:t>
            </w:r>
            <w:r w:rsidRPr="00D43D39" w:rsidR="0081175C">
              <w:rPr>
                <w:rFonts w:ascii="Times New Roman" w:hAnsi="Times New Roman" w:eastAsia="Cambria" w:cs="Times New Roman"/>
                <w:color w:val="000000" w:themeColor="text1"/>
                <w:spacing w:val="-2"/>
                <w:w w:val="95"/>
                <w:sz w:val="20"/>
                <w:szCs w:val="20"/>
                <w:lang w:val="en-GB"/>
              </w:rPr>
              <w:t xml:space="preserve"> 108</w:t>
            </w:r>
            <w:r w:rsidRPr="00D43D39">
              <w:rPr>
                <w:rFonts w:ascii="Times New Roman" w:hAnsi="Times New Roman" w:eastAsia="Cambria" w:cs="Times New Roman"/>
                <w:color w:val="000000" w:themeColor="text1"/>
                <w:spacing w:val="-2"/>
                <w:w w:val="95"/>
                <w:sz w:val="20"/>
                <w:szCs w:val="20"/>
                <w:lang w:val="en-GB"/>
              </w:rPr>
              <w:t xml:space="preserve"> of </w:t>
            </w:r>
            <w:r w:rsidRPr="00D43D39" w:rsidR="00063EEC">
              <w:rPr>
                <w:rFonts w:ascii="Times New Roman" w:hAnsi="Times New Roman" w:eastAsia="Cambria" w:cs="Times New Roman"/>
                <w:color w:val="000000" w:themeColor="text1"/>
                <w:spacing w:val="-2"/>
                <w:w w:val="95"/>
                <w:sz w:val="20"/>
                <w:szCs w:val="20"/>
                <w:lang w:val="en-GB"/>
              </w:rPr>
              <w:t>Directive 2014/59/EU</w:t>
            </w:r>
          </w:p>
          <w:p w:rsidRPr="00D43D39" w:rsidR="0081175C" w:rsidP="004B7ECB" w:rsidRDefault="0081175C" w14:paraId="5FC1FB0D" w14:textId="1E2413AD">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Deposits</w:t>
            </w:r>
            <w:r w:rsidRPr="00D43D39" w:rsidR="00F13882">
              <w:rPr>
                <w:rFonts w:ascii="Times New Roman" w:hAnsi="Times New Roman" w:eastAsia="Cambria" w:cs="Times New Roman"/>
                <w:color w:val="000000" w:themeColor="text1"/>
                <w:spacing w:val="-2"/>
                <w:w w:val="95"/>
                <w:sz w:val="20"/>
                <w:szCs w:val="20"/>
                <w:lang w:val="en-GB"/>
              </w:rPr>
              <w:t xml:space="preserve"> as defined in Article 2 (1) point 3 of </w:t>
            </w:r>
            <w:r w:rsidRPr="00D43D39" w:rsidR="00D6309A">
              <w:rPr>
                <w:rFonts w:ascii="Times New Roman" w:hAnsi="Times New Roman" w:eastAsia="Cambria" w:cs="Times New Roman"/>
                <w:color w:val="000000" w:themeColor="text1"/>
                <w:spacing w:val="-2"/>
                <w:w w:val="95"/>
                <w:sz w:val="20"/>
                <w:szCs w:val="20"/>
                <w:lang w:val="en-GB"/>
              </w:rPr>
              <w:t>Directive 2014/49/EU</w:t>
            </w:r>
            <w:r w:rsidRPr="00D43D39">
              <w:rPr>
                <w:rFonts w:ascii="Times New Roman" w:hAnsi="Times New Roman" w:eastAsia="Cambria" w:cs="Times New Roman"/>
                <w:color w:val="000000" w:themeColor="text1"/>
                <w:spacing w:val="-2"/>
                <w:w w:val="95"/>
                <w:sz w:val="20"/>
                <w:szCs w:val="20"/>
                <w:lang w:val="en-GB"/>
              </w:rPr>
              <w:t xml:space="preserve"> that do not qualify for exclusion from bail-in (</w:t>
            </w:r>
            <w:r w:rsidR="005875E1">
              <w:rPr>
                <w:rFonts w:ascii="Times New Roman" w:hAnsi="Times New Roman" w:eastAsia="Cambria" w:cs="Times New Roman"/>
                <w:color w:val="000000" w:themeColor="text1"/>
                <w:spacing w:val="-2"/>
                <w:w w:val="95"/>
                <w:sz w:val="20"/>
                <w:szCs w:val="20"/>
                <w:lang w:val="en-GB"/>
              </w:rPr>
              <w:t>A</w:t>
            </w:r>
            <w:r w:rsidRPr="00D43D39">
              <w:rPr>
                <w:rFonts w:ascii="Times New Roman" w:hAnsi="Times New Roman" w:eastAsia="Cambria" w:cs="Times New Roman"/>
                <w:color w:val="000000" w:themeColor="text1"/>
                <w:spacing w:val="-2"/>
                <w:w w:val="95"/>
                <w:sz w:val="20"/>
                <w:szCs w:val="20"/>
                <w:lang w:val="en-GB"/>
              </w:rPr>
              <w:t>rticle 44 (2</w:t>
            </w:r>
            <w:r w:rsidRPr="00D43D39" w:rsidR="00D840C3">
              <w:rPr>
                <w:rFonts w:ascii="Times New Roman" w:hAnsi="Times New Roman" w:eastAsia="Cambria" w:cs="Times New Roman"/>
                <w:color w:val="000000" w:themeColor="text1"/>
                <w:spacing w:val="-2"/>
                <w:w w:val="95"/>
                <w:sz w:val="20"/>
                <w:szCs w:val="20"/>
                <w:lang w:val="en-GB"/>
              </w:rPr>
              <w:t>) point</w:t>
            </w:r>
            <w:r w:rsidRPr="00D43D39">
              <w:rPr>
                <w:rFonts w:ascii="Times New Roman" w:hAnsi="Times New Roman" w:eastAsia="Cambria" w:cs="Times New Roman"/>
                <w:color w:val="000000" w:themeColor="text1"/>
                <w:spacing w:val="-2"/>
                <w:w w:val="95"/>
                <w:sz w:val="20"/>
                <w:szCs w:val="20"/>
                <w:lang w:val="en-GB"/>
              </w:rPr>
              <w:t xml:space="preserve"> a)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Pr>
                <w:rFonts w:ascii="Times New Roman" w:hAnsi="Times New Roman" w:eastAsia="Cambria" w:cs="Times New Roman"/>
                <w:color w:val="000000" w:themeColor="text1"/>
                <w:spacing w:val="-2"/>
                <w:w w:val="95"/>
                <w:sz w:val="20"/>
                <w:szCs w:val="20"/>
                <w:lang w:val="en-GB"/>
              </w:rPr>
              <w:t xml:space="preserve">), yet </w:t>
            </w:r>
            <w:r w:rsidRPr="00D43D39" w:rsidR="0013115B">
              <w:rPr>
                <w:rFonts w:ascii="Times New Roman" w:hAnsi="Times New Roman" w:eastAsia="Cambria" w:cs="Times New Roman"/>
                <w:color w:val="000000" w:themeColor="text1"/>
                <w:spacing w:val="-2"/>
                <w:w w:val="95"/>
                <w:sz w:val="20"/>
                <w:szCs w:val="20"/>
                <w:lang w:val="en-GB"/>
              </w:rPr>
              <w:t>for</w:t>
            </w:r>
            <w:r w:rsidRPr="00D43D39">
              <w:rPr>
                <w:rFonts w:ascii="Times New Roman" w:hAnsi="Times New Roman" w:eastAsia="Cambria" w:cs="Times New Roman"/>
                <w:color w:val="000000" w:themeColor="text1"/>
                <w:spacing w:val="-2"/>
                <w:w w:val="95"/>
                <w:sz w:val="20"/>
                <w:szCs w:val="20"/>
                <w:lang w:val="en-GB"/>
              </w:rPr>
              <w:t xml:space="preserve"> which a preferential treatment is foreseen in line with </w:t>
            </w:r>
            <w:r w:rsidR="005875E1">
              <w:rPr>
                <w:rFonts w:ascii="Times New Roman" w:hAnsi="Times New Roman" w:eastAsia="Cambria" w:cs="Times New Roman"/>
                <w:color w:val="000000" w:themeColor="text1"/>
                <w:spacing w:val="-2"/>
                <w:w w:val="95"/>
                <w:sz w:val="20"/>
                <w:szCs w:val="20"/>
                <w:lang w:val="en-GB"/>
              </w:rPr>
              <w:t>A</w:t>
            </w:r>
            <w:r w:rsidRPr="00D43D39">
              <w:rPr>
                <w:rFonts w:ascii="Times New Roman" w:hAnsi="Times New Roman" w:eastAsia="Cambria" w:cs="Times New Roman"/>
                <w:color w:val="000000" w:themeColor="text1"/>
                <w:spacing w:val="-2"/>
                <w:w w:val="95"/>
                <w:sz w:val="20"/>
                <w:szCs w:val="20"/>
                <w:lang w:val="en-GB"/>
              </w:rPr>
              <w:t xml:space="preserve">rticle 108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Pr>
                <w:rFonts w:ascii="Times New Roman" w:hAnsi="Times New Roman" w:eastAsia="Cambria" w:cs="Times New Roman"/>
                <w:color w:val="000000" w:themeColor="text1"/>
                <w:spacing w:val="-2"/>
                <w:w w:val="95"/>
                <w:sz w:val="20"/>
                <w:szCs w:val="20"/>
                <w:lang w:val="en-GB"/>
              </w:rPr>
              <w:t>.</w:t>
            </w:r>
            <w:r w:rsidRPr="00D43D39" w:rsidR="0005258C">
              <w:rPr>
                <w:rFonts w:ascii="Times New Roman" w:hAnsi="Times New Roman" w:eastAsia="Cambria" w:cs="Times New Roman"/>
                <w:color w:val="000000" w:themeColor="text1"/>
                <w:spacing w:val="-2"/>
                <w:w w:val="95"/>
                <w:sz w:val="20"/>
                <w:szCs w:val="20"/>
                <w:lang w:val="en-GB"/>
              </w:rPr>
              <w:t xml:space="preserve"> </w:t>
            </w:r>
          </w:p>
        </w:tc>
      </w:tr>
      <w:tr w:rsidRPr="00D43D39" w:rsidR="00D22EB0" w:rsidTr="005F5507" w14:paraId="4304A43D"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E91334" w:rsidRDefault="00903E0D" w14:paraId="4F0556DA"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320</w:t>
            </w:r>
            <w:r w:rsidRPr="00D43D39" w:rsidR="002965E8">
              <w:rPr>
                <w:rFonts w:ascii="Times New Roman" w:hAnsi="Times New Roman" w:cs="Times New Roman"/>
                <w:color w:val="000000" w:themeColor="text1"/>
                <w:sz w:val="20"/>
                <w:szCs w:val="20"/>
                <w:lang w:val="en-GB"/>
              </w:rPr>
              <w:t xml:space="preserve"> - 032</w:t>
            </w:r>
            <w:r w:rsidRPr="00D43D39" w:rsidR="00E91334">
              <w:rPr>
                <w:rFonts w:ascii="Times New Roman" w:hAnsi="Times New Roman" w:cs="Times New Roman"/>
                <w:color w:val="000000" w:themeColor="text1"/>
                <w:sz w:val="20"/>
                <w:szCs w:val="20"/>
                <w:lang w:val="en-GB"/>
              </w:rPr>
              <w:t>4</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1AE1C177"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Deposits, not covered and not preferential</w:t>
            </w:r>
          </w:p>
          <w:p w:rsidRPr="00D43D39" w:rsidR="0081175C" w:rsidP="001654CE" w:rsidRDefault="0081175C" w14:paraId="61C7A4A8" w14:textId="69138A9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Deposits</w:t>
            </w:r>
            <w:r w:rsidRPr="00D43D39" w:rsidR="00F13882">
              <w:rPr>
                <w:rFonts w:ascii="Times New Roman" w:hAnsi="Times New Roman" w:eastAsia="Cambria" w:cs="Times New Roman"/>
                <w:color w:val="000000" w:themeColor="text1"/>
                <w:spacing w:val="-2"/>
                <w:w w:val="95"/>
                <w:sz w:val="20"/>
                <w:szCs w:val="20"/>
                <w:lang w:val="en-GB"/>
              </w:rPr>
              <w:t xml:space="preserve"> as defined in Article 2 (1) point 3 of </w:t>
            </w:r>
            <w:r w:rsidRPr="00D43D39" w:rsidR="00D6309A">
              <w:rPr>
                <w:rFonts w:ascii="Times New Roman" w:hAnsi="Times New Roman" w:eastAsia="Cambria" w:cs="Times New Roman"/>
                <w:color w:val="000000" w:themeColor="text1"/>
                <w:spacing w:val="-2"/>
                <w:w w:val="95"/>
                <w:sz w:val="20"/>
                <w:szCs w:val="20"/>
                <w:lang w:val="en-GB"/>
              </w:rPr>
              <w:t>Directive 2014/49/EU</w:t>
            </w:r>
            <w:r w:rsidRPr="00D43D39">
              <w:rPr>
                <w:rFonts w:ascii="Times New Roman" w:hAnsi="Times New Roman" w:eastAsia="Cambria" w:cs="Times New Roman"/>
                <w:color w:val="000000" w:themeColor="text1"/>
                <w:spacing w:val="-2"/>
                <w:w w:val="95"/>
                <w:sz w:val="20"/>
                <w:szCs w:val="20"/>
                <w:lang w:val="en-GB"/>
              </w:rPr>
              <w:t xml:space="preserve"> that do not qualify for exclusion from bail-in or preferential treatment in application of </w:t>
            </w:r>
            <w:r w:rsidR="005875E1">
              <w:rPr>
                <w:rFonts w:ascii="Times New Roman" w:hAnsi="Times New Roman" w:eastAsia="Cambria" w:cs="Times New Roman"/>
                <w:color w:val="000000" w:themeColor="text1"/>
                <w:spacing w:val="-2"/>
                <w:w w:val="95"/>
                <w:sz w:val="20"/>
                <w:szCs w:val="20"/>
                <w:lang w:val="en-GB"/>
              </w:rPr>
              <w:t>A</w:t>
            </w:r>
            <w:r w:rsidRPr="00D43D39">
              <w:rPr>
                <w:rFonts w:ascii="Times New Roman" w:hAnsi="Times New Roman" w:eastAsia="Cambria" w:cs="Times New Roman"/>
                <w:color w:val="000000" w:themeColor="text1"/>
                <w:spacing w:val="-2"/>
                <w:w w:val="95"/>
                <w:sz w:val="20"/>
                <w:szCs w:val="20"/>
                <w:lang w:val="en-GB"/>
              </w:rPr>
              <w:t>rticle</w:t>
            </w:r>
            <w:r w:rsidRPr="00D43D39" w:rsidR="0013115B">
              <w:rPr>
                <w:rFonts w:ascii="Times New Roman" w:hAnsi="Times New Roman" w:eastAsia="Cambria" w:cs="Times New Roman"/>
                <w:color w:val="000000" w:themeColor="text1"/>
                <w:spacing w:val="-2"/>
                <w:w w:val="95"/>
                <w:sz w:val="20"/>
                <w:szCs w:val="20"/>
                <w:lang w:val="en-GB"/>
              </w:rPr>
              <w:t>s</w:t>
            </w:r>
            <w:r w:rsidRPr="00D43D39">
              <w:rPr>
                <w:rFonts w:ascii="Times New Roman" w:hAnsi="Times New Roman" w:eastAsia="Cambria" w:cs="Times New Roman"/>
                <w:color w:val="000000" w:themeColor="text1"/>
                <w:spacing w:val="-2"/>
                <w:w w:val="95"/>
                <w:sz w:val="20"/>
                <w:szCs w:val="20"/>
                <w:lang w:val="en-GB"/>
              </w:rPr>
              <w:t xml:space="preserve"> 44 (2</w:t>
            </w:r>
            <w:r w:rsidRPr="00D43D39" w:rsidR="0013115B">
              <w:rPr>
                <w:rFonts w:ascii="Times New Roman" w:hAnsi="Times New Roman" w:eastAsia="Cambria" w:cs="Times New Roman"/>
                <w:color w:val="000000" w:themeColor="text1"/>
                <w:spacing w:val="-2"/>
                <w:w w:val="95"/>
                <w:sz w:val="20"/>
                <w:szCs w:val="20"/>
                <w:lang w:val="en-GB"/>
              </w:rPr>
              <w:t>) point</w:t>
            </w:r>
            <w:r w:rsidRPr="00D43D39">
              <w:rPr>
                <w:rFonts w:ascii="Times New Roman" w:hAnsi="Times New Roman" w:eastAsia="Cambria" w:cs="Times New Roman"/>
                <w:color w:val="000000" w:themeColor="text1"/>
                <w:spacing w:val="-2"/>
                <w:w w:val="95"/>
                <w:sz w:val="20"/>
                <w:szCs w:val="20"/>
                <w:lang w:val="en-GB"/>
              </w:rPr>
              <w:t xml:space="preserve"> a or 108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Pr>
                <w:rFonts w:ascii="Times New Roman" w:hAnsi="Times New Roman" w:eastAsia="Cambria" w:cs="Times New Roman"/>
                <w:color w:val="000000" w:themeColor="text1"/>
                <w:spacing w:val="-2"/>
                <w:w w:val="95"/>
                <w:sz w:val="20"/>
                <w:szCs w:val="20"/>
                <w:lang w:val="en-GB"/>
              </w:rPr>
              <w:t>.</w:t>
            </w:r>
          </w:p>
        </w:tc>
      </w:tr>
      <w:tr w:rsidRPr="00D43D39" w:rsidR="00D22EB0" w:rsidTr="005F5507" w14:paraId="214FA0E2"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241D7E85"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330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1A8B7D4D"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Balance sheet liabilities arising from derivatives</w:t>
            </w:r>
          </w:p>
          <w:p w:rsidRPr="00D43D39" w:rsidR="0081175C" w:rsidP="003F3CA9" w:rsidRDefault="0081175C" w14:paraId="7452A34C" w14:textId="54BA753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Accounting value of liabilities arising from derivatives</w:t>
            </w:r>
          </w:p>
        </w:tc>
      </w:tr>
      <w:tr w:rsidRPr="00D43D39" w:rsidR="00D22EB0" w:rsidTr="005F5507" w14:paraId="347F8766"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06DBC4C3"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331</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38182B55"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Sum of net liability positions taking into account contractual netting sets, after mark-to-market adjustments, prior to collateral offset</w:t>
            </w:r>
          </w:p>
          <w:p w:rsidRPr="00D43D39" w:rsidR="0081175C" w:rsidP="0013115B" w:rsidRDefault="0081175C" w14:paraId="12432217"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By default the sum of all net market values of derivative liabilities per contractual netting set. Only where the net market value of a netting set is a liability, the netting set </w:t>
            </w:r>
            <w:r w:rsidRPr="00D43D39" w:rsidR="0013115B">
              <w:rPr>
                <w:rFonts w:ascii="Times New Roman" w:hAnsi="Times New Roman" w:eastAsia="Cambria" w:cs="Times New Roman"/>
                <w:color w:val="000000" w:themeColor="text1"/>
                <w:spacing w:val="-2"/>
                <w:w w:val="95"/>
                <w:sz w:val="20"/>
                <w:szCs w:val="20"/>
                <w:lang w:val="en-GB"/>
              </w:rPr>
              <w:t xml:space="preserve">shall </w:t>
            </w:r>
            <w:r w:rsidRPr="00D43D39">
              <w:rPr>
                <w:rFonts w:ascii="Times New Roman" w:hAnsi="Times New Roman" w:eastAsia="Cambria" w:cs="Times New Roman"/>
                <w:color w:val="000000" w:themeColor="text1"/>
                <w:spacing w:val="-2"/>
                <w:w w:val="95"/>
                <w:sz w:val="20"/>
                <w:szCs w:val="20"/>
                <w:lang w:val="en-GB"/>
              </w:rPr>
              <w:t>be reported. To this end, derivatives which are not subject to netting arrangements shall be treated as a single contract, i.e. as if it were a netting set with only one derivative.</w:t>
            </w:r>
          </w:p>
        </w:tc>
      </w:tr>
      <w:tr w:rsidRPr="00D43D39" w:rsidR="00D22EB0" w:rsidTr="005F5507" w14:paraId="436F56DC"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1B7A32FE"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332</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3A02F312"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Sum of net liability positions taking into account contractual netting sets, after mark-to-market adjustments, post collateral offset</w:t>
            </w:r>
          </w:p>
          <w:p w:rsidRPr="00D43D39" w:rsidR="0081175C" w:rsidP="00367C1E" w:rsidRDefault="0081175C" w14:paraId="1E33C73E"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valuation in row </w:t>
            </w:r>
            <w:r w:rsidRPr="00D43D39" w:rsidR="00AA2A99">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331 is subject to an adjustment for collateral posted to secure this exposure, which results in the sum of these net market values after offsetting collateral at its market value.</w:t>
            </w:r>
          </w:p>
        </w:tc>
      </w:tr>
      <w:tr w:rsidRPr="00D43D39" w:rsidR="00D22EB0" w:rsidTr="005F5507" w14:paraId="74E4E3B1"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21641EC0"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333</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18FC63A6"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Sum of net liability positions taking into account contractual netting sets, after mark-to-market adjustments, post collateral offset, incorporating estimated close-out amounts</w:t>
            </w:r>
          </w:p>
          <w:p w:rsidRPr="00D43D39" w:rsidR="0081175C" w:rsidP="00367C1E" w:rsidRDefault="0081175C" w14:paraId="25879E1D"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In line with </w:t>
            </w:r>
            <w:r w:rsidRPr="00D43D39" w:rsidR="003F51D1">
              <w:rPr>
                <w:rFonts w:ascii="Times New Roman" w:hAnsi="Times New Roman" w:eastAsia="Cambria" w:cs="Times New Roman"/>
                <w:color w:val="000000" w:themeColor="text1"/>
                <w:spacing w:val="-2"/>
                <w:w w:val="95"/>
                <w:sz w:val="20"/>
                <w:szCs w:val="20"/>
                <w:lang w:val="en-GB"/>
              </w:rPr>
              <w:t xml:space="preserve">Commission Delegated </w:t>
            </w:r>
            <w:r w:rsidRPr="00D43D39">
              <w:rPr>
                <w:rFonts w:ascii="Times New Roman" w:hAnsi="Times New Roman" w:eastAsia="Cambria" w:cs="Times New Roman"/>
                <w:color w:val="000000" w:themeColor="text1"/>
                <w:spacing w:val="-2"/>
                <w:w w:val="95"/>
                <w:sz w:val="20"/>
                <w:szCs w:val="20"/>
                <w:lang w:val="en-GB"/>
              </w:rPr>
              <w:t>Regulation 2016/1401</w:t>
            </w:r>
            <w:r w:rsidRPr="005F5507" w:rsidR="003F51D1">
              <w:rPr>
                <w:rStyle w:val="FootnoteReference"/>
                <w:rFonts w:ascii="Times New Roman" w:hAnsi="Times New Roman" w:eastAsia="Cambria" w:cs="Times New Roman"/>
                <w:color w:val="1A171C"/>
                <w:spacing w:val="-2"/>
                <w:w w:val="95"/>
                <w:lang w:val="en-GB"/>
              </w:rPr>
              <w:footnoteReference w:id="15"/>
            </w:r>
            <w:r w:rsidRPr="00D43D39">
              <w:rPr>
                <w:rFonts w:ascii="Times New Roman" w:hAnsi="Times New Roman" w:eastAsia="Cambria" w:cs="Times New Roman"/>
                <w:color w:val="000000" w:themeColor="text1"/>
                <w:spacing w:val="-2"/>
                <w:w w:val="95"/>
                <w:sz w:val="20"/>
                <w:szCs w:val="20"/>
                <w:lang w:val="en-GB"/>
              </w:rPr>
              <w:t xml:space="preserve"> on the valuation of liabilities arising from derivatives, an additional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w:t>
            </w:r>
          </w:p>
          <w:p w:rsidRPr="00D43D39" w:rsidR="0081175C" w:rsidP="00C43160" w:rsidRDefault="0081175C" w14:paraId="5EC98AF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estimations required to determine a close-out amount in line with the abovementioned Regulation </w:t>
            </w:r>
            <w:r w:rsidRPr="00D43D39" w:rsidR="0088361D">
              <w:rPr>
                <w:rFonts w:ascii="Times New Roman" w:hAnsi="Times New Roman" w:eastAsia="Cambria" w:cs="Times New Roman"/>
                <w:color w:val="000000" w:themeColor="text1"/>
                <w:spacing w:val="-2"/>
                <w:w w:val="95"/>
                <w:sz w:val="20"/>
                <w:szCs w:val="20"/>
                <w:lang w:val="en-GB"/>
              </w:rPr>
              <w:t xml:space="preserve">can </w:t>
            </w:r>
            <w:r w:rsidRPr="00D43D39">
              <w:rPr>
                <w:rFonts w:ascii="Times New Roman" w:hAnsi="Times New Roman" w:eastAsia="Cambria" w:cs="Times New Roman"/>
                <w:color w:val="000000" w:themeColor="text1"/>
                <w:spacing w:val="-2"/>
                <w:w w:val="95"/>
                <w:sz w:val="20"/>
                <w:szCs w:val="20"/>
                <w:lang w:val="en-GB"/>
              </w:rPr>
              <w:t xml:space="preserve">prove quite difficult on an individual basis. Therefore, proxy values, which may be based on available data such as the prudential requirements for market risk, </w:t>
            </w:r>
            <w:r w:rsidRPr="00D43D39" w:rsidR="00CF2F2B">
              <w:rPr>
                <w:rFonts w:ascii="Times New Roman" w:hAnsi="Times New Roman" w:eastAsia="Cambria" w:cs="Times New Roman"/>
                <w:color w:val="000000" w:themeColor="text1"/>
                <w:spacing w:val="-2"/>
                <w:w w:val="95"/>
                <w:sz w:val="20"/>
                <w:szCs w:val="20"/>
                <w:lang w:val="en-GB"/>
              </w:rPr>
              <w:t xml:space="preserve">can </w:t>
            </w:r>
            <w:r w:rsidRPr="00D43D39">
              <w:rPr>
                <w:rFonts w:ascii="Times New Roman" w:hAnsi="Times New Roman" w:eastAsia="Cambria" w:cs="Times New Roman"/>
                <w:color w:val="000000" w:themeColor="text1"/>
                <w:spacing w:val="-2"/>
                <w:w w:val="95"/>
                <w:sz w:val="20"/>
                <w:szCs w:val="20"/>
                <w:lang w:val="en-GB"/>
              </w:rPr>
              <w:t xml:space="preserve">be used instead. </w:t>
            </w:r>
            <w:r w:rsidRPr="00D43D39" w:rsidR="0013115B">
              <w:rPr>
                <w:rFonts w:ascii="Times New Roman" w:hAnsi="Times New Roman" w:eastAsia="Cambria" w:cs="Times New Roman"/>
                <w:color w:val="000000" w:themeColor="text1"/>
                <w:spacing w:val="-2"/>
                <w:w w:val="95"/>
                <w:sz w:val="20"/>
                <w:szCs w:val="20"/>
                <w:lang w:val="en-GB"/>
              </w:rPr>
              <w:t xml:space="preserve">If </w:t>
            </w:r>
            <w:r w:rsidRPr="00D43D39">
              <w:rPr>
                <w:rFonts w:ascii="Times New Roman" w:hAnsi="Times New Roman" w:eastAsia="Cambria" w:cs="Times New Roman"/>
                <w:color w:val="000000" w:themeColor="text1"/>
                <w:spacing w:val="-2"/>
                <w:w w:val="95"/>
                <w:sz w:val="20"/>
                <w:szCs w:val="20"/>
                <w:lang w:val="en-GB"/>
              </w:rPr>
              <w:t>it prove</w:t>
            </w:r>
            <w:r w:rsidRPr="00D43D39" w:rsidR="0013115B">
              <w:rPr>
                <w:rFonts w:ascii="Times New Roman" w:hAnsi="Times New Roman" w:eastAsia="Cambria" w:cs="Times New Roman"/>
                <w:color w:val="000000" w:themeColor="text1"/>
                <w:spacing w:val="-2"/>
                <w:w w:val="95"/>
                <w:sz w:val="20"/>
                <w:szCs w:val="20"/>
                <w:lang w:val="en-GB"/>
              </w:rPr>
              <w:t>s</w:t>
            </w:r>
            <w:r w:rsidRPr="00D43D39">
              <w:rPr>
                <w:rFonts w:ascii="Times New Roman" w:hAnsi="Times New Roman" w:eastAsia="Cambria" w:cs="Times New Roman"/>
                <w:color w:val="000000" w:themeColor="text1"/>
                <w:spacing w:val="-2"/>
                <w:w w:val="95"/>
                <w:sz w:val="20"/>
                <w:szCs w:val="20"/>
                <w:lang w:val="en-GB"/>
              </w:rPr>
              <w:t xml:space="preserve"> impossible to calculate the close-out amount for the derivative liabilities, the amount reported sh</w:t>
            </w:r>
            <w:r w:rsidRPr="00D43D39" w:rsidR="00711413">
              <w:rPr>
                <w:rFonts w:ascii="Times New Roman" w:hAnsi="Times New Roman" w:eastAsia="Cambria" w:cs="Times New Roman"/>
                <w:color w:val="000000" w:themeColor="text1"/>
                <w:spacing w:val="-2"/>
                <w:w w:val="95"/>
                <w:sz w:val="20"/>
                <w:szCs w:val="20"/>
                <w:lang w:val="en-GB"/>
              </w:rPr>
              <w:t>all</w:t>
            </w:r>
            <w:r w:rsidRPr="00D43D39">
              <w:rPr>
                <w:rFonts w:ascii="Times New Roman" w:hAnsi="Times New Roman" w:eastAsia="Cambria" w:cs="Times New Roman"/>
                <w:color w:val="000000" w:themeColor="text1"/>
                <w:spacing w:val="-2"/>
                <w:w w:val="95"/>
                <w:sz w:val="20"/>
                <w:szCs w:val="20"/>
                <w:lang w:val="en-GB"/>
              </w:rPr>
              <w:t xml:space="preserve"> be equal to the amount reported in </w:t>
            </w:r>
            <w:r w:rsidRPr="00D43D39" w:rsidR="00C43160">
              <w:rPr>
                <w:rFonts w:ascii="Times New Roman" w:hAnsi="Times New Roman" w:eastAsia="Cambria" w:cs="Times New Roman"/>
                <w:color w:val="000000" w:themeColor="text1"/>
                <w:spacing w:val="-2"/>
                <w:w w:val="95"/>
                <w:sz w:val="20"/>
                <w:szCs w:val="20"/>
                <w:lang w:val="en-GB"/>
              </w:rPr>
              <w:t>row</w:t>
            </w:r>
            <w:r w:rsidRPr="00D43D39">
              <w:rPr>
                <w:rFonts w:ascii="Times New Roman" w:hAnsi="Times New Roman" w:eastAsia="Cambria" w:cs="Times New Roman"/>
                <w:color w:val="000000" w:themeColor="text1"/>
                <w:spacing w:val="-2"/>
                <w:w w:val="95"/>
                <w:sz w:val="20"/>
                <w:szCs w:val="20"/>
                <w:lang w:val="en-GB"/>
              </w:rPr>
              <w:t xml:space="preserve"> </w:t>
            </w:r>
            <w:r w:rsidRPr="00D43D39" w:rsidR="00C43160">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332.</w:t>
            </w:r>
          </w:p>
        </w:tc>
      </w:tr>
      <w:tr w:rsidRPr="00D43D39" w:rsidR="00D22EB0" w:rsidTr="005F5507" w14:paraId="5830918F"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0C0005D3"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334</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77EC2154"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Sum of net liability positions taking into account prudential netting rules</w:t>
            </w:r>
          </w:p>
          <w:p w:rsidRPr="00D43D39" w:rsidR="0081175C" w:rsidP="00367C1E" w:rsidRDefault="0081175C" w14:paraId="38C77DC4" w14:textId="2DB9C723">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net liability positions for derivatives taking into account </w:t>
            </w:r>
            <w:r w:rsidRPr="00D43D39" w:rsidR="0013115B">
              <w:rPr>
                <w:rFonts w:ascii="Times New Roman" w:hAnsi="Times New Roman" w:eastAsia="Cambria" w:cs="Times New Roman"/>
                <w:color w:val="000000" w:themeColor="text1"/>
                <w:spacing w:val="-2"/>
                <w:w w:val="95"/>
                <w:sz w:val="20"/>
                <w:szCs w:val="20"/>
                <w:lang w:val="en-GB"/>
              </w:rPr>
              <w:t xml:space="preserve">the </w:t>
            </w:r>
            <w:r w:rsidRPr="00D43D39">
              <w:rPr>
                <w:rFonts w:ascii="Times New Roman" w:hAnsi="Times New Roman" w:eastAsia="Cambria" w:cs="Times New Roman"/>
                <w:color w:val="000000" w:themeColor="text1"/>
                <w:spacing w:val="-2"/>
                <w:w w:val="95"/>
                <w:sz w:val="20"/>
                <w:szCs w:val="20"/>
                <w:lang w:val="en-GB"/>
              </w:rPr>
              <w:t>prudential netting rules</w:t>
            </w:r>
            <w:r w:rsidRPr="00D43D39" w:rsidR="0013115B">
              <w:rPr>
                <w:rFonts w:ascii="Times New Roman" w:hAnsi="Times New Roman" w:eastAsia="Cambria" w:cs="Times New Roman"/>
                <w:color w:val="000000" w:themeColor="text1"/>
                <w:spacing w:val="-2"/>
                <w:w w:val="95"/>
                <w:sz w:val="20"/>
                <w:szCs w:val="20"/>
                <w:lang w:val="en-GB"/>
              </w:rPr>
              <w:t xml:space="preserve"> of Article 429 </w:t>
            </w:r>
            <w:r w:rsidRPr="00D43D39" w:rsidR="00063EEC">
              <w:rPr>
                <w:rFonts w:ascii="Times New Roman" w:hAnsi="Times New Roman" w:eastAsia="Cambria" w:cs="Times New Roman"/>
                <w:color w:val="000000" w:themeColor="text1"/>
                <w:spacing w:val="-2"/>
                <w:w w:val="95"/>
                <w:sz w:val="20"/>
                <w:szCs w:val="20"/>
                <w:lang w:val="en-GB"/>
              </w:rPr>
              <w:t>of Regulation (EU) No 575/2013</w:t>
            </w:r>
            <w:r w:rsidRPr="00D43D39" w:rsidR="0013115B">
              <w:rPr>
                <w:rFonts w:ascii="Times New Roman" w:hAnsi="Times New Roman" w:eastAsia="Cambria" w:cs="Times New Roman"/>
                <w:color w:val="000000" w:themeColor="text1"/>
                <w:spacing w:val="-2"/>
                <w:w w:val="95"/>
                <w:sz w:val="20"/>
                <w:szCs w:val="20"/>
                <w:lang w:val="en-GB"/>
              </w:rPr>
              <w:t xml:space="preserve"> (related to the calculation of the leverage ratio </w:t>
            </w:r>
            <w:r w:rsidRPr="00D43D39" w:rsidR="00056A16">
              <w:rPr>
                <w:rFonts w:ascii="Times New Roman" w:hAnsi="Times New Roman" w:eastAsia="Cambria" w:cs="Times New Roman"/>
                <w:color w:val="000000" w:themeColor="text1"/>
                <w:spacing w:val="-2"/>
                <w:w w:val="95"/>
                <w:sz w:val="20"/>
                <w:szCs w:val="20"/>
                <w:lang w:val="en-GB"/>
              </w:rPr>
              <w:t xml:space="preserve">total </w:t>
            </w:r>
            <w:r w:rsidRPr="00D43D39" w:rsidR="0013115B">
              <w:rPr>
                <w:rFonts w:ascii="Times New Roman" w:hAnsi="Times New Roman" w:eastAsia="Cambria" w:cs="Times New Roman"/>
                <w:color w:val="000000" w:themeColor="text1"/>
                <w:spacing w:val="-2"/>
                <w:w w:val="95"/>
                <w:sz w:val="20"/>
                <w:szCs w:val="20"/>
                <w:lang w:val="en-GB"/>
              </w:rPr>
              <w:t>exposure measure)</w:t>
            </w:r>
            <w:r w:rsidRPr="00D43D39">
              <w:rPr>
                <w:rFonts w:ascii="Times New Roman" w:hAnsi="Times New Roman" w:eastAsia="Cambria" w:cs="Times New Roman"/>
                <w:color w:val="000000" w:themeColor="text1"/>
                <w:spacing w:val="-2"/>
                <w:w w:val="95"/>
                <w:sz w:val="20"/>
                <w:szCs w:val="20"/>
                <w:lang w:val="en-GB"/>
              </w:rPr>
              <w:t xml:space="preserve"> shall be reported.</w:t>
            </w:r>
          </w:p>
        </w:tc>
      </w:tr>
      <w:tr w:rsidRPr="00D43D39" w:rsidR="00D22EB0" w:rsidTr="005F5507" w14:paraId="4DE1F180"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5A4CEE1E"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340</w:t>
            </w:r>
            <w:r w:rsidRPr="00D43D39" w:rsidR="00E91334">
              <w:rPr>
                <w:rFonts w:ascii="Times New Roman" w:hAnsi="Times New Roman" w:cs="Times New Roman"/>
                <w:color w:val="000000" w:themeColor="text1"/>
                <w:sz w:val="20"/>
                <w:szCs w:val="20"/>
                <w:lang w:val="en-GB"/>
              </w:rPr>
              <w:t xml:space="preserve"> - 0344</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5457E690"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Uncollateralised</w:t>
            </w:r>
            <w:r w:rsidRPr="00D43D39">
              <w:rPr>
                <w:rFonts w:ascii="Times New Roman" w:hAnsi="Times New Roman" w:cs="Times New Roman"/>
                <w:b/>
                <w:bCs/>
                <w:color w:val="000000" w:themeColor="text1"/>
                <w:sz w:val="20"/>
                <w:szCs w:val="20"/>
                <w:lang w:val="en-GB"/>
              </w:rPr>
              <w:t xml:space="preserve"> secured liabilities</w:t>
            </w:r>
          </w:p>
          <w:p w:rsidRPr="00D43D39" w:rsidR="0081175C" w:rsidP="00504E92" w:rsidRDefault="0081175C" w14:paraId="4B35113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of secured liabilities or liabilities for which collateral has been pledged that exceeds the value of the assets, pledge, lien or collateral against which it is secured. This </w:t>
            </w:r>
            <w:r w:rsidRPr="00D43D39" w:rsidR="00A74E90">
              <w:rPr>
                <w:rFonts w:ascii="Times New Roman" w:hAnsi="Times New Roman" w:eastAsia="Cambria" w:cs="Times New Roman"/>
                <w:color w:val="000000" w:themeColor="text1"/>
                <w:spacing w:val="-2"/>
                <w:w w:val="95"/>
                <w:sz w:val="20"/>
                <w:szCs w:val="20"/>
                <w:lang w:val="en-GB"/>
              </w:rPr>
              <w:t xml:space="preserve">shall </w:t>
            </w:r>
            <w:r w:rsidRPr="00D43D39">
              <w:rPr>
                <w:rFonts w:ascii="Times New Roman" w:hAnsi="Times New Roman" w:eastAsia="Cambria" w:cs="Times New Roman"/>
                <w:color w:val="000000" w:themeColor="text1"/>
                <w:spacing w:val="-2"/>
                <w:w w:val="95"/>
                <w:sz w:val="20"/>
                <w:szCs w:val="20"/>
                <w:lang w:val="en-GB"/>
              </w:rPr>
              <w:t>capture the 'unde</w:t>
            </w:r>
            <w:r w:rsidRPr="00D43D39" w:rsidR="00A74E90">
              <w:rPr>
                <w:rFonts w:ascii="Times New Roman" w:hAnsi="Times New Roman" w:eastAsia="Cambria" w:cs="Times New Roman"/>
                <w:color w:val="000000" w:themeColor="text1"/>
                <w:spacing w:val="-2"/>
                <w:w w:val="95"/>
                <w:sz w:val="20"/>
                <w:szCs w:val="20"/>
                <w:lang w:val="en-GB"/>
              </w:rPr>
              <w:t>r</w:t>
            </w:r>
            <w:r w:rsidRPr="00D43D39">
              <w:rPr>
                <w:rFonts w:ascii="Times New Roman" w:hAnsi="Times New Roman" w:eastAsia="Cambria" w:cs="Times New Roman"/>
                <w:color w:val="000000" w:themeColor="text1"/>
                <w:spacing w:val="-2"/>
                <w:w w:val="95"/>
                <w:sz w:val="20"/>
                <w:szCs w:val="20"/>
                <w:lang w:val="en-GB"/>
              </w:rPr>
              <w:t>collateralized' part of any collateralized liability</w:t>
            </w:r>
            <w:r w:rsidRPr="00D43D39" w:rsidR="00504E92">
              <w:rPr>
                <w:rFonts w:ascii="Times New Roman" w:hAnsi="Times New Roman" w:eastAsia="Cambria" w:cs="Times New Roman"/>
                <w:color w:val="000000" w:themeColor="text1"/>
                <w:spacing w:val="-2"/>
                <w:w w:val="95"/>
                <w:sz w:val="20"/>
                <w:szCs w:val="20"/>
                <w:lang w:val="en-GB"/>
              </w:rPr>
              <w:t xml:space="preserve">, for example the undercollateralised part of </w:t>
            </w:r>
            <w:r w:rsidRPr="00D43D39">
              <w:rPr>
                <w:rFonts w:ascii="Times New Roman" w:hAnsi="Times New Roman" w:cs="Times New Roman"/>
                <w:bCs/>
                <w:color w:val="000000" w:themeColor="text1"/>
                <w:sz w:val="20"/>
                <w:szCs w:val="20"/>
                <w:lang w:val="en-GB"/>
              </w:rPr>
              <w:t>covered bonds or repurchase operations.</w:t>
            </w:r>
          </w:p>
        </w:tc>
      </w:tr>
      <w:tr w:rsidRPr="00D43D39" w:rsidR="00D22EB0" w:rsidTr="005F5507" w14:paraId="285A59C4"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E91334" w:rsidRDefault="00903E0D" w14:paraId="6FFA8DC5"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350</w:t>
            </w:r>
            <w:r w:rsidRPr="00D43D39" w:rsidR="00E91334">
              <w:rPr>
                <w:rFonts w:ascii="Times New Roman" w:hAnsi="Times New Roman" w:cs="Times New Roman"/>
                <w:color w:val="000000" w:themeColor="text1"/>
                <w:sz w:val="20"/>
                <w:szCs w:val="20"/>
                <w:lang w:val="en-GB"/>
              </w:rPr>
              <w:t xml:space="preserve"> – 0354</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7A1DA956" w14:textId="7368427C">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Structured</w:t>
            </w:r>
            <w:r w:rsidRPr="00D43D39">
              <w:rPr>
                <w:rFonts w:ascii="Times New Roman" w:hAnsi="Times New Roman" w:cs="Times New Roman"/>
                <w:b/>
                <w:bCs/>
                <w:color w:val="000000" w:themeColor="text1"/>
                <w:sz w:val="20"/>
                <w:szCs w:val="20"/>
                <w:lang w:val="en-GB"/>
              </w:rPr>
              <w:t xml:space="preserve"> notes</w:t>
            </w:r>
          </w:p>
          <w:p w:rsidRPr="00D43D39" w:rsidR="0081175C" w:rsidP="00077AFC" w:rsidRDefault="0081175C" w14:paraId="5EF6424C"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Structured notes are defined </w:t>
            </w:r>
            <w:r w:rsidRPr="00D43D39" w:rsidR="003E7C69">
              <w:rPr>
                <w:rFonts w:ascii="Times New Roman" w:hAnsi="Times New Roman" w:eastAsia="Cambria" w:cs="Times New Roman"/>
                <w:color w:val="000000" w:themeColor="text1"/>
                <w:spacing w:val="-2"/>
                <w:w w:val="95"/>
                <w:sz w:val="20"/>
                <w:szCs w:val="20"/>
                <w:lang w:val="en-GB"/>
              </w:rPr>
              <w:t>for this pur</w:t>
            </w:r>
            <w:r w:rsidRPr="00D43D39" w:rsidR="00E90470">
              <w:rPr>
                <w:rFonts w:ascii="Times New Roman" w:hAnsi="Times New Roman" w:eastAsia="Cambria" w:cs="Times New Roman"/>
                <w:color w:val="000000" w:themeColor="text1"/>
                <w:spacing w:val="-2"/>
                <w:w w:val="95"/>
                <w:sz w:val="20"/>
                <w:szCs w:val="20"/>
                <w:lang w:val="en-GB"/>
              </w:rPr>
              <w:t>pose</w:t>
            </w:r>
            <w:r w:rsidRPr="00D43D39" w:rsidR="003E7C69">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as debt obligations that contain an embedded derivative component, with returns linked to an underlying security or index (public or bespoke, such as equities or bonds, fixed income rates or credit, FX, commodities etc.). Structured notes do not include debt instruments that include call or put options only, i.e. the value of the instrument does not depend on any embedded derivative component.</w:t>
            </w:r>
          </w:p>
        </w:tc>
      </w:tr>
      <w:tr w:rsidRPr="00D43D39" w:rsidR="00D22EB0" w:rsidTr="005F5507" w14:paraId="29EC2796"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E91334" w:rsidRDefault="00903E0D" w14:paraId="2D328D38"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360</w:t>
            </w:r>
            <w:r w:rsidRPr="00D43D39" w:rsidR="00E91334">
              <w:rPr>
                <w:rFonts w:ascii="Times New Roman" w:hAnsi="Times New Roman" w:cs="Times New Roman"/>
                <w:color w:val="000000" w:themeColor="text1"/>
                <w:sz w:val="20"/>
                <w:szCs w:val="20"/>
                <w:lang w:val="en-GB"/>
              </w:rPr>
              <w:t xml:space="preserve"> – 0364</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07606F18"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Senior</w:t>
            </w:r>
            <w:r w:rsidRPr="00D43D39">
              <w:rPr>
                <w:rFonts w:ascii="Times New Roman" w:hAnsi="Times New Roman" w:cs="Times New Roman"/>
                <w:b/>
                <w:bCs/>
                <w:color w:val="000000" w:themeColor="text1"/>
                <w:sz w:val="20"/>
                <w:szCs w:val="20"/>
                <w:lang w:val="en-GB"/>
              </w:rPr>
              <w:t xml:space="preserve"> unsecured liabilities</w:t>
            </w:r>
          </w:p>
          <w:p w:rsidRPr="00D43D39" w:rsidR="0081175C" w:rsidP="00367C1E" w:rsidRDefault="00EF01C1" w14:paraId="1992A5B7" w14:textId="23CE8125">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This </w:t>
            </w:r>
            <w:r w:rsidRPr="00D43D39" w:rsidR="0081175C">
              <w:rPr>
                <w:rFonts w:ascii="Times New Roman" w:hAnsi="Times New Roman" w:eastAsia="Cambria" w:cs="Times New Roman"/>
                <w:color w:val="000000" w:themeColor="text1"/>
                <w:spacing w:val="-2"/>
                <w:w w:val="95"/>
                <w:sz w:val="20"/>
                <w:szCs w:val="20"/>
                <w:lang w:val="en-GB"/>
              </w:rPr>
              <w:t>include</w:t>
            </w:r>
            <w:r w:rsidRPr="00D43D39">
              <w:rPr>
                <w:rFonts w:ascii="Times New Roman" w:hAnsi="Times New Roman" w:eastAsia="Cambria" w:cs="Times New Roman"/>
                <w:color w:val="000000" w:themeColor="text1"/>
                <w:spacing w:val="-2"/>
                <w:w w:val="95"/>
                <w:sz w:val="20"/>
                <w:szCs w:val="20"/>
                <w:lang w:val="en-GB"/>
              </w:rPr>
              <w:t>s</w:t>
            </w:r>
            <w:r w:rsidRPr="00D43D39" w:rsidR="0081175C">
              <w:rPr>
                <w:rFonts w:ascii="Times New Roman" w:hAnsi="Times New Roman" w:eastAsia="Cambria" w:cs="Times New Roman"/>
                <w:color w:val="000000" w:themeColor="text1"/>
                <w:spacing w:val="-2"/>
                <w:w w:val="95"/>
                <w:sz w:val="20"/>
                <w:szCs w:val="20"/>
                <w:lang w:val="en-GB"/>
              </w:rPr>
              <w:t xml:space="preserve"> all senior, unsecured instruments that are not included in </w:t>
            </w:r>
            <w:r w:rsidRPr="00D43D39" w:rsidR="00924F4C">
              <w:rPr>
                <w:rFonts w:ascii="Times New Roman" w:hAnsi="Times New Roman" w:eastAsia="Cambria" w:cs="Times New Roman"/>
                <w:color w:val="000000" w:themeColor="text1"/>
                <w:spacing w:val="-2"/>
                <w:w w:val="95"/>
                <w:sz w:val="20"/>
                <w:szCs w:val="20"/>
                <w:lang w:val="en-GB"/>
              </w:rPr>
              <w:t>other</w:t>
            </w:r>
            <w:r w:rsidRPr="00D43D39" w:rsidR="0081175C">
              <w:rPr>
                <w:rFonts w:ascii="Times New Roman" w:hAnsi="Times New Roman" w:eastAsia="Cambria" w:cs="Times New Roman"/>
                <w:color w:val="000000" w:themeColor="text1"/>
                <w:spacing w:val="-2"/>
                <w:w w:val="95"/>
                <w:sz w:val="20"/>
                <w:szCs w:val="20"/>
                <w:lang w:val="en-GB"/>
              </w:rPr>
              <w:t xml:space="preserve"> categor</w:t>
            </w:r>
            <w:r w:rsidRPr="00D43D39" w:rsidR="00924F4C">
              <w:rPr>
                <w:rFonts w:ascii="Times New Roman" w:hAnsi="Times New Roman" w:eastAsia="Cambria" w:cs="Times New Roman"/>
                <w:color w:val="000000" w:themeColor="text1"/>
                <w:spacing w:val="-2"/>
                <w:w w:val="95"/>
                <w:sz w:val="20"/>
                <w:szCs w:val="20"/>
                <w:lang w:val="en-GB"/>
              </w:rPr>
              <w:t>ies above</w:t>
            </w:r>
            <w:r w:rsidRPr="00D43D39" w:rsidR="0081175C">
              <w:rPr>
                <w:rFonts w:ascii="Times New Roman" w:hAnsi="Times New Roman" w:eastAsia="Cambria" w:cs="Times New Roman"/>
                <w:color w:val="000000" w:themeColor="text1"/>
                <w:spacing w:val="-2"/>
                <w:w w:val="95"/>
                <w:sz w:val="20"/>
                <w:szCs w:val="20"/>
                <w:lang w:val="en-GB"/>
              </w:rPr>
              <w:t>.</w:t>
            </w:r>
          </w:p>
        </w:tc>
      </w:tr>
      <w:tr w:rsidRPr="00D43D39" w:rsidR="00D22EB0" w:rsidTr="005F5507" w14:paraId="55CD952C" w14:textId="77777777">
        <w:tc>
          <w:tcPr>
            <w:tcW w:w="905" w:type="dxa"/>
            <w:tcBorders>
              <w:top w:val="single" w:color="1A171C" w:sz="4" w:space="0"/>
              <w:left w:val="nil"/>
              <w:bottom w:val="single" w:color="1A171C" w:sz="4" w:space="0"/>
              <w:right w:val="single" w:color="1A171C" w:sz="4" w:space="0"/>
            </w:tcBorders>
            <w:vAlign w:val="center"/>
          </w:tcPr>
          <w:p w:rsidRPr="00D43D39" w:rsidR="000B7DC6" w:rsidP="00E91334" w:rsidRDefault="00903E0D" w14:paraId="63B7719E"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0B7DC6">
              <w:rPr>
                <w:rFonts w:ascii="Times New Roman" w:hAnsi="Times New Roman" w:cs="Times New Roman"/>
                <w:color w:val="000000" w:themeColor="text1"/>
                <w:sz w:val="20"/>
                <w:szCs w:val="20"/>
                <w:lang w:val="en-GB"/>
              </w:rPr>
              <w:t>365</w:t>
            </w:r>
            <w:r w:rsidRPr="00D43D39" w:rsidR="00E91334">
              <w:rPr>
                <w:rFonts w:ascii="Times New Roman" w:hAnsi="Times New Roman" w:cs="Times New Roman"/>
                <w:color w:val="000000" w:themeColor="text1"/>
                <w:sz w:val="20"/>
                <w:szCs w:val="20"/>
                <w:lang w:val="en-GB"/>
              </w:rPr>
              <w:t xml:space="preserve"> – 0369</w:t>
            </w:r>
          </w:p>
        </w:tc>
        <w:tc>
          <w:tcPr>
            <w:tcW w:w="8121" w:type="dxa"/>
            <w:tcBorders>
              <w:top w:val="single" w:color="1A171C" w:sz="4" w:space="0"/>
              <w:left w:val="single" w:color="1A171C" w:sz="4" w:space="0"/>
              <w:bottom w:val="single" w:color="1A171C" w:sz="4" w:space="0"/>
              <w:right w:val="nil"/>
            </w:tcBorders>
            <w:vAlign w:val="center"/>
          </w:tcPr>
          <w:p w:rsidRPr="00D43D39" w:rsidR="000B7DC6" w:rsidP="00367C1E" w:rsidRDefault="000B7DC6" w14:paraId="0F8EA938"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Senior non-preferred liabilities</w:t>
            </w:r>
          </w:p>
          <w:p w:rsidRPr="00D43D39" w:rsidR="00C92D66" w:rsidP="00C92D66" w:rsidRDefault="00C92D66" w14:paraId="6EFE959E" w14:textId="77777777">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Amount of any of the following liabilities:</w:t>
            </w:r>
          </w:p>
          <w:p w:rsidRPr="00D43D39" w:rsidR="00C92D66" w:rsidP="00715DAB" w:rsidRDefault="00C92D66" w14:paraId="37BECB28" w14:textId="665EB625">
            <w:pPr>
              <w:pStyle w:val="TableParagraph"/>
              <w:numPr>
                <w:ilvl w:val="0"/>
                <w:numId w:val="69"/>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Unsecured claims resulting from debt instruments that meet the conditions laid down in </w:t>
            </w:r>
            <w:r w:rsidRPr="00D43D39" w:rsidR="005875E1">
              <w:rPr>
                <w:rFonts w:ascii="Times New Roman" w:hAnsi="Times New Roman" w:cs="Times New Roman"/>
                <w:color w:val="000000" w:themeColor="text1"/>
                <w:spacing w:val="-2"/>
                <w:w w:val="95"/>
                <w:sz w:val="20"/>
                <w:szCs w:val="20"/>
                <w:lang w:val="en-GB"/>
              </w:rPr>
              <w:t>Article 108 of Directive 2014/59/EU</w:t>
            </w:r>
            <w:r w:rsidR="005875E1">
              <w:rPr>
                <w:rFonts w:ascii="Times New Roman" w:hAnsi="Times New Roman" w:cs="Times New Roman"/>
                <w:color w:val="000000" w:themeColor="text1"/>
                <w:spacing w:val="-2"/>
                <w:w w:val="95"/>
                <w:sz w:val="20"/>
                <w:szCs w:val="20"/>
                <w:lang w:val="en-GB"/>
              </w:rPr>
              <w:t xml:space="preserve">, </w:t>
            </w:r>
            <w:r w:rsidRPr="00D43D39" w:rsidR="005875E1">
              <w:rPr>
                <w:rFonts w:ascii="Times New Roman" w:hAnsi="Times New Roman" w:cs="Times New Roman"/>
                <w:color w:val="000000" w:themeColor="text1"/>
                <w:spacing w:val="-2"/>
                <w:w w:val="95"/>
                <w:sz w:val="20"/>
                <w:szCs w:val="20"/>
                <w:lang w:val="en-GB"/>
              </w:rPr>
              <w:t xml:space="preserve"> paragraph 2</w:t>
            </w:r>
            <w:r w:rsidR="005875E1">
              <w:rPr>
                <w:rFonts w:ascii="Times New Roman" w:hAnsi="Times New Roman" w:cs="Times New Roman"/>
                <w:color w:val="000000" w:themeColor="text1"/>
                <w:spacing w:val="-2"/>
                <w:w w:val="95"/>
                <w:sz w:val="20"/>
                <w:szCs w:val="20"/>
                <w:lang w:val="en-GB"/>
              </w:rPr>
              <w:t xml:space="preserve"> </w:t>
            </w:r>
            <w:r w:rsidRPr="00D43D39">
              <w:rPr>
                <w:rFonts w:ascii="Times New Roman" w:hAnsi="Times New Roman" w:cs="Times New Roman"/>
                <w:color w:val="000000" w:themeColor="text1"/>
                <w:spacing w:val="-2"/>
                <w:w w:val="95"/>
                <w:sz w:val="20"/>
                <w:szCs w:val="20"/>
                <w:lang w:val="en-GB"/>
              </w:rPr>
              <w:t xml:space="preserve">points (a), (b) and (c) of and paragraph 3; </w:t>
            </w:r>
          </w:p>
          <w:p w:rsidRPr="00D43D39" w:rsidR="00C92D66" w:rsidP="00715DAB" w:rsidRDefault="00C92D66" w14:paraId="2D8481A4" w14:textId="77777777">
            <w:pPr>
              <w:pStyle w:val="TableParagraph"/>
              <w:numPr>
                <w:ilvl w:val="0"/>
                <w:numId w:val="69"/>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Unsecured claims resulting from debt instruments referred to in point (b) of the first subparagraph of Article 108(5) of Directive 2014/59/EU; or</w:t>
            </w:r>
          </w:p>
          <w:p w:rsidRPr="00D43D39" w:rsidR="000B7DC6" w:rsidP="00715DAB" w:rsidRDefault="00C92D66" w14:paraId="4F6E4EB0" w14:textId="77777777">
            <w:pPr>
              <w:pStyle w:val="TableParagraph"/>
              <w:numPr>
                <w:ilvl w:val="0"/>
                <w:numId w:val="69"/>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Debt instruments with the lowest priority ranking among the ordinary unsecured claims resulting from debt instruments referred to in Article 108(7) of Directive 2014/59/EU, for which a Member State has provided, in accordance with that paragraph, that they have the same ranking as that of claims that meet the conditions of points (a), (b) and (c) of paragraph 2 and of paragraph 3 of Article 108 of Directive 2014/59/EU.</w:t>
            </w:r>
          </w:p>
        </w:tc>
      </w:tr>
      <w:tr w:rsidRPr="00D43D39" w:rsidR="00D22EB0" w:rsidTr="005F5507" w14:paraId="75F0CDCC"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E91334" w:rsidRDefault="00903E0D" w14:paraId="4AE08DA7"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370</w:t>
            </w:r>
            <w:r w:rsidRPr="00D43D39" w:rsidR="00E91334">
              <w:rPr>
                <w:rFonts w:ascii="Times New Roman" w:hAnsi="Times New Roman" w:cs="Times New Roman"/>
                <w:color w:val="000000" w:themeColor="text1"/>
                <w:sz w:val="20"/>
                <w:szCs w:val="20"/>
                <w:lang w:val="en-GB"/>
              </w:rPr>
              <w:t xml:space="preserve"> – 0374</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23A72340"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Subordinated</w:t>
            </w:r>
            <w:r w:rsidRPr="00D43D39">
              <w:rPr>
                <w:rFonts w:ascii="Times New Roman" w:hAnsi="Times New Roman" w:cs="Times New Roman"/>
                <w:b/>
                <w:bCs/>
                <w:color w:val="000000" w:themeColor="text1"/>
                <w:sz w:val="20"/>
                <w:szCs w:val="20"/>
                <w:lang w:val="en-GB"/>
              </w:rPr>
              <w:t xml:space="preserve"> liabilities</w:t>
            </w:r>
            <w:r w:rsidRPr="00D43D39" w:rsidR="00E91334">
              <w:rPr>
                <w:rFonts w:ascii="Times New Roman" w:hAnsi="Times New Roman" w:cs="Times New Roman"/>
                <w:b/>
                <w:bCs/>
                <w:color w:val="000000" w:themeColor="text1"/>
                <w:sz w:val="20"/>
                <w:szCs w:val="20"/>
                <w:lang w:val="en-GB"/>
              </w:rPr>
              <w:t xml:space="preserve"> (not recognised as own funds)</w:t>
            </w:r>
          </w:p>
          <w:p w:rsidRPr="00D43D39" w:rsidR="0081175C" w:rsidP="00367C1E" w:rsidRDefault="00BF709A" w14:paraId="5E00111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w:t>
            </w:r>
            <w:r w:rsidRPr="00D43D39" w:rsidR="0081175C">
              <w:rPr>
                <w:rFonts w:ascii="Times New Roman" w:hAnsi="Times New Roman" w:eastAsia="Cambria" w:cs="Times New Roman"/>
                <w:color w:val="000000" w:themeColor="text1"/>
                <w:spacing w:val="-2"/>
                <w:w w:val="95"/>
                <w:sz w:val="20"/>
                <w:szCs w:val="20"/>
                <w:lang w:val="en-GB"/>
              </w:rPr>
              <w:t xml:space="preserve">iabilities which will only be repaid under national insolvency law after all classes of ordinary creditors </w:t>
            </w:r>
            <w:r w:rsidRPr="00D43D39" w:rsidR="001245E6">
              <w:rPr>
                <w:rFonts w:ascii="Times New Roman" w:hAnsi="Times New Roman" w:eastAsia="Cambria" w:cs="Times New Roman"/>
                <w:color w:val="000000" w:themeColor="text1"/>
                <w:spacing w:val="-2"/>
                <w:w w:val="95"/>
                <w:sz w:val="20"/>
                <w:szCs w:val="20"/>
                <w:lang w:val="en-GB"/>
              </w:rPr>
              <w:t>and senior non</w:t>
            </w:r>
            <w:r w:rsidRPr="00D43D39" w:rsidR="00753CA3">
              <w:rPr>
                <w:rFonts w:ascii="Times New Roman" w:hAnsi="Times New Roman" w:eastAsia="Cambria" w:cs="Times New Roman"/>
                <w:color w:val="000000" w:themeColor="text1"/>
                <w:spacing w:val="-2"/>
                <w:w w:val="95"/>
                <w:sz w:val="20"/>
                <w:szCs w:val="20"/>
                <w:lang w:val="en-GB"/>
              </w:rPr>
              <w:t>-</w:t>
            </w:r>
            <w:r w:rsidRPr="00D43D39" w:rsidR="001245E6">
              <w:rPr>
                <w:rFonts w:ascii="Times New Roman" w:hAnsi="Times New Roman" w:eastAsia="Cambria" w:cs="Times New Roman"/>
                <w:color w:val="000000" w:themeColor="text1"/>
                <w:spacing w:val="-2"/>
                <w:w w:val="95"/>
                <w:sz w:val="20"/>
                <w:szCs w:val="20"/>
                <w:lang w:val="en-GB"/>
              </w:rPr>
              <w:t xml:space="preserve">preferred creditors </w:t>
            </w:r>
            <w:r w:rsidRPr="00D43D39" w:rsidR="0081175C">
              <w:rPr>
                <w:rFonts w:ascii="Times New Roman" w:hAnsi="Times New Roman" w:eastAsia="Cambria" w:cs="Times New Roman"/>
                <w:color w:val="000000" w:themeColor="text1"/>
                <w:spacing w:val="-2"/>
                <w:w w:val="95"/>
                <w:sz w:val="20"/>
                <w:szCs w:val="20"/>
                <w:lang w:val="en-GB"/>
              </w:rPr>
              <w:t xml:space="preserve">have been repaid in full. This includes both contractually </w:t>
            </w:r>
            <w:r w:rsidRPr="00D43D39" w:rsidR="000745B1">
              <w:rPr>
                <w:rFonts w:ascii="Times New Roman" w:hAnsi="Times New Roman" w:eastAsia="Cambria" w:cs="Times New Roman"/>
                <w:color w:val="000000" w:themeColor="text1"/>
                <w:spacing w:val="-2"/>
                <w:w w:val="95"/>
                <w:sz w:val="20"/>
                <w:szCs w:val="20"/>
                <w:lang w:val="en-GB"/>
              </w:rPr>
              <w:t>and</w:t>
            </w:r>
            <w:r w:rsidRPr="00D43D39" w:rsidR="003C3186">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statutorily subordinated liabilities. In the case of holding companies, unsubordinated debt securities may also be reported in this category (i.e. structural subordination).</w:t>
            </w:r>
          </w:p>
          <w:p w:rsidRPr="00D43D39" w:rsidR="00EF01C1" w:rsidP="00EF01C1" w:rsidRDefault="008A77ED" w14:paraId="439C53B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Only s</w:t>
            </w:r>
            <w:r w:rsidRPr="00D43D39" w:rsidR="0081175C">
              <w:rPr>
                <w:rFonts w:ascii="Times New Roman" w:hAnsi="Times New Roman" w:eastAsia="Cambria" w:cs="Times New Roman"/>
                <w:color w:val="000000" w:themeColor="text1"/>
                <w:spacing w:val="-2"/>
                <w:w w:val="95"/>
                <w:sz w:val="20"/>
                <w:szCs w:val="20"/>
                <w:lang w:val="en-GB"/>
              </w:rPr>
              <w:t xml:space="preserve">ubordinated instruments that are not recognized </w:t>
            </w:r>
            <w:r w:rsidRPr="00D43D39">
              <w:rPr>
                <w:rFonts w:ascii="Times New Roman" w:hAnsi="Times New Roman" w:eastAsia="Cambria" w:cs="Times New Roman"/>
                <w:color w:val="000000" w:themeColor="text1"/>
                <w:spacing w:val="-2"/>
                <w:w w:val="95"/>
                <w:sz w:val="20"/>
                <w:szCs w:val="20"/>
                <w:lang w:val="en-GB"/>
              </w:rPr>
              <w:t xml:space="preserve">as </w:t>
            </w:r>
            <w:r w:rsidRPr="00D43D39" w:rsidR="0081175C">
              <w:rPr>
                <w:rFonts w:ascii="Times New Roman" w:hAnsi="Times New Roman" w:eastAsia="Cambria" w:cs="Times New Roman"/>
                <w:color w:val="000000" w:themeColor="text1"/>
                <w:spacing w:val="-2"/>
                <w:w w:val="95"/>
                <w:sz w:val="20"/>
                <w:szCs w:val="20"/>
                <w:lang w:val="en-GB"/>
              </w:rPr>
              <w:t xml:space="preserve">own funds shall </w:t>
            </w:r>
            <w:r w:rsidRPr="00D43D39" w:rsidR="00EF01C1">
              <w:rPr>
                <w:rFonts w:ascii="Times New Roman" w:hAnsi="Times New Roman" w:eastAsia="Cambria" w:cs="Times New Roman"/>
                <w:color w:val="000000" w:themeColor="text1"/>
                <w:spacing w:val="-2"/>
                <w:w w:val="95"/>
                <w:sz w:val="20"/>
                <w:szCs w:val="20"/>
                <w:lang w:val="en-GB"/>
              </w:rPr>
              <w:t xml:space="preserve">be </w:t>
            </w:r>
            <w:r w:rsidRPr="00D43D39" w:rsidR="0081175C">
              <w:rPr>
                <w:rFonts w:ascii="Times New Roman" w:hAnsi="Times New Roman" w:eastAsia="Cambria" w:cs="Times New Roman"/>
                <w:color w:val="000000" w:themeColor="text1"/>
                <w:spacing w:val="-2"/>
                <w:w w:val="95"/>
                <w:sz w:val="20"/>
                <w:szCs w:val="20"/>
                <w:lang w:val="en-GB"/>
              </w:rPr>
              <w:t xml:space="preserve">included in this category. </w:t>
            </w:r>
          </w:p>
          <w:p w:rsidRPr="00D43D39" w:rsidR="0081175C" w:rsidP="00EF01C1" w:rsidRDefault="00EF01C1" w14:paraId="5F45057F"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T</w:t>
            </w:r>
            <w:r w:rsidRPr="00D43D39" w:rsidR="0081175C">
              <w:rPr>
                <w:rFonts w:ascii="Times New Roman" w:hAnsi="Times New Roman" w:eastAsia="Cambria" w:cs="Times New Roman"/>
                <w:color w:val="000000" w:themeColor="text1"/>
                <w:spacing w:val="-2"/>
                <w:w w:val="95"/>
                <w:sz w:val="20"/>
                <w:szCs w:val="20"/>
                <w:lang w:val="en-GB"/>
              </w:rPr>
              <w:t xml:space="preserve">his row shall also include </w:t>
            </w:r>
            <w:r w:rsidRPr="00D43D39">
              <w:rPr>
                <w:rFonts w:ascii="Times New Roman" w:hAnsi="Times New Roman" w:eastAsia="Cambria" w:cs="Times New Roman"/>
                <w:color w:val="000000" w:themeColor="text1"/>
                <w:spacing w:val="-2"/>
                <w:w w:val="95"/>
                <w:sz w:val="20"/>
                <w:szCs w:val="20"/>
                <w:lang w:val="en-GB"/>
              </w:rPr>
              <w:t xml:space="preserve">that part of </w:t>
            </w:r>
            <w:r w:rsidRPr="00D43D39" w:rsidR="0081175C">
              <w:rPr>
                <w:rFonts w:ascii="Times New Roman" w:hAnsi="Times New Roman" w:eastAsia="Cambria" w:cs="Times New Roman"/>
                <w:color w:val="000000" w:themeColor="text1"/>
                <w:spacing w:val="-2"/>
                <w:w w:val="95"/>
                <w:sz w:val="20"/>
                <w:szCs w:val="20"/>
                <w:lang w:val="en-GB"/>
              </w:rPr>
              <w:t xml:space="preserve">subordinated liabilities </w:t>
            </w:r>
            <w:r w:rsidRPr="00D43D39">
              <w:rPr>
                <w:rFonts w:ascii="Times New Roman" w:hAnsi="Times New Roman" w:eastAsia="Cambria" w:cs="Times New Roman"/>
                <w:color w:val="000000" w:themeColor="text1"/>
                <w:spacing w:val="-2"/>
                <w:w w:val="95"/>
                <w:sz w:val="20"/>
                <w:szCs w:val="20"/>
                <w:lang w:val="en-GB"/>
              </w:rPr>
              <w:t xml:space="preserve">that </w:t>
            </w:r>
            <w:r w:rsidRPr="00D43D39" w:rsidR="0081175C">
              <w:rPr>
                <w:rFonts w:ascii="Times New Roman" w:hAnsi="Times New Roman" w:eastAsia="Cambria" w:cs="Times New Roman"/>
                <w:color w:val="000000" w:themeColor="text1"/>
                <w:spacing w:val="-2"/>
                <w:w w:val="95"/>
                <w:sz w:val="20"/>
                <w:szCs w:val="20"/>
                <w:lang w:val="en-GB"/>
              </w:rPr>
              <w:t>qualif</w:t>
            </w:r>
            <w:r w:rsidRPr="00D43D39">
              <w:rPr>
                <w:rFonts w:ascii="Times New Roman" w:hAnsi="Times New Roman" w:eastAsia="Cambria" w:cs="Times New Roman"/>
                <w:color w:val="000000" w:themeColor="text1"/>
                <w:spacing w:val="-2"/>
                <w:w w:val="95"/>
                <w:sz w:val="20"/>
                <w:szCs w:val="20"/>
                <w:lang w:val="en-GB"/>
              </w:rPr>
              <w:t>ies in principle</w:t>
            </w:r>
            <w:r w:rsidRPr="00D43D39" w:rsidR="0081175C">
              <w:rPr>
                <w:rFonts w:ascii="Times New Roman" w:hAnsi="Times New Roman" w:eastAsia="Cambria" w:cs="Times New Roman"/>
                <w:color w:val="000000" w:themeColor="text1"/>
                <w:spacing w:val="-2"/>
                <w:w w:val="95"/>
                <w:sz w:val="20"/>
                <w:szCs w:val="20"/>
                <w:lang w:val="en-GB"/>
              </w:rPr>
              <w:t xml:space="preserve"> as own funds, </w:t>
            </w:r>
            <w:r w:rsidRPr="00D43D39">
              <w:rPr>
                <w:rFonts w:ascii="Times New Roman" w:hAnsi="Times New Roman" w:eastAsia="Cambria" w:cs="Times New Roman"/>
                <w:color w:val="000000" w:themeColor="text1"/>
                <w:spacing w:val="-2"/>
                <w:w w:val="95"/>
                <w:sz w:val="20"/>
                <w:szCs w:val="20"/>
                <w:lang w:val="en-GB"/>
              </w:rPr>
              <w:t>but is</w:t>
            </w:r>
            <w:r w:rsidRPr="00D43D39" w:rsidR="0081175C">
              <w:rPr>
                <w:rFonts w:ascii="Times New Roman" w:hAnsi="Times New Roman" w:eastAsia="Cambria" w:cs="Times New Roman"/>
                <w:color w:val="000000" w:themeColor="text1"/>
                <w:spacing w:val="-2"/>
                <w:w w:val="95"/>
                <w:sz w:val="20"/>
                <w:szCs w:val="20"/>
                <w:lang w:val="en-GB"/>
              </w:rPr>
              <w:t xml:space="preserve"> not included in own funds due to phase-out </w:t>
            </w:r>
            <w:r w:rsidRPr="00D43D39">
              <w:rPr>
                <w:rFonts w:ascii="Times New Roman" w:hAnsi="Times New Roman" w:eastAsia="Cambria" w:cs="Times New Roman"/>
                <w:color w:val="000000" w:themeColor="text1"/>
                <w:spacing w:val="-2"/>
                <w:w w:val="95"/>
                <w:sz w:val="20"/>
                <w:szCs w:val="20"/>
                <w:lang w:val="en-GB"/>
              </w:rPr>
              <w:t xml:space="preserve">provisions such as Article 64 </w:t>
            </w:r>
            <w:r w:rsidRPr="00D43D39" w:rsidR="00063EEC">
              <w:rPr>
                <w:rFonts w:ascii="Times New Roman" w:hAnsi="Times New Roman" w:eastAsia="Cambria" w:cs="Times New Roman"/>
                <w:color w:val="000000" w:themeColor="text1"/>
                <w:spacing w:val="-2"/>
                <w:w w:val="95"/>
                <w:sz w:val="20"/>
                <w:szCs w:val="20"/>
                <w:lang w:val="en-GB"/>
              </w:rPr>
              <w:t>of Regulation (EU) No 575/2013</w:t>
            </w:r>
            <w:r w:rsidRPr="00D43D39">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remaining maturity</w:t>
            </w:r>
            <w:r w:rsidRPr="00D43D39">
              <w:rPr>
                <w:rFonts w:ascii="Times New Roman" w:hAnsi="Times New Roman" w:eastAsia="Cambria" w:cs="Times New Roman"/>
                <w:color w:val="000000" w:themeColor="text1"/>
                <w:spacing w:val="-2"/>
                <w:w w:val="95"/>
                <w:sz w:val="20"/>
                <w:szCs w:val="20"/>
                <w:lang w:val="en-GB"/>
              </w:rPr>
              <w:t>)</w:t>
            </w:r>
            <w:r w:rsidRPr="00D43D39" w:rsidR="0081175C">
              <w:rPr>
                <w:rFonts w:ascii="Times New Roman" w:hAnsi="Times New Roman" w:eastAsia="Cambria" w:cs="Times New Roman"/>
                <w:color w:val="000000" w:themeColor="text1"/>
                <w:spacing w:val="-2"/>
                <w:w w:val="95"/>
                <w:sz w:val="20"/>
                <w:szCs w:val="20"/>
                <w:lang w:val="en-GB"/>
              </w:rPr>
              <w:t xml:space="preserve"> or</w:t>
            </w:r>
            <w:r w:rsidRPr="00D43D39">
              <w:rPr>
                <w:rFonts w:ascii="Times New Roman" w:hAnsi="Times New Roman" w:eastAsia="Cambria" w:cs="Times New Roman"/>
                <w:color w:val="000000" w:themeColor="text1"/>
                <w:spacing w:val="-2"/>
                <w:w w:val="95"/>
                <w:sz w:val="20"/>
                <w:szCs w:val="20"/>
                <w:lang w:val="en-GB"/>
              </w:rPr>
              <w:t xml:space="preserve"> Part 10 of the </w:t>
            </w:r>
            <w:r w:rsidRPr="00D43D39" w:rsidR="00063EEC">
              <w:rPr>
                <w:rFonts w:ascii="Times New Roman" w:hAnsi="Times New Roman" w:eastAsia="Cambria" w:cs="Times New Roman"/>
                <w:color w:val="000000" w:themeColor="text1"/>
                <w:spacing w:val="-2"/>
                <w:w w:val="95"/>
                <w:sz w:val="20"/>
                <w:szCs w:val="20"/>
                <w:lang w:val="en-GB"/>
              </w:rPr>
              <w:t>Regulation (EU) No 575/2013</w:t>
            </w:r>
            <w:r w:rsidRPr="00D43D39">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 xml:space="preserve">grandfathering impact). </w:t>
            </w:r>
          </w:p>
        </w:tc>
      </w:tr>
      <w:tr w:rsidRPr="00D43D39" w:rsidR="00D22EB0" w:rsidTr="005F5507" w14:paraId="530630E6"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E91334" w:rsidRDefault="00903E0D" w14:paraId="32140432"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380</w:t>
            </w:r>
            <w:r w:rsidRPr="00D43D39" w:rsidR="00E91334">
              <w:rPr>
                <w:rFonts w:ascii="Times New Roman" w:hAnsi="Times New Roman" w:cs="Times New Roman"/>
                <w:color w:val="000000" w:themeColor="text1"/>
                <w:sz w:val="20"/>
                <w:szCs w:val="20"/>
                <w:lang w:val="en-GB"/>
              </w:rPr>
              <w:t xml:space="preserve"> – 0382</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44F1BA0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Other MREL eligible liabilities</w:t>
            </w:r>
          </w:p>
          <w:p w:rsidRPr="00D43D39" w:rsidR="0081175C" w:rsidP="0091484C" w:rsidRDefault="002E70E6" w14:paraId="087A3314" w14:textId="5A7E9CE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of liabilities</w:t>
            </w:r>
            <w:r w:rsidRPr="00D43D39" w:rsidR="0081175C">
              <w:rPr>
                <w:rFonts w:ascii="Times New Roman" w:hAnsi="Times New Roman" w:eastAsia="Cambria" w:cs="Times New Roman"/>
                <w:color w:val="000000" w:themeColor="text1"/>
                <w:spacing w:val="-2"/>
                <w:w w:val="95"/>
                <w:sz w:val="20"/>
                <w:szCs w:val="20"/>
                <w:lang w:val="en-GB"/>
              </w:rPr>
              <w:t xml:space="preserve"> that is eligible </w:t>
            </w:r>
            <w:r w:rsidRPr="00D43D39" w:rsidR="00E91334">
              <w:rPr>
                <w:rFonts w:ascii="Times New Roman" w:hAnsi="Times New Roman" w:eastAsia="Cambria" w:cs="Times New Roman"/>
                <w:color w:val="000000" w:themeColor="text1"/>
                <w:spacing w:val="-2"/>
                <w:w w:val="95"/>
                <w:sz w:val="20"/>
                <w:szCs w:val="20"/>
                <w:lang w:val="en-GB"/>
              </w:rPr>
              <w:t>for the purposes of meeting</w:t>
            </w:r>
            <w:r w:rsidRPr="00D43D39" w:rsidR="00E44C62">
              <w:rPr>
                <w:rFonts w:ascii="Times New Roman" w:hAnsi="Times New Roman" w:eastAsia="Cambria" w:cs="Times New Roman"/>
                <w:color w:val="000000" w:themeColor="text1"/>
                <w:spacing w:val="-2"/>
                <w:w w:val="95"/>
                <w:sz w:val="20"/>
                <w:szCs w:val="20"/>
                <w:lang w:val="en-GB"/>
              </w:rPr>
              <w:t xml:space="preserve"> by the reporting entity</w:t>
            </w:r>
            <w:r w:rsidRPr="00D43D39" w:rsidR="00E91334">
              <w:rPr>
                <w:rFonts w:ascii="Times New Roman" w:hAnsi="Times New Roman" w:eastAsia="Cambria" w:cs="Times New Roman"/>
                <w:color w:val="000000" w:themeColor="text1"/>
                <w:spacing w:val="-2"/>
                <w:w w:val="95"/>
                <w:sz w:val="20"/>
                <w:szCs w:val="20"/>
                <w:lang w:val="en-GB"/>
              </w:rPr>
              <w:t xml:space="preserve"> the requirement of Article 45 of </w:t>
            </w:r>
            <w:r w:rsidRPr="00D43D39" w:rsidR="00E91334">
              <w:rPr>
                <w:rFonts w:ascii="Times New Roman" w:hAnsi="Times New Roman" w:cs="Times New Roman"/>
                <w:color w:val="000000" w:themeColor="text1"/>
                <w:spacing w:val="-2"/>
                <w:w w:val="95"/>
                <w:sz w:val="20"/>
                <w:szCs w:val="20"/>
                <w:lang w:val="en-GB"/>
              </w:rPr>
              <w:t>Directive 2014/59/EU</w:t>
            </w:r>
            <w:r w:rsidRPr="00D43D39" w:rsidR="00E91334">
              <w:rPr>
                <w:rFonts w:ascii="Times New Roman" w:hAnsi="Times New Roman" w:eastAsia="Cambria" w:cs="Times New Roman"/>
                <w:color w:val="000000" w:themeColor="text1"/>
                <w:spacing w:val="-2"/>
                <w:w w:val="95"/>
                <w:sz w:val="20"/>
                <w:szCs w:val="20"/>
                <w:lang w:val="en-GB"/>
              </w:rPr>
              <w:t xml:space="preserve"> in accordance with Articles 45e or 45f thereof, as applicable, </w:t>
            </w:r>
            <w:r w:rsidRPr="00D43D39" w:rsidR="0081175C">
              <w:rPr>
                <w:rFonts w:ascii="Times New Roman" w:hAnsi="Times New Roman" w:eastAsia="Cambria" w:cs="Times New Roman"/>
                <w:color w:val="000000" w:themeColor="text1"/>
                <w:spacing w:val="-2"/>
                <w:w w:val="95"/>
                <w:sz w:val="20"/>
                <w:szCs w:val="20"/>
                <w:lang w:val="en-GB"/>
              </w:rPr>
              <w:t xml:space="preserve">but is not captured in rows </w:t>
            </w:r>
            <w:r w:rsidRPr="00D43D39" w:rsidR="00032838">
              <w:rPr>
                <w:rFonts w:ascii="Times New Roman" w:hAnsi="Times New Roman" w:eastAsia="Cambria" w:cs="Times New Roman"/>
                <w:color w:val="000000" w:themeColor="text1"/>
                <w:spacing w:val="-2"/>
                <w:w w:val="95"/>
                <w:sz w:val="20"/>
                <w:szCs w:val="20"/>
                <w:lang w:val="en-GB"/>
              </w:rPr>
              <w:t>0</w:t>
            </w:r>
            <w:r w:rsidRPr="00D43D39" w:rsidR="0081175C">
              <w:rPr>
                <w:rFonts w:ascii="Times New Roman" w:hAnsi="Times New Roman" w:eastAsia="Cambria" w:cs="Times New Roman"/>
                <w:color w:val="000000" w:themeColor="text1"/>
                <w:spacing w:val="-2"/>
                <w:w w:val="95"/>
                <w:sz w:val="20"/>
                <w:szCs w:val="20"/>
                <w:lang w:val="en-GB"/>
              </w:rPr>
              <w:t xml:space="preserve">320 and </w:t>
            </w:r>
            <w:r w:rsidRPr="00D43D39" w:rsidR="00032838">
              <w:rPr>
                <w:rFonts w:ascii="Times New Roman" w:hAnsi="Times New Roman" w:eastAsia="Cambria" w:cs="Times New Roman"/>
                <w:color w:val="000000" w:themeColor="text1"/>
                <w:spacing w:val="-2"/>
                <w:w w:val="95"/>
                <w:sz w:val="20"/>
                <w:szCs w:val="20"/>
                <w:lang w:val="en-GB"/>
              </w:rPr>
              <w:t>0</w:t>
            </w:r>
            <w:r w:rsidRPr="00D43D39" w:rsidR="0081175C">
              <w:rPr>
                <w:rFonts w:ascii="Times New Roman" w:hAnsi="Times New Roman" w:eastAsia="Cambria" w:cs="Times New Roman"/>
                <w:color w:val="000000" w:themeColor="text1"/>
                <w:spacing w:val="-2"/>
                <w:w w:val="95"/>
                <w:sz w:val="20"/>
                <w:szCs w:val="20"/>
                <w:lang w:val="en-GB"/>
              </w:rPr>
              <w:t xml:space="preserve">340 to </w:t>
            </w:r>
            <w:r w:rsidRPr="00D43D39" w:rsidR="00032838">
              <w:rPr>
                <w:rFonts w:ascii="Times New Roman" w:hAnsi="Times New Roman" w:eastAsia="Cambria" w:cs="Times New Roman"/>
                <w:color w:val="000000" w:themeColor="text1"/>
                <w:spacing w:val="-2"/>
                <w:w w:val="95"/>
                <w:sz w:val="20"/>
                <w:szCs w:val="20"/>
                <w:lang w:val="en-GB"/>
              </w:rPr>
              <w:t>0</w:t>
            </w:r>
            <w:r w:rsidRPr="00D43D39" w:rsidR="0081175C">
              <w:rPr>
                <w:rFonts w:ascii="Times New Roman" w:hAnsi="Times New Roman" w:eastAsia="Cambria" w:cs="Times New Roman"/>
                <w:color w:val="000000" w:themeColor="text1"/>
                <w:spacing w:val="-2"/>
                <w:w w:val="95"/>
                <w:sz w:val="20"/>
                <w:szCs w:val="20"/>
                <w:lang w:val="en-GB"/>
              </w:rPr>
              <w:t>370.</w:t>
            </w:r>
          </w:p>
        </w:tc>
      </w:tr>
      <w:tr w:rsidRPr="00D43D39" w:rsidR="00D22EB0" w:rsidTr="005F5507" w14:paraId="42419F46"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2F8ECEF5"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390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14A659F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Non-</w:t>
            </w:r>
            <w:r w:rsidRPr="00D43D39">
              <w:rPr>
                <w:rFonts w:ascii="Times New Roman" w:hAnsi="Times New Roman" w:cs="Times New Roman"/>
                <w:b/>
                <w:color w:val="000000" w:themeColor="text1"/>
                <w:spacing w:val="-2"/>
                <w:w w:val="95"/>
                <w:sz w:val="20"/>
                <w:szCs w:val="20"/>
                <w:lang w:val="en-GB"/>
              </w:rPr>
              <w:t>financial</w:t>
            </w:r>
            <w:r w:rsidRPr="00D43D39">
              <w:rPr>
                <w:rFonts w:ascii="Times New Roman" w:hAnsi="Times New Roman" w:cs="Times New Roman"/>
                <w:b/>
                <w:bCs/>
                <w:color w:val="000000" w:themeColor="text1"/>
                <w:sz w:val="20"/>
                <w:szCs w:val="20"/>
                <w:lang w:val="en-GB"/>
              </w:rPr>
              <w:t xml:space="preserve"> liabilities</w:t>
            </w:r>
          </w:p>
          <w:p w:rsidRPr="00D43D39" w:rsidR="0081175C" w:rsidP="00CF2F2B" w:rsidRDefault="002A29E5" w14:paraId="4CD5D462" w14:textId="6D81315A">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The</w:t>
            </w:r>
            <w:r w:rsidRPr="00D43D39" w:rsidR="002E70E6">
              <w:rPr>
                <w:rFonts w:ascii="Times New Roman" w:hAnsi="Times New Roman" w:eastAsia="Cambria" w:cs="Times New Roman"/>
                <w:color w:val="000000" w:themeColor="text1"/>
                <w:spacing w:val="-2"/>
                <w:w w:val="95"/>
                <w:sz w:val="20"/>
                <w:szCs w:val="20"/>
                <w:lang w:val="en-GB"/>
              </w:rPr>
              <w:t xml:space="preserve"> amount of</w:t>
            </w:r>
            <w:r w:rsidRPr="00D43D39">
              <w:rPr>
                <w:rFonts w:ascii="Times New Roman" w:hAnsi="Times New Roman" w:eastAsia="Cambria" w:cs="Times New Roman"/>
                <w:color w:val="000000" w:themeColor="text1"/>
                <w:spacing w:val="-2"/>
                <w:w w:val="95"/>
                <w:sz w:val="20"/>
                <w:szCs w:val="20"/>
                <w:lang w:val="en-GB"/>
              </w:rPr>
              <w:t xml:space="preserve"> liabilities that are not considered financial liabilities in line with applicable accounting framework</w:t>
            </w:r>
            <w:r w:rsidRPr="00D43D39" w:rsidR="00C3490B">
              <w:rPr>
                <w:rFonts w:ascii="Times New Roman" w:hAnsi="Times New Roman" w:eastAsia="Cambria" w:cs="Times New Roman"/>
                <w:color w:val="000000" w:themeColor="text1"/>
                <w:spacing w:val="-2"/>
                <w:w w:val="95"/>
                <w:sz w:val="20"/>
                <w:szCs w:val="20"/>
                <w:lang w:val="en-GB"/>
              </w:rPr>
              <w:t>, such as</w:t>
            </w:r>
            <w:r w:rsidRPr="00D43D39" w:rsidR="0081175C">
              <w:rPr>
                <w:rFonts w:ascii="Times New Roman" w:hAnsi="Times New Roman" w:eastAsia="Cambria" w:cs="Times New Roman"/>
                <w:color w:val="000000" w:themeColor="text1"/>
                <w:spacing w:val="-2"/>
                <w:w w:val="95"/>
                <w:sz w:val="20"/>
                <w:szCs w:val="20"/>
                <w:lang w:val="en-GB"/>
              </w:rPr>
              <w:t xml:space="preserve"> </w:t>
            </w:r>
            <w:r w:rsidRPr="00D43D39" w:rsidR="00C3490B">
              <w:rPr>
                <w:rFonts w:ascii="Times New Roman" w:hAnsi="Times New Roman" w:eastAsia="Cambria" w:cs="Times New Roman"/>
                <w:color w:val="000000" w:themeColor="text1"/>
                <w:spacing w:val="-2"/>
                <w:w w:val="95"/>
                <w:sz w:val="20"/>
                <w:szCs w:val="20"/>
                <w:lang w:val="en-GB"/>
              </w:rPr>
              <w:t>p</w:t>
            </w:r>
            <w:r w:rsidRPr="00D43D39" w:rsidR="0081175C">
              <w:rPr>
                <w:rFonts w:ascii="Times New Roman" w:hAnsi="Times New Roman" w:eastAsia="Cambria" w:cs="Times New Roman"/>
                <w:color w:val="000000" w:themeColor="text1"/>
                <w:spacing w:val="-2"/>
                <w:w w:val="95"/>
                <w:sz w:val="20"/>
                <w:szCs w:val="20"/>
                <w:lang w:val="en-GB"/>
              </w:rPr>
              <w:t>rovisions related to litigations to which the entity is subject</w:t>
            </w:r>
            <w:r w:rsidRPr="00D43D39" w:rsidR="00C3490B">
              <w:rPr>
                <w:rFonts w:ascii="Times New Roman" w:hAnsi="Times New Roman" w:eastAsia="Cambria" w:cs="Times New Roman"/>
                <w:color w:val="000000" w:themeColor="text1"/>
                <w:spacing w:val="-2"/>
                <w:w w:val="95"/>
                <w:sz w:val="20"/>
                <w:szCs w:val="20"/>
                <w:lang w:val="en-GB"/>
              </w:rPr>
              <w:t>.</w:t>
            </w:r>
            <w:r w:rsidRPr="00D43D39" w:rsidR="0081175C">
              <w:rPr>
                <w:rFonts w:ascii="Times New Roman" w:hAnsi="Times New Roman" w:eastAsia="Cambria" w:cs="Times New Roman"/>
                <w:color w:val="000000" w:themeColor="text1"/>
                <w:spacing w:val="-2"/>
                <w:w w:val="95"/>
                <w:sz w:val="20"/>
                <w:szCs w:val="20"/>
                <w:lang w:val="en-GB"/>
              </w:rPr>
              <w:t xml:space="preserve"> </w:t>
            </w:r>
          </w:p>
        </w:tc>
      </w:tr>
      <w:tr w:rsidRPr="00D43D39" w:rsidR="00D22EB0" w:rsidTr="005F5507" w14:paraId="3FE978C6"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6A881AF1"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400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027E7994"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Residual</w:t>
            </w:r>
            <w:r w:rsidRPr="00D43D39">
              <w:rPr>
                <w:rFonts w:ascii="Times New Roman" w:hAnsi="Times New Roman" w:cs="Times New Roman"/>
                <w:b/>
                <w:bCs/>
                <w:color w:val="000000" w:themeColor="text1"/>
                <w:sz w:val="20"/>
                <w:szCs w:val="20"/>
                <w:lang w:val="en-GB"/>
              </w:rPr>
              <w:t xml:space="preserve"> liabilities</w:t>
            </w:r>
          </w:p>
          <w:p w:rsidRPr="00D43D39" w:rsidR="0081175C" w:rsidP="00C3490B" w:rsidRDefault="00E44C62" w14:paraId="490AD711" w14:textId="4877807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Amount of </w:t>
            </w:r>
            <w:r w:rsidRPr="00D43D39" w:rsidR="0081175C">
              <w:rPr>
                <w:rFonts w:ascii="Times New Roman" w:hAnsi="Times New Roman" w:eastAsia="Cambria" w:cs="Times New Roman"/>
                <w:color w:val="000000" w:themeColor="text1"/>
                <w:spacing w:val="-2"/>
                <w:w w:val="95"/>
                <w:sz w:val="20"/>
                <w:szCs w:val="20"/>
                <w:lang w:val="en-GB"/>
              </w:rPr>
              <w:t>liabilit</w:t>
            </w:r>
            <w:r w:rsidRPr="00D43D39">
              <w:rPr>
                <w:rFonts w:ascii="Times New Roman" w:hAnsi="Times New Roman" w:eastAsia="Cambria" w:cs="Times New Roman"/>
                <w:color w:val="000000" w:themeColor="text1"/>
                <w:spacing w:val="-2"/>
                <w:w w:val="95"/>
                <w:sz w:val="20"/>
                <w:szCs w:val="20"/>
                <w:lang w:val="en-GB"/>
              </w:rPr>
              <w:t>ies that is</w:t>
            </w:r>
            <w:r w:rsidRPr="00D43D39" w:rsidR="0081175C">
              <w:rPr>
                <w:rFonts w:ascii="Times New Roman" w:hAnsi="Times New Roman" w:eastAsia="Cambria" w:cs="Times New Roman"/>
                <w:color w:val="000000" w:themeColor="text1"/>
                <w:spacing w:val="-2"/>
                <w:w w:val="95"/>
                <w:sz w:val="20"/>
                <w:szCs w:val="20"/>
                <w:lang w:val="en-GB"/>
              </w:rPr>
              <w:t xml:space="preserve"> not reported in </w:t>
            </w:r>
            <w:r w:rsidRPr="00D43D39" w:rsidR="00C3490B">
              <w:rPr>
                <w:rFonts w:ascii="Times New Roman" w:hAnsi="Times New Roman" w:eastAsia="Cambria" w:cs="Times New Roman"/>
                <w:color w:val="000000" w:themeColor="text1"/>
                <w:spacing w:val="-2"/>
                <w:w w:val="95"/>
                <w:sz w:val="20"/>
                <w:szCs w:val="20"/>
                <w:lang w:val="en-GB"/>
              </w:rPr>
              <w:t>rows</w:t>
            </w:r>
            <w:r w:rsidRPr="00D43D39" w:rsidR="0081175C">
              <w:rPr>
                <w:rFonts w:ascii="Times New Roman" w:hAnsi="Times New Roman" w:eastAsia="Cambria" w:cs="Times New Roman"/>
                <w:color w:val="000000" w:themeColor="text1"/>
                <w:spacing w:val="-2"/>
                <w:w w:val="95"/>
                <w:sz w:val="20"/>
                <w:szCs w:val="20"/>
                <w:lang w:val="en-GB"/>
              </w:rPr>
              <w:t xml:space="preserve"> </w:t>
            </w:r>
            <w:r w:rsidRPr="00D43D39" w:rsidR="005318AE">
              <w:rPr>
                <w:rFonts w:ascii="Times New Roman" w:hAnsi="Times New Roman" w:eastAsia="Cambria" w:cs="Times New Roman"/>
                <w:color w:val="000000" w:themeColor="text1"/>
                <w:spacing w:val="-2"/>
                <w:w w:val="95"/>
                <w:sz w:val="20"/>
                <w:szCs w:val="20"/>
                <w:lang w:val="en-GB"/>
              </w:rPr>
              <w:t>0</w:t>
            </w:r>
            <w:r w:rsidRPr="00D43D39" w:rsidR="0081175C">
              <w:rPr>
                <w:rFonts w:ascii="Times New Roman" w:hAnsi="Times New Roman" w:eastAsia="Cambria" w:cs="Times New Roman"/>
                <w:color w:val="000000" w:themeColor="text1"/>
                <w:spacing w:val="-2"/>
                <w:w w:val="95"/>
                <w:sz w:val="20"/>
                <w:szCs w:val="20"/>
                <w:lang w:val="en-GB"/>
              </w:rPr>
              <w:t xml:space="preserve">100 to </w:t>
            </w:r>
            <w:r w:rsidRPr="00D43D39" w:rsidR="005318AE">
              <w:rPr>
                <w:rFonts w:ascii="Times New Roman" w:hAnsi="Times New Roman" w:eastAsia="Cambria" w:cs="Times New Roman"/>
                <w:color w:val="000000" w:themeColor="text1"/>
                <w:spacing w:val="-2"/>
                <w:w w:val="95"/>
                <w:sz w:val="20"/>
                <w:szCs w:val="20"/>
                <w:lang w:val="en-GB"/>
              </w:rPr>
              <w:t>0</w:t>
            </w:r>
            <w:r w:rsidRPr="00D43D39" w:rsidR="0081175C">
              <w:rPr>
                <w:rFonts w:ascii="Times New Roman" w:hAnsi="Times New Roman" w:eastAsia="Cambria" w:cs="Times New Roman"/>
                <w:color w:val="000000" w:themeColor="text1"/>
                <w:spacing w:val="-2"/>
                <w:w w:val="95"/>
                <w:sz w:val="20"/>
                <w:szCs w:val="20"/>
                <w:lang w:val="en-GB"/>
              </w:rPr>
              <w:t xml:space="preserve">390. </w:t>
            </w:r>
          </w:p>
        </w:tc>
      </w:tr>
      <w:tr w:rsidRPr="00D43D39" w:rsidR="00D22EB0" w:rsidTr="005F5507" w14:paraId="6B7DB00F"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7ACB2D5A"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500</w:t>
            </w:r>
          </w:p>
        </w:tc>
        <w:tc>
          <w:tcPr>
            <w:tcW w:w="8121" w:type="dxa"/>
            <w:tcBorders>
              <w:top w:val="single" w:color="1A171C" w:sz="4" w:space="0"/>
              <w:left w:val="single" w:color="1A171C" w:sz="4" w:space="0"/>
              <w:bottom w:val="single" w:color="1A171C" w:sz="4" w:space="0"/>
              <w:right w:val="nil"/>
            </w:tcBorders>
            <w:vAlign w:val="center"/>
          </w:tcPr>
          <w:p w:rsidRPr="00D43D39" w:rsidR="00C3490B" w:rsidP="00FE3E96" w:rsidRDefault="0081175C" w14:paraId="5F97C556" w14:textId="77777777">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 xml:space="preserve">Own </w:t>
            </w:r>
            <w:r w:rsidRPr="00D43D39">
              <w:rPr>
                <w:rFonts w:ascii="Times New Roman" w:hAnsi="Times New Roman" w:cs="Times New Roman"/>
                <w:b/>
                <w:color w:val="000000" w:themeColor="text1"/>
                <w:spacing w:val="-2"/>
                <w:w w:val="95"/>
                <w:sz w:val="20"/>
                <w:szCs w:val="20"/>
                <w:lang w:val="en-GB"/>
              </w:rPr>
              <w:t>funds</w:t>
            </w:r>
          </w:p>
          <w:p w:rsidRPr="00D43D39" w:rsidR="0081175C" w:rsidP="00FE3E96" w:rsidRDefault="00C3490B" w14:paraId="5C7A66F5"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Articles 4(1)(118) and 72 of </w:t>
            </w:r>
            <w:r w:rsidRPr="00D43D39" w:rsidR="00063EEC">
              <w:rPr>
                <w:rFonts w:ascii="Times New Roman" w:hAnsi="Times New Roman" w:eastAsia="Cambria" w:cs="Times New Roman"/>
                <w:color w:val="000000" w:themeColor="text1"/>
                <w:spacing w:val="-2"/>
                <w:w w:val="95"/>
                <w:sz w:val="20"/>
                <w:szCs w:val="20"/>
                <w:lang w:val="en-GB"/>
              </w:rPr>
              <w:t>Regulation (EU) No 575/2013</w:t>
            </w:r>
          </w:p>
          <w:p w:rsidRPr="00D43D39" w:rsidR="00C62EEE" w:rsidP="00FE3E96" w:rsidRDefault="00C62EEE" w14:paraId="5ECCA25D" w14:textId="438D4A99">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Same definition as COREP (OF): {C 01.00;010;010}</w:t>
            </w:r>
          </w:p>
        </w:tc>
      </w:tr>
      <w:tr w:rsidRPr="00D43D39" w:rsidR="00D22EB0" w:rsidTr="005F5507" w14:paraId="6DE55299"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4FD82D54"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510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334FCF5A"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Common</w:t>
            </w:r>
            <w:r w:rsidRPr="00D43D39">
              <w:rPr>
                <w:rFonts w:ascii="Times New Roman" w:hAnsi="Times New Roman" w:cs="Times New Roman"/>
                <w:b/>
                <w:bCs/>
                <w:color w:val="000000" w:themeColor="text1"/>
                <w:sz w:val="20"/>
                <w:szCs w:val="20"/>
                <w:lang w:val="en-GB"/>
              </w:rPr>
              <w:t xml:space="preserve"> Equity Tier 1 Capital</w:t>
            </w:r>
          </w:p>
          <w:p w:rsidRPr="00D43D39" w:rsidR="00C62EEE" w:rsidP="00C3490B" w:rsidRDefault="00C3490B" w14:paraId="17D26F6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Article</w:t>
            </w:r>
            <w:r w:rsidRPr="00D43D39" w:rsidR="0081175C">
              <w:rPr>
                <w:rFonts w:ascii="Times New Roman" w:hAnsi="Times New Roman" w:eastAsia="Cambria" w:cs="Times New Roman"/>
                <w:color w:val="000000" w:themeColor="text1"/>
                <w:spacing w:val="-2"/>
                <w:w w:val="95"/>
                <w:sz w:val="20"/>
                <w:szCs w:val="20"/>
                <w:lang w:val="en-GB"/>
              </w:rPr>
              <w:t xml:space="preserve"> 50 of </w:t>
            </w:r>
            <w:r w:rsidRPr="00D43D39" w:rsidR="00063EEC">
              <w:rPr>
                <w:rFonts w:ascii="Times New Roman" w:hAnsi="Times New Roman" w:eastAsia="Cambria" w:cs="Times New Roman"/>
                <w:color w:val="000000" w:themeColor="text1"/>
                <w:spacing w:val="-2"/>
                <w:w w:val="95"/>
                <w:sz w:val="20"/>
                <w:szCs w:val="20"/>
                <w:lang w:val="en-GB"/>
              </w:rPr>
              <w:t>Regulation (EU) No 575/2013</w:t>
            </w:r>
          </w:p>
          <w:p w:rsidRPr="00D43D39" w:rsidR="0081175C" w:rsidP="00C62EEE" w:rsidRDefault="00C62EEE" w14:paraId="7F07EB93" w14:textId="47DA9FE5">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Same definition as</w:t>
            </w:r>
            <w:r w:rsidRPr="00D43D39" w:rsidR="0081175C">
              <w:rPr>
                <w:rFonts w:ascii="Times New Roman" w:hAnsi="Times New Roman" w:eastAsia="Cambria" w:cs="Times New Roman"/>
                <w:color w:val="000000" w:themeColor="text1"/>
                <w:spacing w:val="-2"/>
                <w:w w:val="95"/>
                <w:sz w:val="20"/>
                <w:szCs w:val="20"/>
                <w:lang w:val="en-GB"/>
              </w:rPr>
              <w:t xml:space="preserve"> COREP</w:t>
            </w:r>
            <w:r w:rsidRPr="00D43D39">
              <w:rPr>
                <w:rFonts w:ascii="Times New Roman" w:hAnsi="Times New Roman" w:eastAsia="Cambria" w:cs="Times New Roman"/>
                <w:color w:val="000000" w:themeColor="text1"/>
                <w:spacing w:val="-2"/>
                <w:w w:val="95"/>
                <w:sz w:val="20"/>
                <w:szCs w:val="20"/>
                <w:lang w:val="en-GB"/>
              </w:rPr>
              <w:t xml:space="preserve"> (OF): {</w:t>
            </w:r>
            <w:r w:rsidRPr="00D43D39" w:rsidR="0081175C">
              <w:rPr>
                <w:rFonts w:ascii="Times New Roman" w:hAnsi="Times New Roman" w:eastAsia="Cambria" w:cs="Times New Roman"/>
                <w:color w:val="000000" w:themeColor="text1"/>
                <w:spacing w:val="-2"/>
                <w:w w:val="95"/>
                <w:sz w:val="20"/>
                <w:szCs w:val="20"/>
                <w:lang w:val="en-GB"/>
              </w:rPr>
              <w:t>C</w:t>
            </w:r>
            <w:r w:rsidRPr="00D43D39">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01.00</w:t>
            </w:r>
            <w:r w:rsidRPr="00D43D39">
              <w:rPr>
                <w:rFonts w:ascii="Times New Roman" w:hAnsi="Times New Roman" w:eastAsia="Cambria" w:cs="Times New Roman"/>
                <w:color w:val="000000" w:themeColor="text1"/>
                <w:spacing w:val="-2"/>
                <w:w w:val="95"/>
                <w:sz w:val="20"/>
                <w:szCs w:val="20"/>
                <w:lang w:val="en-GB"/>
              </w:rPr>
              <w:t>;</w:t>
            </w:r>
            <w:r w:rsidRPr="00D43D39" w:rsidR="0081175C">
              <w:rPr>
                <w:rFonts w:ascii="Times New Roman" w:hAnsi="Times New Roman" w:eastAsia="Cambria" w:cs="Times New Roman"/>
                <w:color w:val="000000" w:themeColor="text1"/>
                <w:spacing w:val="-2"/>
                <w:w w:val="95"/>
                <w:sz w:val="20"/>
                <w:szCs w:val="20"/>
                <w:lang w:val="en-GB"/>
              </w:rPr>
              <w:t>020</w:t>
            </w:r>
            <w:r w:rsidRPr="00D43D39">
              <w:rPr>
                <w:rFonts w:ascii="Times New Roman" w:hAnsi="Times New Roman" w:eastAsia="Cambria" w:cs="Times New Roman"/>
                <w:color w:val="000000" w:themeColor="text1"/>
                <w:spacing w:val="-2"/>
                <w:w w:val="95"/>
                <w:sz w:val="20"/>
                <w:szCs w:val="20"/>
                <w:lang w:val="en-GB"/>
              </w:rPr>
              <w:t>;</w:t>
            </w:r>
            <w:r w:rsidRPr="00D43D39" w:rsidR="0081175C">
              <w:rPr>
                <w:rFonts w:ascii="Times New Roman" w:hAnsi="Times New Roman" w:eastAsia="Cambria" w:cs="Times New Roman"/>
                <w:color w:val="000000" w:themeColor="text1"/>
                <w:spacing w:val="-2"/>
                <w:w w:val="95"/>
                <w:sz w:val="20"/>
                <w:szCs w:val="20"/>
                <w:lang w:val="en-GB"/>
              </w:rPr>
              <w:t>010</w:t>
            </w:r>
            <w:r w:rsidRPr="00D43D39">
              <w:rPr>
                <w:rFonts w:ascii="Times New Roman" w:hAnsi="Times New Roman" w:eastAsia="Cambria" w:cs="Times New Roman"/>
                <w:color w:val="000000" w:themeColor="text1"/>
                <w:spacing w:val="-2"/>
                <w:w w:val="95"/>
                <w:sz w:val="20"/>
                <w:szCs w:val="20"/>
                <w:lang w:val="en-GB"/>
              </w:rPr>
              <w:t>}</w:t>
            </w:r>
          </w:p>
        </w:tc>
      </w:tr>
      <w:tr w:rsidRPr="00D43D39" w:rsidR="00D22EB0" w:rsidTr="005F5507" w14:paraId="524B3A9C"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119E9C83"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511</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0CE71AD8"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Of which: capital instruments/share capital</w:t>
            </w:r>
          </w:p>
          <w:p w:rsidRPr="00D43D39" w:rsidR="0081175C" w:rsidP="00367C1E" w:rsidRDefault="00FA24AE" w14:paraId="0C61E43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w:t>
            </w:r>
            <w:r w:rsidRPr="00D43D39" w:rsidR="0081175C">
              <w:rPr>
                <w:rFonts w:ascii="Times New Roman" w:hAnsi="Times New Roman" w:eastAsia="Cambria" w:cs="Times New Roman"/>
                <w:color w:val="000000" w:themeColor="text1"/>
                <w:spacing w:val="-2"/>
                <w:w w:val="95"/>
                <w:sz w:val="20"/>
                <w:szCs w:val="20"/>
                <w:lang w:val="en-GB"/>
              </w:rPr>
              <w:t>egal instruments that constitute (part of) CET1 capital in the form of capital instruments/share capital</w:t>
            </w:r>
          </w:p>
          <w:p w:rsidRPr="005F5507" w:rsidR="00D91315" w:rsidP="00367C1E" w:rsidRDefault="00D91315" w14:paraId="18FD8E5D" w14:textId="2B88C2C1">
            <w:pPr>
              <w:pStyle w:val="TableParagraph"/>
              <w:spacing w:before="108"/>
              <w:ind w:left="85"/>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T</w:t>
            </w:r>
            <w:r w:rsidRPr="005F5507">
              <w:rPr>
                <w:rFonts w:ascii="Times New Roman" w:hAnsi="Times New Roman" w:cs="Times New Roman"/>
                <w:color w:val="000000" w:themeColor="text1"/>
                <w:sz w:val="20"/>
                <w:szCs w:val="20"/>
                <w:lang w:val="en-GB"/>
              </w:rPr>
              <w:t>he carrying amount</w:t>
            </w:r>
            <w:r w:rsidRPr="00D43D39">
              <w:rPr>
                <w:rFonts w:ascii="Times New Roman" w:hAnsi="Times New Roman" w:cs="Times New Roman"/>
                <w:color w:val="000000" w:themeColor="text1"/>
                <w:sz w:val="20"/>
                <w:szCs w:val="20"/>
                <w:lang w:val="en-GB"/>
              </w:rPr>
              <w:t xml:space="preserve"> (FINREP F01.03-020-010 + F01.03-040-010)</w:t>
            </w:r>
            <w:r w:rsidRPr="005F5507">
              <w:rPr>
                <w:rFonts w:ascii="Times New Roman" w:hAnsi="Times New Roman" w:cs="Times New Roman"/>
                <w:color w:val="000000" w:themeColor="text1"/>
                <w:sz w:val="20"/>
                <w:szCs w:val="20"/>
                <w:lang w:val="en-GB"/>
              </w:rPr>
              <w:t xml:space="preserve"> </w:t>
            </w:r>
            <w:r w:rsidR="00285FF6">
              <w:rPr>
                <w:rFonts w:ascii="Times New Roman" w:hAnsi="Times New Roman" w:cs="Times New Roman"/>
                <w:color w:val="000000" w:themeColor="text1"/>
                <w:sz w:val="20"/>
                <w:szCs w:val="20"/>
                <w:lang w:val="en-GB"/>
              </w:rPr>
              <w:t>is</w:t>
            </w:r>
            <w:r w:rsidRPr="005F5507">
              <w:rPr>
                <w:rFonts w:ascii="Times New Roman" w:hAnsi="Times New Roman" w:cs="Times New Roman"/>
                <w:color w:val="000000" w:themeColor="text1"/>
                <w:sz w:val="20"/>
                <w:szCs w:val="20"/>
                <w:lang w:val="en-GB"/>
              </w:rPr>
              <w:t xml:space="preserve"> understood as the face value of the instruments, whereas the outstanding amount represents the residual claim of shares on total accounting equity, i.e. including the reserves of the entity/group.</w:t>
            </w:r>
          </w:p>
        </w:tc>
      </w:tr>
      <w:tr w:rsidRPr="00285FF6" w:rsidR="00D22EB0" w:rsidTr="005F5507" w14:paraId="1CF7280B"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2B144EAF"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512</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451B6B83"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Of </w:t>
            </w:r>
            <w:r w:rsidRPr="00D43D39">
              <w:rPr>
                <w:rFonts w:ascii="Times New Roman" w:hAnsi="Times New Roman" w:cs="Times New Roman"/>
                <w:b/>
                <w:color w:val="000000" w:themeColor="text1"/>
                <w:spacing w:val="-2"/>
                <w:w w:val="95"/>
                <w:sz w:val="20"/>
                <w:szCs w:val="20"/>
                <w:lang w:val="en-GB"/>
              </w:rPr>
              <w:t>which</w:t>
            </w:r>
            <w:r w:rsidRPr="00D43D39">
              <w:rPr>
                <w:rFonts w:ascii="Times New Roman" w:hAnsi="Times New Roman" w:cs="Times New Roman"/>
                <w:b/>
                <w:bCs/>
                <w:color w:val="000000" w:themeColor="text1"/>
                <w:sz w:val="20"/>
                <w:szCs w:val="20"/>
                <w:lang w:val="en-GB"/>
              </w:rPr>
              <w:t>: instruments ranking pari passu with ordinary shares</w:t>
            </w:r>
          </w:p>
          <w:p w:rsidRPr="00D43D39" w:rsidR="0081175C" w:rsidP="00367C1E" w:rsidRDefault="00FA24AE" w14:paraId="47F8558F" w14:textId="38A4384F">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L</w:t>
            </w:r>
            <w:r w:rsidRPr="00D43D39" w:rsidR="0081175C">
              <w:rPr>
                <w:rFonts w:ascii="Times New Roman" w:hAnsi="Times New Roman" w:eastAsia="Cambria" w:cs="Times New Roman"/>
                <w:color w:val="000000" w:themeColor="text1"/>
                <w:spacing w:val="-2"/>
                <w:w w:val="95"/>
                <w:sz w:val="20"/>
                <w:szCs w:val="20"/>
                <w:lang w:val="en-GB"/>
              </w:rPr>
              <w:t>egal instruments that constitute (part of) CET1 own funds in the form of instruments other than capital instruments/share capital, but ranking pari passu with this category</w:t>
            </w:r>
            <w:r w:rsidRPr="00D43D39" w:rsidR="00C87DA4">
              <w:rPr>
                <w:rFonts w:ascii="Times New Roman" w:hAnsi="Times New Roman" w:eastAsia="Cambria" w:cs="Times New Roman"/>
                <w:color w:val="000000" w:themeColor="text1"/>
                <w:spacing w:val="-2"/>
                <w:w w:val="95"/>
                <w:sz w:val="20"/>
                <w:szCs w:val="20"/>
                <w:lang w:val="en-GB"/>
              </w:rPr>
              <w:t>.</w:t>
            </w:r>
            <w:r w:rsidRPr="005F5507" w:rsidR="00C87DA4">
              <w:rPr>
                <w:rFonts w:ascii="Times New Roman" w:hAnsi="Times New Roman" w:cs="Times New Roman"/>
              </w:rPr>
              <w:t xml:space="preserve"> </w:t>
            </w:r>
            <w:bookmarkStart w:name="_Hlk170122776" w:id="56"/>
            <w:r w:rsidRPr="00D43D39" w:rsidR="00C87DA4">
              <w:rPr>
                <w:rFonts w:ascii="Times New Roman" w:hAnsi="Times New Roman" w:eastAsia="Cambria" w:cs="Times New Roman"/>
                <w:color w:val="000000" w:themeColor="text1"/>
                <w:spacing w:val="-2"/>
                <w:w w:val="95"/>
                <w:sz w:val="20"/>
                <w:szCs w:val="20"/>
                <w:lang w:val="en-GB"/>
              </w:rPr>
              <w:t xml:space="preserve">Retained earnings and Reserves </w:t>
            </w:r>
            <w:r w:rsidR="00285FF6">
              <w:rPr>
                <w:rFonts w:ascii="Times New Roman" w:hAnsi="Times New Roman" w:eastAsia="Cambria" w:cs="Times New Roman"/>
                <w:color w:val="000000" w:themeColor="text1"/>
                <w:spacing w:val="-2"/>
                <w:w w:val="95"/>
                <w:sz w:val="20"/>
                <w:szCs w:val="20"/>
                <w:lang w:val="en-GB"/>
              </w:rPr>
              <w:t>are</w:t>
            </w:r>
            <w:r w:rsidRPr="00D43D39" w:rsidR="00C87DA4">
              <w:rPr>
                <w:rFonts w:ascii="Times New Roman" w:hAnsi="Times New Roman" w:eastAsia="Cambria" w:cs="Times New Roman"/>
                <w:color w:val="000000" w:themeColor="text1"/>
                <w:spacing w:val="-2"/>
                <w:w w:val="95"/>
                <w:sz w:val="20"/>
                <w:szCs w:val="20"/>
                <w:lang w:val="en-GB"/>
              </w:rPr>
              <w:t xml:space="preserve"> not</w:t>
            </w:r>
            <w:r w:rsidR="00285FF6">
              <w:rPr>
                <w:rFonts w:ascii="Times New Roman" w:hAnsi="Times New Roman" w:eastAsia="Cambria" w:cs="Times New Roman"/>
                <w:color w:val="000000" w:themeColor="text1"/>
                <w:spacing w:val="-2"/>
                <w:w w:val="95"/>
                <w:sz w:val="20"/>
                <w:szCs w:val="20"/>
                <w:lang w:val="en-GB"/>
              </w:rPr>
              <w:t xml:space="preserve"> to</w:t>
            </w:r>
            <w:r w:rsidRPr="00D43D39" w:rsidR="00C87DA4">
              <w:rPr>
                <w:rFonts w:ascii="Times New Roman" w:hAnsi="Times New Roman" w:eastAsia="Cambria" w:cs="Times New Roman"/>
                <w:color w:val="000000" w:themeColor="text1"/>
                <w:spacing w:val="-2"/>
                <w:w w:val="95"/>
                <w:sz w:val="20"/>
                <w:szCs w:val="20"/>
                <w:lang w:val="en-GB"/>
              </w:rPr>
              <w:t xml:space="preserve"> be reported in this row.</w:t>
            </w:r>
            <w:bookmarkEnd w:id="56"/>
          </w:p>
        </w:tc>
      </w:tr>
      <w:tr w:rsidRPr="00D43D39" w:rsidR="00D22EB0" w:rsidTr="005F5507" w14:paraId="5F6E7305"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50C7E059"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520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1EF69292"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Additional</w:t>
            </w:r>
            <w:r w:rsidRPr="00D43D39">
              <w:rPr>
                <w:rFonts w:ascii="Times New Roman" w:hAnsi="Times New Roman" w:cs="Times New Roman"/>
                <w:b/>
                <w:bCs/>
                <w:color w:val="000000" w:themeColor="text1"/>
                <w:sz w:val="20"/>
                <w:szCs w:val="20"/>
                <w:lang w:val="en-GB"/>
              </w:rPr>
              <w:t xml:space="preserve"> Tier 1 capital</w:t>
            </w:r>
          </w:p>
          <w:p w:rsidRPr="00D43D39" w:rsidR="00C62EEE" w:rsidP="00367C1E" w:rsidRDefault="00C62EEE" w14:paraId="7461B584"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Article 61 of </w:t>
            </w:r>
            <w:r w:rsidRPr="00D43D39" w:rsidR="00063EEC">
              <w:rPr>
                <w:rFonts w:ascii="Times New Roman" w:hAnsi="Times New Roman" w:eastAsia="Cambria" w:cs="Times New Roman"/>
                <w:color w:val="000000" w:themeColor="text1"/>
                <w:spacing w:val="-2"/>
                <w:w w:val="95"/>
                <w:sz w:val="20"/>
                <w:szCs w:val="20"/>
                <w:lang w:val="en-GB"/>
              </w:rPr>
              <w:t>Regulation (EU) No 575/2013</w:t>
            </w:r>
          </w:p>
          <w:p w:rsidRPr="00D43D39" w:rsidR="0081175C" w:rsidP="00C62EEE" w:rsidRDefault="00C62EEE" w14:paraId="637D77EC" w14:textId="6346C4FF">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Same definition as </w:t>
            </w:r>
            <w:r w:rsidRPr="00D43D39" w:rsidR="0081175C">
              <w:rPr>
                <w:rFonts w:ascii="Times New Roman" w:hAnsi="Times New Roman" w:eastAsia="Cambria" w:cs="Times New Roman"/>
                <w:color w:val="000000" w:themeColor="text1"/>
                <w:spacing w:val="-2"/>
                <w:w w:val="95"/>
                <w:sz w:val="20"/>
                <w:szCs w:val="20"/>
                <w:lang w:val="en-GB"/>
              </w:rPr>
              <w:t>COREP</w:t>
            </w:r>
            <w:r w:rsidRPr="00D43D39">
              <w:rPr>
                <w:rFonts w:ascii="Times New Roman" w:hAnsi="Times New Roman" w:eastAsia="Cambria" w:cs="Times New Roman"/>
                <w:color w:val="000000" w:themeColor="text1"/>
                <w:spacing w:val="-2"/>
                <w:w w:val="95"/>
                <w:sz w:val="20"/>
                <w:szCs w:val="20"/>
                <w:lang w:val="en-GB"/>
              </w:rPr>
              <w:t xml:space="preserve"> (OF):</w:t>
            </w:r>
            <w:r w:rsidRPr="00D43D39" w:rsidR="0081175C">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w:t>
            </w:r>
            <w:r w:rsidRPr="00D43D39" w:rsidR="0081175C">
              <w:rPr>
                <w:rFonts w:ascii="Times New Roman" w:hAnsi="Times New Roman" w:eastAsia="Cambria" w:cs="Times New Roman"/>
                <w:color w:val="000000" w:themeColor="text1"/>
                <w:spacing w:val="-2"/>
                <w:w w:val="95"/>
                <w:sz w:val="20"/>
                <w:szCs w:val="20"/>
                <w:lang w:val="en-GB"/>
              </w:rPr>
              <w:t>C</w:t>
            </w:r>
            <w:r w:rsidRPr="00D43D39">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01.00</w:t>
            </w:r>
            <w:r w:rsidRPr="00D43D39">
              <w:rPr>
                <w:rFonts w:ascii="Times New Roman" w:hAnsi="Times New Roman" w:eastAsia="Cambria" w:cs="Times New Roman"/>
                <w:color w:val="000000" w:themeColor="text1"/>
                <w:spacing w:val="-2"/>
                <w:w w:val="95"/>
                <w:sz w:val="20"/>
                <w:szCs w:val="20"/>
                <w:lang w:val="en-GB"/>
              </w:rPr>
              <w:t>;</w:t>
            </w:r>
            <w:r w:rsidRPr="00D43D39" w:rsidR="0081175C">
              <w:rPr>
                <w:rFonts w:ascii="Times New Roman" w:hAnsi="Times New Roman" w:eastAsia="Cambria" w:cs="Times New Roman"/>
                <w:color w:val="000000" w:themeColor="text1"/>
                <w:spacing w:val="-2"/>
                <w:w w:val="95"/>
                <w:sz w:val="20"/>
                <w:szCs w:val="20"/>
                <w:lang w:val="en-GB"/>
              </w:rPr>
              <w:t>530</w:t>
            </w:r>
            <w:r w:rsidRPr="00D43D39">
              <w:rPr>
                <w:rFonts w:ascii="Times New Roman" w:hAnsi="Times New Roman" w:eastAsia="Cambria" w:cs="Times New Roman"/>
                <w:color w:val="000000" w:themeColor="text1"/>
                <w:spacing w:val="-2"/>
                <w:w w:val="95"/>
                <w:sz w:val="20"/>
                <w:szCs w:val="20"/>
                <w:lang w:val="en-GB"/>
              </w:rPr>
              <w:t>;</w:t>
            </w:r>
            <w:r w:rsidRPr="00D43D39" w:rsidR="0081175C">
              <w:rPr>
                <w:rFonts w:ascii="Times New Roman" w:hAnsi="Times New Roman" w:eastAsia="Cambria" w:cs="Times New Roman"/>
                <w:color w:val="000000" w:themeColor="text1"/>
                <w:spacing w:val="-2"/>
                <w:w w:val="95"/>
                <w:sz w:val="20"/>
                <w:szCs w:val="20"/>
                <w:lang w:val="en-GB"/>
              </w:rPr>
              <w:t>010</w:t>
            </w:r>
            <w:r w:rsidRPr="00D43D39">
              <w:rPr>
                <w:rFonts w:ascii="Times New Roman" w:hAnsi="Times New Roman" w:eastAsia="Cambria" w:cs="Times New Roman"/>
                <w:color w:val="000000" w:themeColor="text1"/>
                <w:spacing w:val="-2"/>
                <w:w w:val="95"/>
                <w:sz w:val="20"/>
                <w:szCs w:val="20"/>
                <w:lang w:val="en-GB"/>
              </w:rPr>
              <w:t>}</w:t>
            </w:r>
          </w:p>
        </w:tc>
      </w:tr>
      <w:tr w:rsidRPr="00D43D39" w:rsidR="00D22EB0" w:rsidTr="005F5507" w14:paraId="053E09ED"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2B3F824D"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521</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3E7684A3"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Of which: (</w:t>
            </w:r>
            <w:r w:rsidRPr="00D43D39">
              <w:rPr>
                <w:rFonts w:ascii="Times New Roman" w:hAnsi="Times New Roman" w:cs="Times New Roman"/>
                <w:b/>
                <w:color w:val="000000" w:themeColor="text1"/>
                <w:spacing w:val="-2"/>
                <w:w w:val="95"/>
                <w:sz w:val="20"/>
                <w:szCs w:val="20"/>
                <w:lang w:val="en-GB"/>
              </w:rPr>
              <w:t>part</w:t>
            </w:r>
            <w:r w:rsidRPr="00D43D39">
              <w:rPr>
                <w:rFonts w:ascii="Times New Roman" w:hAnsi="Times New Roman" w:cs="Times New Roman"/>
                <w:b/>
                <w:bCs/>
                <w:color w:val="000000" w:themeColor="text1"/>
                <w:sz w:val="20"/>
                <w:szCs w:val="20"/>
                <w:lang w:val="en-GB"/>
              </w:rPr>
              <w:t xml:space="preserve"> of) subordinated liabilities recognised as own funds</w:t>
            </w:r>
          </w:p>
          <w:p w:rsidRPr="00D43D39" w:rsidR="0081175C" w:rsidP="00FA24AE" w:rsidRDefault="00FA24AE" w14:paraId="63CB31B0"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L</w:t>
            </w:r>
            <w:r w:rsidRPr="00D43D39" w:rsidR="0081175C">
              <w:rPr>
                <w:rFonts w:ascii="Times New Roman" w:hAnsi="Times New Roman" w:eastAsia="Cambria" w:cs="Times New Roman"/>
                <w:color w:val="000000" w:themeColor="text1"/>
                <w:spacing w:val="-2"/>
                <w:w w:val="95"/>
                <w:sz w:val="20"/>
                <w:szCs w:val="20"/>
                <w:lang w:val="en-GB"/>
              </w:rPr>
              <w:t>egal instruments that constitute (part of) Additional Tier 1.</w:t>
            </w:r>
          </w:p>
        </w:tc>
      </w:tr>
      <w:tr w:rsidRPr="00D43D39" w:rsidR="00D22EB0" w:rsidTr="005F5507" w14:paraId="47CB594E"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380F8C89"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530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478F2987"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Tier 2 </w:t>
            </w:r>
            <w:r w:rsidRPr="00D43D39">
              <w:rPr>
                <w:rFonts w:ascii="Times New Roman" w:hAnsi="Times New Roman" w:cs="Times New Roman"/>
                <w:b/>
                <w:color w:val="000000" w:themeColor="text1"/>
                <w:spacing w:val="-2"/>
                <w:w w:val="95"/>
                <w:sz w:val="20"/>
                <w:szCs w:val="20"/>
                <w:lang w:val="en-GB"/>
              </w:rPr>
              <w:t>Capital</w:t>
            </w:r>
          </w:p>
          <w:p w:rsidRPr="00D43D39" w:rsidR="00C62EEE" w:rsidP="00367C1E" w:rsidRDefault="00FA24AE" w14:paraId="5A38FE0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Article 71 of </w:t>
            </w:r>
            <w:r w:rsidRPr="00D43D39" w:rsidR="00063EEC">
              <w:rPr>
                <w:rFonts w:ascii="Times New Roman" w:hAnsi="Times New Roman" w:eastAsia="Cambria" w:cs="Times New Roman"/>
                <w:color w:val="000000" w:themeColor="text1"/>
                <w:spacing w:val="-2"/>
                <w:w w:val="95"/>
                <w:sz w:val="20"/>
                <w:szCs w:val="20"/>
                <w:lang w:val="en-GB"/>
              </w:rPr>
              <w:t>Regulation (EU) No 575/2013</w:t>
            </w:r>
          </w:p>
          <w:p w:rsidRPr="00D43D39" w:rsidR="0081175C" w:rsidP="00C62EEE" w:rsidRDefault="00C62EEE" w14:paraId="57753DA9" w14:textId="49FBD5F2">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Same definition as </w:t>
            </w:r>
            <w:r w:rsidRPr="00D43D39" w:rsidR="0081175C">
              <w:rPr>
                <w:rFonts w:ascii="Times New Roman" w:hAnsi="Times New Roman" w:eastAsia="Cambria" w:cs="Times New Roman"/>
                <w:color w:val="000000" w:themeColor="text1"/>
                <w:spacing w:val="-2"/>
                <w:w w:val="95"/>
                <w:sz w:val="20"/>
                <w:szCs w:val="20"/>
                <w:lang w:val="en-GB"/>
              </w:rPr>
              <w:t>COREP</w:t>
            </w:r>
            <w:r w:rsidRPr="00D43D39">
              <w:rPr>
                <w:rFonts w:ascii="Times New Roman" w:hAnsi="Times New Roman" w:eastAsia="Cambria" w:cs="Times New Roman"/>
                <w:color w:val="000000" w:themeColor="text1"/>
                <w:spacing w:val="-2"/>
                <w:w w:val="95"/>
                <w:sz w:val="20"/>
                <w:szCs w:val="20"/>
                <w:lang w:val="en-GB"/>
              </w:rPr>
              <w:t xml:space="preserve"> (OF): {</w:t>
            </w:r>
            <w:r w:rsidRPr="00D43D39" w:rsidR="0081175C">
              <w:rPr>
                <w:rFonts w:ascii="Times New Roman" w:hAnsi="Times New Roman" w:eastAsia="Cambria" w:cs="Times New Roman"/>
                <w:color w:val="000000" w:themeColor="text1"/>
                <w:spacing w:val="-2"/>
                <w:w w:val="95"/>
                <w:sz w:val="20"/>
                <w:szCs w:val="20"/>
                <w:lang w:val="en-GB"/>
              </w:rPr>
              <w:t>C</w:t>
            </w:r>
            <w:r w:rsidRPr="00D43D39">
              <w:rPr>
                <w:rFonts w:ascii="Times New Roman" w:hAnsi="Times New Roman" w:eastAsia="Cambria" w:cs="Times New Roman"/>
                <w:color w:val="000000" w:themeColor="text1"/>
                <w:spacing w:val="-2"/>
                <w:w w:val="95"/>
                <w:sz w:val="20"/>
                <w:szCs w:val="20"/>
                <w:lang w:val="en-GB"/>
              </w:rPr>
              <w:t xml:space="preserve"> </w:t>
            </w:r>
            <w:r w:rsidRPr="00D43D39" w:rsidR="0081175C">
              <w:rPr>
                <w:rFonts w:ascii="Times New Roman" w:hAnsi="Times New Roman" w:eastAsia="Cambria" w:cs="Times New Roman"/>
                <w:color w:val="000000" w:themeColor="text1"/>
                <w:spacing w:val="-2"/>
                <w:w w:val="95"/>
                <w:sz w:val="20"/>
                <w:szCs w:val="20"/>
                <w:lang w:val="en-GB"/>
              </w:rPr>
              <w:t>01.00</w:t>
            </w:r>
            <w:r w:rsidRPr="00D43D39">
              <w:rPr>
                <w:rFonts w:ascii="Times New Roman" w:hAnsi="Times New Roman" w:eastAsia="Cambria" w:cs="Times New Roman"/>
                <w:color w:val="000000" w:themeColor="text1"/>
                <w:spacing w:val="-2"/>
                <w:w w:val="95"/>
                <w:sz w:val="20"/>
                <w:szCs w:val="20"/>
                <w:lang w:val="en-GB"/>
              </w:rPr>
              <w:t>;</w:t>
            </w:r>
            <w:r w:rsidRPr="00D43D39" w:rsidR="0081175C">
              <w:rPr>
                <w:rFonts w:ascii="Times New Roman" w:hAnsi="Times New Roman" w:eastAsia="Cambria" w:cs="Times New Roman"/>
                <w:color w:val="000000" w:themeColor="text1"/>
                <w:spacing w:val="-2"/>
                <w:w w:val="95"/>
                <w:sz w:val="20"/>
                <w:szCs w:val="20"/>
                <w:lang w:val="en-GB"/>
              </w:rPr>
              <w:t>750</w:t>
            </w:r>
            <w:r w:rsidRPr="00D43D39">
              <w:rPr>
                <w:rFonts w:ascii="Times New Roman" w:hAnsi="Times New Roman" w:eastAsia="Cambria" w:cs="Times New Roman"/>
                <w:color w:val="000000" w:themeColor="text1"/>
                <w:spacing w:val="-2"/>
                <w:w w:val="95"/>
                <w:sz w:val="20"/>
                <w:szCs w:val="20"/>
                <w:lang w:val="en-GB"/>
              </w:rPr>
              <w:t>;</w:t>
            </w:r>
            <w:r w:rsidRPr="00D43D39" w:rsidR="0081175C">
              <w:rPr>
                <w:rFonts w:ascii="Times New Roman" w:hAnsi="Times New Roman" w:eastAsia="Cambria" w:cs="Times New Roman"/>
                <w:color w:val="000000" w:themeColor="text1"/>
                <w:spacing w:val="-2"/>
                <w:w w:val="95"/>
                <w:sz w:val="20"/>
                <w:szCs w:val="20"/>
                <w:lang w:val="en-GB"/>
              </w:rPr>
              <w:t>010</w:t>
            </w:r>
            <w:r w:rsidRPr="00D43D39">
              <w:rPr>
                <w:rFonts w:ascii="Times New Roman" w:hAnsi="Times New Roman" w:eastAsia="Cambria" w:cs="Times New Roman"/>
                <w:color w:val="000000" w:themeColor="text1"/>
                <w:spacing w:val="-2"/>
                <w:w w:val="95"/>
                <w:sz w:val="20"/>
                <w:szCs w:val="20"/>
                <w:lang w:val="en-GB"/>
              </w:rPr>
              <w:t>}</w:t>
            </w:r>
          </w:p>
        </w:tc>
      </w:tr>
      <w:tr w:rsidRPr="00D43D39" w:rsidR="00D22EB0" w:rsidTr="005F5507" w14:paraId="224A57E3"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5F2DE82A"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531</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7F30837F"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Of which: (part of) subordinated liabilities recognised as own funds</w:t>
            </w:r>
          </w:p>
          <w:p w:rsidRPr="00D43D39" w:rsidR="0081175C" w:rsidP="00367C1E" w:rsidRDefault="0081175C" w14:paraId="0331A317"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This breakdown identifies the legal instruments that constitute (part of) Tier 2 own funds.</w:t>
            </w:r>
          </w:p>
        </w:tc>
      </w:tr>
      <w:tr w:rsidRPr="00D43D39" w:rsidR="00D22EB0" w:rsidTr="005F5507" w14:paraId="107D41AD" w14:textId="77777777">
        <w:tc>
          <w:tcPr>
            <w:tcW w:w="905" w:type="dxa"/>
            <w:tcBorders>
              <w:top w:val="single" w:color="1A171C" w:sz="4" w:space="0"/>
              <w:left w:val="nil"/>
              <w:bottom w:val="single" w:color="1A171C" w:sz="4" w:space="0"/>
              <w:right w:val="single" w:color="1A171C" w:sz="4" w:space="0"/>
            </w:tcBorders>
            <w:vAlign w:val="center"/>
          </w:tcPr>
          <w:p w:rsidRPr="00D43D39" w:rsidR="0081175C" w:rsidP="00367C1E" w:rsidRDefault="00903E0D" w14:paraId="191A7197"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81175C">
              <w:rPr>
                <w:rFonts w:ascii="Times New Roman" w:hAnsi="Times New Roman" w:cs="Times New Roman"/>
                <w:color w:val="000000" w:themeColor="text1"/>
                <w:sz w:val="20"/>
                <w:szCs w:val="20"/>
                <w:lang w:val="en-GB"/>
              </w:rPr>
              <w:t>600</w:t>
            </w:r>
          </w:p>
        </w:tc>
        <w:tc>
          <w:tcPr>
            <w:tcW w:w="8121" w:type="dxa"/>
            <w:tcBorders>
              <w:top w:val="single" w:color="1A171C" w:sz="4" w:space="0"/>
              <w:left w:val="single" w:color="1A171C" w:sz="4" w:space="0"/>
              <w:bottom w:val="single" w:color="1A171C" w:sz="4" w:space="0"/>
              <w:right w:val="nil"/>
            </w:tcBorders>
            <w:vAlign w:val="center"/>
          </w:tcPr>
          <w:p w:rsidRPr="00D43D39" w:rsidR="0081175C" w:rsidP="00367C1E" w:rsidRDefault="0081175C" w14:paraId="26847B5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Total </w:t>
            </w:r>
            <w:r w:rsidRPr="00D43D39">
              <w:rPr>
                <w:rFonts w:ascii="Times New Roman" w:hAnsi="Times New Roman" w:cs="Times New Roman"/>
                <w:b/>
                <w:color w:val="000000" w:themeColor="text1"/>
                <w:spacing w:val="-2"/>
                <w:w w:val="95"/>
                <w:sz w:val="20"/>
                <w:szCs w:val="20"/>
                <w:lang w:val="en-GB"/>
              </w:rPr>
              <w:t>liabilities</w:t>
            </w:r>
            <w:r w:rsidRPr="00D43D39">
              <w:rPr>
                <w:rFonts w:ascii="Times New Roman" w:hAnsi="Times New Roman" w:cs="Times New Roman"/>
                <w:b/>
                <w:bCs/>
                <w:color w:val="000000" w:themeColor="text1"/>
                <w:sz w:val="20"/>
                <w:szCs w:val="20"/>
                <w:lang w:val="en-GB"/>
              </w:rPr>
              <w:t xml:space="preserve"> and own funds including derivative liabilities</w:t>
            </w:r>
          </w:p>
          <w:p w:rsidRPr="00D43D39" w:rsidR="0081175C" w:rsidP="00100FC4" w:rsidRDefault="0081175C" w14:paraId="437C3EAD" w14:textId="4B9A2A6A">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Sum of all the liabilities reported in this template</w:t>
            </w:r>
            <w:r w:rsidRPr="00D43D39" w:rsidR="00FA24AE">
              <w:rPr>
                <w:rFonts w:ascii="Times New Roman" w:hAnsi="Times New Roman" w:eastAsia="Cambria" w:cs="Times New Roman"/>
                <w:color w:val="000000" w:themeColor="text1"/>
                <w:spacing w:val="-2"/>
                <w:w w:val="95"/>
                <w:sz w:val="20"/>
                <w:szCs w:val="20"/>
                <w:lang w:val="en-GB"/>
              </w:rPr>
              <w:t xml:space="preserve"> and</w:t>
            </w:r>
            <w:r w:rsidRPr="00D43D39">
              <w:rPr>
                <w:rFonts w:ascii="Times New Roman" w:hAnsi="Times New Roman" w:eastAsia="Cambria" w:cs="Times New Roman"/>
                <w:color w:val="000000" w:themeColor="text1"/>
                <w:spacing w:val="-2"/>
                <w:w w:val="95"/>
                <w:sz w:val="20"/>
                <w:szCs w:val="20"/>
                <w:lang w:val="en-GB"/>
              </w:rPr>
              <w:t xml:space="preserve"> the amount of regulatory own funds. To this end, all the amounts from the above lines shall be added. With respect to derivatives, the value to be used shall be row </w:t>
            </w:r>
            <w:r w:rsidRPr="00D43D39" w:rsidR="00E21A62">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334 ‘Sum of net liability positions taking into account prudential netting rules'.</w:t>
            </w:r>
          </w:p>
        </w:tc>
      </w:tr>
      <w:tr w:rsidRPr="00D43D39" w:rsidR="5E2F2DB1" w:rsidTr="3BD356C6" w14:paraId="6CCDA831" w14:textId="77777777">
        <w:tc>
          <w:tcPr>
            <w:tcW w:w="905" w:type="dxa"/>
            <w:tcBorders>
              <w:top w:val="single" w:color="1A171C" w:sz="4" w:space="0"/>
              <w:left w:val="nil"/>
              <w:bottom w:val="single" w:color="1A171C" w:sz="4" w:space="0"/>
              <w:right w:val="single" w:color="1A171C" w:sz="4" w:space="0"/>
            </w:tcBorders>
            <w:vAlign w:val="center"/>
          </w:tcPr>
          <w:p w:rsidRPr="00D43D39" w:rsidR="049716C2" w:rsidP="001C34E8" w:rsidRDefault="049716C2" w14:paraId="15925359" w14:textId="0F192B0E">
            <w:pPr>
              <w:pStyle w:val="TableParagrap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0800</w:t>
            </w:r>
          </w:p>
        </w:tc>
        <w:tc>
          <w:tcPr>
            <w:tcW w:w="8121" w:type="dxa"/>
            <w:tcBorders>
              <w:top w:val="single" w:color="1A171C" w:sz="4" w:space="0"/>
              <w:left w:val="single" w:color="1A171C" w:sz="4" w:space="0"/>
              <w:bottom w:val="single" w:color="1A171C" w:sz="4" w:space="0"/>
              <w:right w:val="nil"/>
            </w:tcBorders>
            <w:vAlign w:val="center"/>
          </w:tcPr>
          <w:p w:rsidRPr="00D43D39" w:rsidR="049716C2" w:rsidP="001C34E8" w:rsidRDefault="049716C2" w14:paraId="53E0951F" w14:textId="1DEF9CE8">
            <w:pPr>
              <w:pStyle w:val="TableParagraph"/>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Total Equity</w:t>
            </w:r>
          </w:p>
          <w:p w:rsidRPr="005F5507" w:rsidR="53E80516" w:rsidP="001C34E8" w:rsidRDefault="53E80516" w14:paraId="40C1A0B3" w14:textId="3D627A55">
            <w:pPr>
              <w:spacing w:line="276" w:lineRule="auto"/>
              <w:jc w:val="both"/>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(FINREP F01.03-300-010) for the carrying amount.</w:t>
            </w:r>
          </w:p>
          <w:p w:rsidRPr="005F5507" w:rsidR="53E80516" w:rsidP="001C34E8" w:rsidRDefault="53E80516" w14:paraId="10A5EDE4" w14:textId="19C92977">
            <w:pPr>
              <w:spacing w:line="276" w:lineRule="auto"/>
              <w:jc w:val="both"/>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This total equal</w:t>
            </w:r>
            <w:r w:rsidR="00285FF6">
              <w:rPr>
                <w:rFonts w:ascii="Times New Roman" w:hAnsi="Times New Roman" w:eastAsia="Cambria" w:cs="Times New Roman"/>
                <w:sz w:val="20"/>
                <w:szCs w:val="20"/>
                <w:lang w:val="en-GB"/>
              </w:rPr>
              <w:t>s</w:t>
            </w:r>
            <w:r w:rsidRPr="005F5507">
              <w:rPr>
                <w:rFonts w:ascii="Times New Roman" w:hAnsi="Times New Roman" w:eastAsia="Cambria" w:cs="Times New Roman"/>
                <w:sz w:val="20"/>
                <w:szCs w:val="20"/>
                <w:lang w:val="en-GB"/>
              </w:rPr>
              <w:t xml:space="preserve"> the total equity of the balance sheet.</w:t>
            </w:r>
          </w:p>
          <w:p w:rsidRPr="00D43D39" w:rsidR="5E2F2DB1" w:rsidP="5E2F2DB1" w:rsidRDefault="5E2F2DB1" w14:paraId="17DEE4D0" w14:textId="23DA98F8">
            <w:pPr>
              <w:pStyle w:val="TableParagraph"/>
              <w:jc w:val="both"/>
              <w:rPr>
                <w:rFonts w:ascii="Times New Roman" w:hAnsi="Times New Roman" w:cs="Times New Roman"/>
                <w:b/>
                <w:bCs/>
                <w:color w:val="000000" w:themeColor="text1"/>
                <w:sz w:val="20"/>
                <w:szCs w:val="20"/>
                <w:lang w:val="en-GB"/>
              </w:rPr>
            </w:pPr>
          </w:p>
        </w:tc>
      </w:tr>
    </w:tbl>
    <w:p w:rsidRPr="005F5507" w:rsidR="5E2F2DB1" w:rsidRDefault="5E2F2DB1" w14:paraId="6EF84484" w14:textId="68B0E8F1">
      <w:pPr>
        <w:rPr>
          <w:rFonts w:ascii="Times New Roman" w:hAnsi="Times New Roman" w:cs="Times New Roman"/>
        </w:rPr>
      </w:pPr>
    </w:p>
    <w:p w:rsidRPr="00D43D39" w:rsidR="00E13CE3" w:rsidP="008854E4" w:rsidRDefault="00F7117F" w14:paraId="304D409F" w14:textId="696AECEA">
      <w:pPr>
        <w:pStyle w:val="Instructionsberschrift2"/>
        <w:numPr>
          <w:ilvl w:val="1"/>
          <w:numId w:val="49"/>
        </w:numPr>
        <w:ind w:left="357" w:hanging="357"/>
        <w:rPr>
          <w:rFonts w:ascii="Times New Roman" w:hAnsi="Times New Roman" w:cs="Times New Roman"/>
        </w:rPr>
      </w:pPr>
      <w:bookmarkStart w:name="_Toc492542323" w:id="57"/>
      <w:bookmarkStart w:name="_Toc81454181" w:id="58"/>
      <w:bookmarkStart w:name="_Toc172732224" w:id="59"/>
      <w:r w:rsidRPr="00D43D39">
        <w:rPr>
          <w:rFonts w:ascii="Times New Roman" w:hAnsi="Times New Roman" w:cs="Times New Roman"/>
        </w:rPr>
        <w:t>Z 0</w:t>
      </w:r>
      <w:r w:rsidRPr="00D43D39" w:rsidR="00E132E5">
        <w:rPr>
          <w:rFonts w:ascii="Times New Roman" w:hAnsi="Times New Roman" w:cs="Times New Roman"/>
        </w:rPr>
        <w:t>3</w:t>
      </w:r>
      <w:r w:rsidRPr="00D43D39" w:rsidR="00E13CE3">
        <w:rPr>
          <w:rFonts w:ascii="Times New Roman" w:hAnsi="Times New Roman" w:cs="Times New Roman"/>
        </w:rPr>
        <w:t>.0</w:t>
      </w:r>
      <w:r w:rsidRPr="00D43D39" w:rsidR="009F449C">
        <w:rPr>
          <w:rFonts w:ascii="Times New Roman" w:hAnsi="Times New Roman" w:cs="Times New Roman"/>
        </w:rPr>
        <w:t>1</w:t>
      </w:r>
      <w:r w:rsidRPr="00D43D39" w:rsidR="00E13CE3">
        <w:rPr>
          <w:rFonts w:ascii="Times New Roman" w:hAnsi="Times New Roman" w:cs="Times New Roman"/>
        </w:rPr>
        <w:t xml:space="preserve"> - Own funds </w:t>
      </w:r>
      <w:r w:rsidRPr="00D43D39" w:rsidR="00EC41F5">
        <w:rPr>
          <w:rFonts w:ascii="Times New Roman" w:hAnsi="Times New Roman" w:cs="Times New Roman"/>
        </w:rPr>
        <w:t>requirements</w:t>
      </w:r>
      <w:r w:rsidRPr="00D43D39" w:rsidR="005738FF">
        <w:rPr>
          <w:rFonts w:ascii="Times New Roman" w:hAnsi="Times New Roman" w:cs="Times New Roman"/>
        </w:rPr>
        <w:t xml:space="preserve"> </w:t>
      </w:r>
      <w:r w:rsidRPr="00D43D39" w:rsidR="00E13CE3">
        <w:rPr>
          <w:rFonts w:ascii="Times New Roman" w:hAnsi="Times New Roman" w:cs="Times New Roman"/>
        </w:rPr>
        <w:t>(</w:t>
      </w:r>
      <w:r w:rsidRPr="00D43D39" w:rsidR="006C64C7">
        <w:rPr>
          <w:rFonts w:ascii="Times New Roman" w:hAnsi="Times New Roman" w:cs="Times New Roman"/>
        </w:rPr>
        <w:t>LIAB</w:t>
      </w:r>
      <w:r w:rsidR="006C64C7">
        <w:rPr>
          <w:rFonts w:ascii="Times New Roman" w:hAnsi="Times New Roman" w:cs="Times New Roman"/>
        </w:rPr>
        <w:t xml:space="preserve"> 2</w:t>
      </w:r>
      <w:r w:rsidRPr="00D43D39" w:rsidR="00E13CE3">
        <w:rPr>
          <w:rFonts w:ascii="Times New Roman" w:hAnsi="Times New Roman" w:cs="Times New Roman"/>
        </w:rPr>
        <w:t>)</w:t>
      </w:r>
      <w:bookmarkEnd w:id="57"/>
      <w:bookmarkEnd w:id="58"/>
      <w:bookmarkEnd w:id="59"/>
    </w:p>
    <w:p w:rsidRPr="00D43D39" w:rsidR="00F73F97" w:rsidP="00EC261B" w:rsidRDefault="00F73F97" w14:paraId="1EB4E523" w14:textId="77777777">
      <w:pPr>
        <w:pStyle w:val="Instructionsberschrift3"/>
        <w:rPr>
          <w:lang w:val="en-GB"/>
        </w:rPr>
      </w:pPr>
      <w:r w:rsidRPr="00D43D39">
        <w:rPr>
          <w:lang w:val="en-GB"/>
        </w:rPr>
        <w:t>General remarks</w:t>
      </w:r>
    </w:p>
    <w:p w:rsidRPr="00D43D39" w:rsidR="00E93656" w:rsidP="00E93656" w:rsidRDefault="00E93656" w14:paraId="21C9D58D"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This template gathers information on the own funds requirements for an entity or group.</w:t>
      </w:r>
    </w:p>
    <w:p w:rsidRPr="00D43D39" w:rsidR="00E93656" w:rsidP="00E93656" w:rsidRDefault="00E93656" w14:paraId="57124BA7"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All information reported shall reflect the own funds requirements applicable at the reporting reference date.</w:t>
      </w:r>
    </w:p>
    <w:p w:rsidRPr="00D43D39" w:rsidR="00E93656" w:rsidP="00E93656" w:rsidRDefault="00E93656" w14:paraId="73ED1FCE" w14:textId="7CF5EF2C">
      <w:pPr>
        <w:pStyle w:val="InstructionsText2"/>
        <w:numPr>
          <w:ilvl w:val="0"/>
          <w:numId w:val="232"/>
        </w:numPr>
        <w:spacing w:before="0"/>
        <w:rPr>
          <w:rFonts w:ascii="Times New Roman" w:hAnsi="Times New Roman" w:cs="Times New Roman"/>
          <w:sz w:val="20"/>
          <w:szCs w:val="20"/>
          <w:lang w:val="en-GB"/>
        </w:rPr>
      </w:pPr>
      <w:r>
        <w:rPr>
          <w:rFonts w:ascii="Times New Roman" w:hAnsi="Times New Roman" w:cs="Times New Roman"/>
          <w:sz w:val="20"/>
          <w:szCs w:val="20"/>
          <w:lang w:val="en-GB"/>
        </w:rPr>
        <w:t>As an exception, t</w:t>
      </w:r>
      <w:r w:rsidRPr="00D43D39">
        <w:rPr>
          <w:rFonts w:ascii="Times New Roman" w:hAnsi="Times New Roman" w:cs="Times New Roman"/>
          <w:sz w:val="20"/>
          <w:szCs w:val="20"/>
          <w:lang w:val="en-GB"/>
        </w:rPr>
        <w:t xml:space="preserve">he information on </w:t>
      </w:r>
      <w:r>
        <w:rPr>
          <w:rFonts w:ascii="Times New Roman" w:hAnsi="Times New Roman" w:cs="Times New Roman"/>
          <w:sz w:val="20"/>
          <w:szCs w:val="20"/>
          <w:lang w:val="en-GB"/>
        </w:rPr>
        <w:t>0300-</w:t>
      </w:r>
      <w:r w:rsidRPr="001F7D71">
        <w:rPr>
          <w:rFonts w:ascii="Times New Roman" w:hAnsi="Times New Roman" w:cs="Times New Roman"/>
          <w:sz w:val="20"/>
          <w:szCs w:val="20"/>
          <w:lang w:val="en-GB"/>
        </w:rPr>
        <w:t>Total SREP capital requirement (TSCR) ratio</w:t>
      </w:r>
      <w:r>
        <w:rPr>
          <w:rFonts w:ascii="Times New Roman" w:hAnsi="Times New Roman" w:cs="Times New Roman"/>
          <w:sz w:val="20"/>
          <w:szCs w:val="20"/>
          <w:lang w:val="en-GB"/>
        </w:rPr>
        <w:t xml:space="preserve"> </w:t>
      </w:r>
      <w:r w:rsidRPr="00D43D39">
        <w:rPr>
          <w:rFonts w:ascii="Times New Roman" w:hAnsi="Times New Roman" w:cs="Times New Roman"/>
          <w:sz w:val="20"/>
          <w:szCs w:val="20"/>
          <w:lang w:val="en-GB"/>
        </w:rPr>
        <w:t xml:space="preserve">reported in this template shall be based on the latest available official SREP </w:t>
      </w:r>
      <w:r w:rsidR="00D71E2F">
        <w:rPr>
          <w:rFonts w:ascii="Times New Roman" w:hAnsi="Times New Roman" w:cs="Times New Roman"/>
          <w:sz w:val="20"/>
          <w:szCs w:val="20"/>
          <w:lang w:val="en-GB"/>
        </w:rPr>
        <w:t>decision</w:t>
      </w:r>
      <w:r w:rsidRPr="00D43D39">
        <w:rPr>
          <w:rFonts w:ascii="Times New Roman" w:hAnsi="Times New Roman" w:cs="Times New Roman"/>
          <w:sz w:val="20"/>
          <w:szCs w:val="20"/>
          <w:lang w:val="en-GB"/>
        </w:rPr>
        <w:t xml:space="preserve"> communicated </w:t>
      </w:r>
      <w:r>
        <w:rPr>
          <w:rFonts w:ascii="Times New Roman" w:hAnsi="Times New Roman" w:cs="Times New Roman"/>
          <w:sz w:val="20"/>
          <w:szCs w:val="20"/>
          <w:lang w:val="en-GB"/>
        </w:rPr>
        <w:t>until the remittance date of this report</w:t>
      </w:r>
      <w:r w:rsidRPr="00A031F3">
        <w:rPr>
          <w:rFonts w:ascii="Times New Roman" w:hAnsi="Times New Roman" w:cs="Times New Roman"/>
          <w:sz w:val="20"/>
          <w:szCs w:val="20"/>
          <w:lang w:val="en-GB"/>
        </w:rPr>
        <w:t xml:space="preserve"> </w:t>
      </w:r>
      <w:r w:rsidRPr="00D43D39">
        <w:rPr>
          <w:rFonts w:ascii="Times New Roman" w:hAnsi="Times New Roman" w:cs="Times New Roman"/>
          <w:sz w:val="20"/>
          <w:szCs w:val="20"/>
          <w:lang w:val="en-GB"/>
        </w:rPr>
        <w:t>by the competent authority.</w:t>
      </w:r>
    </w:p>
    <w:p w:rsidRPr="00D43D39" w:rsidR="00E93656" w:rsidP="00E93656" w:rsidRDefault="0063315B" w14:paraId="6AEA0F61" w14:textId="512FD44C">
      <w:pPr>
        <w:pStyle w:val="InstructionsText2"/>
        <w:numPr>
          <w:ilvl w:val="0"/>
          <w:numId w:val="232"/>
        </w:numPr>
        <w:spacing w:before="0"/>
        <w:rPr>
          <w:rFonts w:ascii="Times New Roman" w:hAnsi="Times New Roman" w:cs="Times New Roman"/>
          <w:sz w:val="20"/>
          <w:szCs w:val="20"/>
          <w:lang w:val="en-GB"/>
        </w:rPr>
      </w:pPr>
      <w:r w:rsidRPr="0063315B">
        <w:rPr>
          <w:rFonts w:ascii="Times New Roman" w:hAnsi="Times New Roman" w:cs="Times New Roman"/>
          <w:sz w:val="20"/>
          <w:szCs w:val="20"/>
          <w:lang w:val="en-GB"/>
        </w:rPr>
        <w:t>For reporting on a</w:t>
      </w:r>
      <w:r>
        <w:rPr>
          <w:rFonts w:ascii="Times New Roman" w:hAnsi="Times New Roman" w:cs="Times New Roman"/>
          <w:sz w:val="20"/>
          <w:szCs w:val="20"/>
          <w:lang w:val="en-GB"/>
        </w:rPr>
        <w:t xml:space="preserve"> consolidated or</w:t>
      </w:r>
      <w:r w:rsidRPr="0063315B">
        <w:rPr>
          <w:rFonts w:ascii="Times New Roman" w:hAnsi="Times New Roman" w:cs="Times New Roman"/>
          <w:sz w:val="20"/>
          <w:szCs w:val="20"/>
          <w:lang w:val="en-GB"/>
        </w:rPr>
        <w:t xml:space="preserve"> individual basis, if these data points have already been reported by the entity in FINREP or COREP for the same reference date and reporting scope (see COREP/FINREP references in the instructions), the reporting entity does not have to report these data points a second time. Data only has to be reported, for instance, where the reporting entity has been waived from financial or prudential reporting obligations, in which case the only data source for resolution authorities for these data points is this report</w:t>
      </w:r>
      <w:r w:rsidRPr="00D43D39" w:rsidR="00E93656">
        <w:rPr>
          <w:rFonts w:ascii="Times New Roman" w:hAnsi="Times New Roman" w:cs="Times New Roman"/>
          <w:sz w:val="20"/>
          <w:szCs w:val="20"/>
          <w:lang w:val="en-GB"/>
        </w:rPr>
        <w:t>.</w:t>
      </w:r>
    </w:p>
    <w:p w:rsidR="00E93656" w:rsidP="005F5507" w:rsidRDefault="00E93656" w14:paraId="39197C7F" w14:textId="77777777">
      <w:pPr>
        <w:pStyle w:val="InstructionsText2"/>
        <w:numPr>
          <w:ilvl w:val="0"/>
          <w:numId w:val="0"/>
        </w:numPr>
        <w:spacing w:before="0"/>
        <w:ind w:left="1440"/>
        <w:rPr>
          <w:rFonts w:ascii="Times New Roman" w:hAnsi="Times New Roman" w:cs="Times New Roman"/>
          <w:sz w:val="20"/>
          <w:szCs w:val="20"/>
          <w:lang w:val="en-GB"/>
        </w:rPr>
      </w:pPr>
    </w:p>
    <w:p w:rsidR="00E13CE3" w:rsidP="00EC261B" w:rsidRDefault="00E13CE3" w14:paraId="4CE17C26" w14:textId="5EE14EF2">
      <w:pPr>
        <w:pStyle w:val="Instructionsberschrift3"/>
        <w:rPr>
          <w:lang w:val="en-GB"/>
        </w:rPr>
      </w:pPr>
      <w:r w:rsidRPr="00D43D39">
        <w:rPr>
          <w:lang w:val="en-GB"/>
        </w:rPr>
        <w:t>Instructions concerning specific positions</w:t>
      </w:r>
    </w:p>
    <w:p w:rsidR="00E93656" w:rsidRDefault="00E93656" w14:paraId="56072119" w14:textId="330A978A">
      <w:pPr>
        <w:pStyle w:val="Instructionsberschrift3"/>
        <w:numPr>
          <w:ilvl w:val="0"/>
          <w:numId w:val="0"/>
        </w:numPr>
        <w:rPr>
          <w:lang w:val="en-GB"/>
        </w:rPr>
      </w:pPr>
    </w:p>
    <w:tbl>
      <w:tblPr>
        <w:tblW w:w="0" w:type="auto"/>
        <w:tblCellMar>
          <w:top w:w="57" w:type="dxa"/>
          <w:left w:w="57" w:type="dxa"/>
          <w:bottom w:w="57" w:type="dxa"/>
          <w:right w:w="0" w:type="dxa"/>
        </w:tblCellMar>
        <w:tblLook w:val="01E0" w:firstRow="1" w:lastRow="1" w:firstColumn="1" w:lastColumn="1" w:noHBand="0" w:noVBand="0"/>
      </w:tblPr>
      <w:tblGrid>
        <w:gridCol w:w="856"/>
        <w:gridCol w:w="8170"/>
      </w:tblGrid>
      <w:tr w:rsidRPr="00D43D39" w:rsidR="00E93656" w:rsidTr="002863B8" w14:paraId="0581054E" w14:textId="77777777">
        <w:trPr>
          <w:tblHeader/>
        </w:trPr>
        <w:tc>
          <w:tcPr>
            <w:tcW w:w="856" w:type="dxa"/>
            <w:tcBorders>
              <w:top w:val="single" w:color="1A171C" w:sz="4" w:space="0"/>
              <w:left w:val="nil"/>
              <w:bottom w:val="single" w:color="1A171C" w:sz="4" w:space="0"/>
              <w:right w:val="single" w:color="1A171C" w:sz="4" w:space="0"/>
            </w:tcBorders>
            <w:shd w:val="clear" w:color="auto" w:fill="E4E5E5"/>
          </w:tcPr>
          <w:p w:rsidRPr="00D43D39" w:rsidR="00E93656" w:rsidP="002863B8" w:rsidRDefault="00E93656" w14:paraId="121A9362" w14:textId="77777777">
            <w:pPr>
              <w:pStyle w:val="TableParagraph"/>
              <w:spacing w:before="66"/>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Rows</w:t>
            </w:r>
          </w:p>
        </w:tc>
        <w:tc>
          <w:tcPr>
            <w:tcW w:w="8170" w:type="dxa"/>
            <w:tcBorders>
              <w:top w:val="single" w:color="1A171C" w:sz="4" w:space="0"/>
              <w:left w:val="single" w:color="1A171C" w:sz="4" w:space="0"/>
              <w:bottom w:val="single" w:color="1A171C" w:sz="4" w:space="0"/>
              <w:right w:val="nil"/>
            </w:tcBorders>
            <w:shd w:val="clear" w:color="auto" w:fill="E4E5E5"/>
          </w:tcPr>
          <w:p w:rsidRPr="00D43D39" w:rsidR="00E93656" w:rsidP="002863B8" w:rsidRDefault="00E93656" w14:paraId="2094BF71" w14:textId="77777777">
            <w:pPr>
              <w:pStyle w:val="TableParagraph"/>
              <w:spacing w:before="66"/>
              <w:ind w:right="1"/>
              <w:jc w:val="center"/>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Pr="00D43D39" w:rsidR="00E93656" w:rsidTr="002863B8" w14:paraId="10609CCF"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41B53E1A" w14:textId="77777777">
            <w:pPr>
              <w:pStyle w:val="TableParagraph"/>
              <w:spacing w:before="106"/>
              <w:ind w:left="-1"/>
              <w:rPr>
                <w:rFonts w:ascii="Times New Roman" w:hAnsi="Times New Roman" w:eastAsia="Cambria" w:cs="Times New Roman"/>
                <w:b/>
                <w:color w:val="000000" w:themeColor="text1"/>
                <w:sz w:val="20"/>
                <w:szCs w:val="20"/>
                <w:lang w:val="en-GB"/>
              </w:rPr>
            </w:pPr>
            <w:r w:rsidRPr="00D43D39">
              <w:rPr>
                <w:rFonts w:ascii="Times New Roman" w:hAnsi="Times New Roman" w:cs="Times New Roman"/>
                <w:color w:val="000000" w:themeColor="text1"/>
                <w:sz w:val="20"/>
                <w:szCs w:val="20"/>
                <w:lang w:val="en-GB"/>
              </w:rPr>
              <w:t>0100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611C5132" w14:textId="77777777">
            <w:pPr>
              <w:pStyle w:val="TableParagraph"/>
              <w:spacing w:before="108"/>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Total Risk Exposure Amount</w:t>
            </w:r>
          </w:p>
          <w:p w:rsidRPr="00D43D39" w:rsidR="00E93656" w:rsidP="002863B8" w:rsidRDefault="00E93656" w14:paraId="1663DEA2" w14:textId="77777777">
            <w:pPr>
              <w:pStyle w:val="TableParagraph"/>
              <w:spacing w:before="108"/>
              <w:rPr>
                <w:rFonts w:ascii="Times New Roman" w:hAnsi="Times New Roman"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referred to in Point (a) of Article 45(2) of Directive 2014/59/EU, calculated in accordance with Article 92(3) of Regulation (EU) No 575/2013.</w:t>
            </w:r>
          </w:p>
        </w:tc>
      </w:tr>
      <w:tr w:rsidRPr="00D43D39" w:rsidR="00E93656" w:rsidTr="002863B8" w14:paraId="3CB174EF"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656C6E44"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0120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0BCF01F8"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Total exposure measure</w:t>
            </w:r>
          </w:p>
          <w:p w:rsidRPr="00D43D39" w:rsidR="00E93656" w:rsidP="002863B8" w:rsidRDefault="00E93656" w14:paraId="1F8B43B7"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referred to in Point (b) of Article 45(2) of Directive 2014/59/EU, calculated in accordance with Articles 429(4) and 429a of Regulation (EU) No 575/2013.</w:t>
            </w:r>
          </w:p>
        </w:tc>
      </w:tr>
      <w:tr w:rsidRPr="00D43D39" w:rsidR="00E93656" w:rsidTr="002863B8" w14:paraId="5976810F"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7EDFCA2A"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0210 - 0220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6A5BA930"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Initial capital and Leverage Ratio requirements</w:t>
            </w:r>
          </w:p>
        </w:tc>
      </w:tr>
      <w:tr w:rsidRPr="00D43D39" w:rsidR="00E93656" w:rsidTr="002863B8" w14:paraId="5B3295C7"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3242087F"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0210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2A4CC721"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Initial capital</w:t>
            </w:r>
          </w:p>
          <w:p w:rsidRPr="00D43D39" w:rsidR="00E93656" w:rsidP="002863B8" w:rsidRDefault="00E93656" w14:paraId="5E801268"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referred to in Articles 12</w:t>
            </w:r>
            <w:r>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of Directive 2013/36/EU, Article 93 of Regulation (EU) No 575/2013.</w:t>
            </w:r>
          </w:p>
          <w:p w:rsidRPr="00D43D39" w:rsidR="00E93656" w:rsidP="002863B8" w:rsidRDefault="00E93656" w14:paraId="724EFC51"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of initial capital required as a precondition for the authorization to commence the activity of an institution.</w:t>
            </w:r>
          </w:p>
        </w:tc>
      </w:tr>
      <w:tr w:rsidRPr="00D43D39" w:rsidR="00E93656" w:rsidTr="002863B8" w14:paraId="6DD5DA50"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3EA8D1EE"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0220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6D8A5ABE"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Leverage Ratio Requirement</w:t>
            </w:r>
          </w:p>
          <w:p w:rsidRPr="00D43D39" w:rsidR="00E93656" w:rsidP="002863B8" w:rsidRDefault="00E93656" w14:paraId="6FC82F92" w14:textId="77777777">
            <w:pPr>
              <w:pStyle w:val="TableParagraph"/>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Leverage ratio requirement, excluding the requirement specified in Article 92(1a) of </w:t>
            </w:r>
            <w:r w:rsidRPr="00D43D39">
              <w:rPr>
                <w:rFonts w:ascii="Times New Roman" w:hAnsi="Times New Roman" w:cs="Times New Roman"/>
                <w:color w:val="000000" w:themeColor="text1"/>
                <w:sz w:val="20"/>
                <w:szCs w:val="20"/>
                <w:lang w:val="en-GB"/>
              </w:rPr>
              <w:t>Regulation (EU) No 575/2013,</w:t>
            </w:r>
            <w:r w:rsidRPr="00D43D39">
              <w:rPr>
                <w:rFonts w:ascii="Times New Roman" w:hAnsi="Times New Roman" w:eastAsia="Cambria" w:cs="Times New Roman"/>
                <w:color w:val="000000" w:themeColor="text1"/>
                <w:spacing w:val="-2"/>
                <w:w w:val="95"/>
                <w:sz w:val="20"/>
                <w:szCs w:val="20"/>
                <w:lang w:val="en-GB"/>
              </w:rPr>
              <w:t xml:space="preserve"> as applicable to the entity or group, expressed as a percentage of the total exposure measure. If no formal requirement is in place, entities shall leave this cell empty.</w:t>
            </w:r>
          </w:p>
        </w:tc>
      </w:tr>
      <w:tr w:rsidRPr="00D43D39" w:rsidR="00E93656" w:rsidTr="002863B8" w14:paraId="401F9D2E"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40252D04"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0300</w:t>
            </w:r>
          </w:p>
        </w:tc>
        <w:tc>
          <w:tcPr>
            <w:tcW w:w="8170" w:type="dxa"/>
            <w:tcBorders>
              <w:top w:val="single" w:color="1A171C" w:sz="4" w:space="0"/>
              <w:left w:val="single" w:color="1A171C" w:sz="4" w:space="0"/>
              <w:bottom w:val="single" w:color="1A171C" w:sz="4" w:space="0"/>
              <w:right w:val="nil"/>
            </w:tcBorders>
            <w:vAlign w:val="center"/>
          </w:tcPr>
          <w:p w:rsidR="00E93656" w:rsidP="002863B8" w:rsidRDefault="00E93656" w14:paraId="6D3CD954" w14:textId="2A70E7FC">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Total SREP capital requirement (TSCR) ratio </w:t>
            </w:r>
          </w:p>
          <w:p w:rsidRPr="005F5507" w:rsidR="000B622A" w:rsidP="002863B8" w:rsidRDefault="000B622A" w14:paraId="4880785A" w14:textId="07034A28">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COREP (OF): {C 03.00;130;010}</w:t>
            </w:r>
          </w:p>
          <w:p w:rsidRPr="00D43D39" w:rsidR="00E93656" w:rsidP="002863B8" w:rsidRDefault="00E93656" w14:paraId="526A546A" w14:textId="77777777">
            <w:pPr>
              <w:pStyle w:val="InstructionsText"/>
              <w:ind w:firstLine="0"/>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The sum of (i) and (ii) as follows:</w:t>
            </w:r>
          </w:p>
          <w:p w:rsidRPr="00D43D39" w:rsidR="00E93656" w:rsidP="002863B8" w:rsidRDefault="00E93656" w14:paraId="54354BBC" w14:textId="77777777">
            <w:pPr>
              <w:pStyle w:val="InstructionsText"/>
              <w:numPr>
                <w:ilvl w:val="3"/>
                <w:numId w:val="49"/>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the total capital ratio (8%) as specified in Article 92(1)(c) of Regulation (EU) No 575/2013; </w:t>
            </w:r>
          </w:p>
          <w:p w:rsidRPr="00D43D39" w:rsidR="00E93656" w:rsidP="002863B8" w:rsidRDefault="00E93656" w14:paraId="1BA75459" w14:textId="77777777">
            <w:pPr>
              <w:pStyle w:val="InstructionsText"/>
              <w:numPr>
                <w:ilvl w:val="3"/>
                <w:numId w:val="49"/>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the additional own funds requirements (Pillar 2 Requirements – P2R) ratio determined in accordance with the criteria specified in the </w:t>
            </w:r>
            <w:r w:rsidRPr="00D43D39">
              <w:rPr>
                <w:rFonts w:ascii="Times New Roman" w:hAnsi="Times New Roman" w:cs="Times New Roman"/>
                <w:i/>
                <w:color w:val="000000" w:themeColor="text1"/>
                <w:sz w:val="20"/>
                <w:szCs w:val="20"/>
                <w:lang w:val="en-GB"/>
              </w:rPr>
              <w:t xml:space="preserve">EBA Guidelines on common procedures and methodologies for the supervisory review and evaluation process and supervisory stress testing </w:t>
            </w:r>
            <w:r w:rsidRPr="00D43D39">
              <w:rPr>
                <w:rFonts w:ascii="Times New Roman" w:hAnsi="Times New Roman" w:cs="Times New Roman"/>
                <w:color w:val="000000" w:themeColor="text1"/>
                <w:sz w:val="20"/>
                <w:szCs w:val="20"/>
                <w:lang w:val="en-GB"/>
              </w:rPr>
              <w:t>(EBA SREP GL).</w:t>
            </w:r>
          </w:p>
          <w:p w:rsidRPr="00D43D39" w:rsidR="00E93656" w:rsidP="002863B8" w:rsidRDefault="00E93656" w14:paraId="7D5BA721" w14:textId="37C0A490">
            <w:pPr>
              <w:pStyle w:val="InstructionsText"/>
              <w:ind w:firstLine="0"/>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item shall reflect the latest, as of </w:t>
            </w:r>
            <w:r>
              <w:rPr>
                <w:rFonts w:ascii="Times New Roman" w:hAnsi="Times New Roman" w:cs="Times New Roman"/>
                <w:color w:val="000000" w:themeColor="text1"/>
                <w:sz w:val="20"/>
                <w:szCs w:val="20"/>
                <w:lang w:val="en-GB"/>
              </w:rPr>
              <w:t>remittance</w:t>
            </w:r>
            <w:r w:rsidRPr="00D43D39">
              <w:rPr>
                <w:rFonts w:ascii="Times New Roman" w:hAnsi="Times New Roman" w:cs="Times New Roman"/>
                <w:color w:val="000000" w:themeColor="text1"/>
                <w:sz w:val="20"/>
                <w:szCs w:val="20"/>
                <w:lang w:val="en-GB"/>
              </w:rPr>
              <w:t xml:space="preserve"> date, total SREP capital requirement (TSCR) ratio as communicated to the institution by the competent authority</w:t>
            </w:r>
            <w:r>
              <w:rPr>
                <w:rFonts w:ascii="Times New Roman" w:hAnsi="Times New Roman" w:cs="Times New Roman"/>
                <w:color w:val="000000" w:themeColor="text1"/>
                <w:sz w:val="20"/>
                <w:szCs w:val="20"/>
                <w:lang w:val="en-GB"/>
              </w:rPr>
              <w:t xml:space="preserve">, i.e. for submission with ref. date of 31 December of a given year, </w:t>
            </w:r>
            <w:r w:rsidR="00285FF6">
              <w:rPr>
                <w:rFonts w:ascii="Times New Roman" w:hAnsi="Times New Roman" w:cs="Times New Roman"/>
                <w:color w:val="000000" w:themeColor="text1"/>
                <w:sz w:val="20"/>
                <w:szCs w:val="20"/>
                <w:lang w:val="en-GB"/>
              </w:rPr>
              <w:t xml:space="preserve">report </w:t>
            </w:r>
            <w:r>
              <w:rPr>
                <w:rFonts w:ascii="Times New Roman" w:hAnsi="Times New Roman" w:cs="Times New Roman"/>
                <w:color w:val="000000" w:themeColor="text1"/>
                <w:sz w:val="20"/>
                <w:szCs w:val="20"/>
                <w:lang w:val="en-GB"/>
              </w:rPr>
              <w:t>the P2R applicable in the following year.</w:t>
            </w:r>
            <w:r w:rsidRPr="00D43D39">
              <w:rPr>
                <w:rFonts w:ascii="Times New Roman" w:hAnsi="Times New Roman" w:cs="Times New Roman"/>
                <w:color w:val="000000" w:themeColor="text1"/>
                <w:sz w:val="20"/>
                <w:szCs w:val="20"/>
                <w:lang w:val="en-GB"/>
              </w:rPr>
              <w:t xml:space="preserve"> The TSCR is defined in Section 1.2 of the EBA SREP GL.</w:t>
            </w:r>
          </w:p>
          <w:p w:rsidRPr="00D43D39" w:rsidR="00E93656" w:rsidP="002863B8" w:rsidRDefault="00E93656" w14:paraId="4027A429" w14:textId="5EE8F7AD">
            <w:pPr>
              <w:pStyle w:val="InstructionsText"/>
              <w:ind w:firstLine="0"/>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Where a reporting entity is a resolution entity that has not been subject to an additional own funds requirement as referred to in Article 104a of Directive 2013/36/EU at the resolution group consolidated level, the reported value for (ii) above </w:t>
            </w:r>
            <w:r w:rsidR="00285FF6">
              <w:rPr>
                <w:rFonts w:ascii="Times New Roman" w:hAnsi="Times New Roman" w:cs="Times New Roman"/>
                <w:color w:val="000000" w:themeColor="text1"/>
                <w:sz w:val="20"/>
                <w:szCs w:val="20"/>
                <w:lang w:val="en-GB"/>
              </w:rPr>
              <w:t>is expected to</w:t>
            </w:r>
            <w:r w:rsidRPr="00D43D39">
              <w:rPr>
                <w:rFonts w:ascii="Times New Roman" w:hAnsi="Times New Roman" w:cs="Times New Roman"/>
                <w:color w:val="000000" w:themeColor="text1"/>
                <w:sz w:val="20"/>
                <w:szCs w:val="20"/>
                <w:lang w:val="en-GB"/>
              </w:rPr>
              <w:t xml:space="preserve"> be the result of the estimation referred to in Article </w:t>
            </w:r>
            <w:r w:rsidRPr="00D43D39">
              <w:rPr>
                <w:rFonts w:ascii="Times New Roman" w:hAnsi="Times New Roman" w:cs="Times New Roman"/>
                <w:color w:val="000000" w:themeColor="text1"/>
                <w:sz w:val="20"/>
                <w:szCs w:val="20"/>
                <w:lang w:val="en-GB"/>
              </w:rPr>
              <w:t>1 of the Commission Delegated Regulation (EU) 2021/1118</w:t>
            </w:r>
            <w:r w:rsidR="003947D5">
              <w:rPr>
                <w:rFonts w:ascii="Times New Roman" w:hAnsi="Times New Roman" w:cs="Times New Roman"/>
                <w:color w:val="000000" w:themeColor="text1"/>
                <w:sz w:val="20"/>
                <w:szCs w:val="20"/>
                <w:lang w:val="en-GB"/>
              </w:rPr>
              <w:t>, but conducted preliminary by the reporting entity</w:t>
            </w:r>
            <w:r w:rsidRPr="00D43D39">
              <w:rPr>
                <w:rFonts w:ascii="Times New Roman" w:hAnsi="Times New Roman" w:cs="Times New Roman"/>
                <w:color w:val="000000" w:themeColor="text1"/>
                <w:sz w:val="20"/>
                <w:szCs w:val="20"/>
                <w:lang w:val="en-GB"/>
              </w:rPr>
              <w:t>.</w:t>
            </w:r>
          </w:p>
          <w:p w:rsidRPr="00D43D39" w:rsidR="00E93656" w:rsidP="002863B8" w:rsidRDefault="00E93656" w14:paraId="4BD18672"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z w:val="20"/>
                <w:szCs w:val="20"/>
                <w:lang w:val="en-GB"/>
              </w:rPr>
              <w:t>If no additional own funds requirements were communicated by the competent authority and the paragraph above does not apply, then only point (i) shall be reported.</w:t>
            </w:r>
          </w:p>
        </w:tc>
      </w:tr>
      <w:tr w:rsidRPr="00DE6F92" w:rsidR="00E93656" w:rsidTr="002863B8" w14:paraId="0CE4036D"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17DDB86B"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0400</w:t>
            </w:r>
          </w:p>
        </w:tc>
        <w:tc>
          <w:tcPr>
            <w:tcW w:w="8170" w:type="dxa"/>
            <w:tcBorders>
              <w:top w:val="single" w:color="1A171C" w:sz="4" w:space="0"/>
              <w:left w:val="single" w:color="1A171C" w:sz="4" w:space="0"/>
              <w:bottom w:val="single" w:color="1A171C" w:sz="4" w:space="0"/>
              <w:right w:val="nil"/>
            </w:tcBorders>
            <w:vAlign w:val="center"/>
          </w:tcPr>
          <w:p w:rsidR="00E93656" w:rsidP="002863B8" w:rsidRDefault="00E93656" w14:paraId="2FF89805" w14:textId="6815CDC8">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Combined Buffer Requirement</w:t>
            </w:r>
          </w:p>
          <w:p w:rsidRPr="005F5507" w:rsidR="000B622A" w:rsidP="002863B8" w:rsidRDefault="000B622A" w14:paraId="27845CE1" w14:textId="1C48A865">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COREP (OF): {C 04.00;760;010}).</w:t>
            </w:r>
          </w:p>
          <w:p w:rsidRPr="00D43D39" w:rsidR="00E93656" w:rsidP="002863B8" w:rsidRDefault="00E93656" w14:paraId="6EECC5AA"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w:t>
            </w:r>
            <w:r w:rsidRPr="00D43D39">
              <w:rPr>
                <w:rStyle w:val="InstructionsTabelleberschrift"/>
                <w:rFonts w:ascii="Times New Roman" w:hAnsi="Times New Roman"/>
                <w:b w:val="0"/>
                <w:color w:val="000000" w:themeColor="text1"/>
                <w:szCs w:val="20"/>
                <w:u w:val="none"/>
              </w:rPr>
              <w:t>p</w:t>
            </w:r>
            <w:r w:rsidRPr="00D43D39">
              <w:rPr>
                <w:rFonts w:ascii="Times New Roman" w:hAnsi="Times New Roman" w:eastAsia="Cambria" w:cs="Times New Roman"/>
                <w:color w:val="000000" w:themeColor="text1"/>
                <w:spacing w:val="-2"/>
                <w:w w:val="95"/>
                <w:sz w:val="20"/>
                <w:szCs w:val="20"/>
                <w:lang w:val="en-GB"/>
              </w:rPr>
              <w:t>oint (6) of the first subparagraph of Article 128 of Directive 2013/36/EU.</w:t>
            </w:r>
          </w:p>
          <w:p w:rsidRPr="002863B8" w:rsidR="00E93656" w:rsidP="002863B8" w:rsidRDefault="00E93656" w14:paraId="0C680066" w14:textId="45AA5A09">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In case the resolution perimeter differs from the prudential one, the estimation of the</w:t>
            </w:r>
            <w:r w:rsidR="00DE6F92">
              <w:rPr>
                <w:rFonts w:ascii="Times New Roman" w:hAnsi="Times New Roman" w:cs="Times New Roman"/>
                <w:color w:val="000000" w:themeColor="text1"/>
                <w:sz w:val="20"/>
                <w:szCs w:val="20"/>
                <w:lang w:val="en-GB"/>
              </w:rPr>
              <w:t xml:space="preserve"> elements</w:t>
            </w:r>
            <w:r w:rsidRPr="00D43D39" w:rsidR="00DE6F92">
              <w:rPr>
                <w:rFonts w:ascii="Times New Roman" w:hAnsi="Times New Roman" w:cs="Times New Roman"/>
                <w:color w:val="000000" w:themeColor="text1"/>
                <w:sz w:val="20"/>
                <w:szCs w:val="20"/>
                <w:lang w:val="en-GB"/>
              </w:rPr>
              <w:t xml:space="preserve"> </w:t>
            </w:r>
            <w:r w:rsidR="00DE6F92">
              <w:rPr>
                <w:rFonts w:ascii="Times New Roman" w:hAnsi="Times New Roman" w:cs="Times New Roman"/>
                <w:color w:val="000000" w:themeColor="text1"/>
                <w:sz w:val="20"/>
                <w:szCs w:val="20"/>
                <w:lang w:val="en-GB"/>
              </w:rPr>
              <w:t xml:space="preserve">comprising the </w:t>
            </w:r>
            <w:r w:rsidRPr="00D43D39">
              <w:rPr>
                <w:rFonts w:ascii="Times New Roman" w:hAnsi="Times New Roman" w:cs="Times New Roman"/>
                <w:color w:val="000000" w:themeColor="text1"/>
                <w:sz w:val="20"/>
                <w:szCs w:val="20"/>
                <w:lang w:val="en-GB"/>
              </w:rPr>
              <w:t>combined buffer requirement of the resolution entity at the resolution group consolidated level 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(1) of the Commission Delegated Regulation (EU) 2021/1118</w:t>
            </w:r>
            <w:r w:rsidR="00DE6F92">
              <w:rPr>
                <w:rFonts w:ascii="Times New Roman" w:hAnsi="Times New Roman" w:cs="Times New Roman"/>
                <w:color w:val="000000" w:themeColor="text1"/>
                <w:sz w:val="20"/>
                <w:szCs w:val="20"/>
                <w:lang w:val="en-GB"/>
              </w:rPr>
              <w:t xml:space="preserve">, </w:t>
            </w:r>
            <w:r w:rsidRPr="00DE6F92" w:rsidR="00DE6F92">
              <w:rPr>
                <w:rFonts w:ascii="Times New Roman" w:hAnsi="Times New Roman" w:cs="Times New Roman"/>
                <w:color w:val="000000" w:themeColor="text1"/>
                <w:sz w:val="20"/>
                <w:szCs w:val="20"/>
                <w:lang w:val="en-GB"/>
              </w:rPr>
              <w:t xml:space="preserve">but </w:t>
            </w:r>
            <w:r w:rsidR="00DE6F92">
              <w:rPr>
                <w:rFonts w:ascii="Times New Roman" w:hAnsi="Times New Roman" w:cs="Times New Roman"/>
                <w:color w:val="000000" w:themeColor="text1"/>
                <w:sz w:val="20"/>
                <w:szCs w:val="20"/>
                <w:lang w:val="en-GB"/>
              </w:rPr>
              <w:t xml:space="preserve">should be </w:t>
            </w:r>
            <w:r w:rsidRPr="00DE6F92" w:rsidR="00DE6F92">
              <w:rPr>
                <w:rFonts w:ascii="Times New Roman" w:hAnsi="Times New Roman" w:cs="Times New Roman"/>
                <w:color w:val="000000" w:themeColor="text1"/>
                <w:sz w:val="20"/>
                <w:szCs w:val="20"/>
                <w:lang w:val="en-GB"/>
              </w:rPr>
              <w:t>conducted preliminary by the reporting entity</w:t>
            </w:r>
            <w:r w:rsidRPr="00D43D39">
              <w:rPr>
                <w:rFonts w:ascii="Times New Roman" w:hAnsi="Times New Roman" w:cs="Times New Roman"/>
                <w:color w:val="000000" w:themeColor="text1"/>
                <w:sz w:val="20"/>
                <w:szCs w:val="20"/>
                <w:lang w:val="en-GB"/>
              </w:rPr>
              <w:t xml:space="preserve">. </w:t>
            </w:r>
          </w:p>
        </w:tc>
      </w:tr>
      <w:tr w:rsidRPr="00D43D39" w:rsidR="00E93656" w:rsidTr="002863B8" w14:paraId="6B10AA4D"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2264332F"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0410</w:t>
            </w:r>
          </w:p>
        </w:tc>
        <w:tc>
          <w:tcPr>
            <w:tcW w:w="8170" w:type="dxa"/>
            <w:tcBorders>
              <w:top w:val="single" w:color="1A171C" w:sz="4" w:space="0"/>
              <w:left w:val="single" w:color="1A171C" w:sz="4" w:space="0"/>
              <w:bottom w:val="single" w:color="1A171C" w:sz="4" w:space="0"/>
              <w:right w:val="nil"/>
            </w:tcBorders>
            <w:vAlign w:val="center"/>
          </w:tcPr>
          <w:p w:rsidR="00E93656" w:rsidP="002863B8" w:rsidRDefault="00E93656" w14:paraId="790C4998" w14:textId="40150C3D">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Capital Conservation Buffer</w:t>
            </w:r>
          </w:p>
          <w:p w:rsidRPr="005F5507" w:rsidR="000B622A" w:rsidP="002863B8" w:rsidRDefault="000B622A" w14:paraId="0283579B" w14:textId="54D770F8">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COREP (OF): {C 04.00;760;010}).</w:t>
            </w:r>
          </w:p>
          <w:p w:rsidRPr="00D43D39" w:rsidR="00E93656" w:rsidP="002863B8" w:rsidRDefault="00E93656" w14:paraId="67703CE9"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w:t>
            </w:r>
            <w:r w:rsidRPr="00D43D39">
              <w:rPr>
                <w:rFonts w:ascii="Times New Roman" w:hAnsi="Times New Roman" w:eastAsia="Cambria" w:cs="Times New Roman"/>
                <w:color w:val="000000" w:themeColor="text1"/>
                <w:spacing w:val="-2"/>
                <w:w w:val="95"/>
                <w:sz w:val="20"/>
                <w:szCs w:val="20"/>
                <w:lang w:val="en-GB"/>
              </w:rPr>
              <w:t>Articles 128 point (1) and 129 of Directive 2013/36/EU.</w:t>
            </w:r>
          </w:p>
          <w:p w:rsidRPr="00D43D39" w:rsidR="00E93656" w:rsidP="002863B8" w:rsidRDefault="00E93656" w14:paraId="57DD97AD" w14:textId="73E4EAC4">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In case the resolution perimeter differs from the prudential one, the estimation of this buffer requirement of the resolution entity at the resolution group consolidated level 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(2) of the Commission Delegated Regulation (EU) 2021/1118</w:t>
            </w:r>
            <w:r w:rsidR="00DE6F92">
              <w:rPr>
                <w:rFonts w:ascii="Times New Roman" w:hAnsi="Times New Roman" w:cs="Times New Roman"/>
                <w:color w:val="000000" w:themeColor="text1"/>
                <w:sz w:val="20"/>
                <w:szCs w:val="20"/>
                <w:lang w:val="en-GB"/>
              </w:rPr>
              <w:t xml:space="preserve">, </w:t>
            </w:r>
            <w:r w:rsidRPr="00DE6F92" w:rsidR="00DE6F92">
              <w:rPr>
                <w:rFonts w:ascii="Times New Roman" w:hAnsi="Times New Roman" w:cs="Times New Roman"/>
                <w:color w:val="000000" w:themeColor="text1"/>
                <w:sz w:val="20"/>
                <w:szCs w:val="20"/>
                <w:lang w:val="en-GB"/>
              </w:rPr>
              <w:t>but should be conducted preliminary by the reporting entity</w:t>
            </w:r>
            <w:r w:rsidRPr="00D43D39">
              <w:rPr>
                <w:rFonts w:ascii="Times New Roman" w:hAnsi="Times New Roman" w:cs="Times New Roman"/>
                <w:color w:val="000000" w:themeColor="text1"/>
                <w:sz w:val="20"/>
                <w:szCs w:val="20"/>
                <w:lang w:val="en-GB"/>
              </w:rPr>
              <w:t>.</w:t>
            </w:r>
          </w:p>
        </w:tc>
      </w:tr>
      <w:tr w:rsidRPr="00D43D39" w:rsidR="00E93656" w:rsidTr="002863B8" w14:paraId="38814BC5"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79623FBC"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0420</w:t>
            </w:r>
          </w:p>
        </w:tc>
        <w:tc>
          <w:tcPr>
            <w:tcW w:w="8170" w:type="dxa"/>
            <w:tcBorders>
              <w:top w:val="single" w:color="1A171C" w:sz="4" w:space="0"/>
              <w:left w:val="single" w:color="1A171C" w:sz="4" w:space="0"/>
              <w:bottom w:val="single" w:color="1A171C" w:sz="4" w:space="0"/>
              <w:right w:val="nil"/>
            </w:tcBorders>
            <w:vAlign w:val="center"/>
          </w:tcPr>
          <w:p w:rsidR="00E93656" w:rsidP="002863B8" w:rsidRDefault="00E93656" w14:paraId="49340190" w14:textId="521D694A">
            <w:pPr>
              <w:rPr>
                <w:rStyle w:val="InstructionsTabelleberschrift"/>
                <w:rFonts w:ascii="Times New Roman" w:hAnsi="Times New Roman"/>
                <w:color w:val="000000" w:themeColor="text1"/>
                <w:szCs w:val="20"/>
                <w:u w:val="none"/>
                <w:lang w:val="en-GB"/>
              </w:rPr>
            </w:pPr>
            <w:r w:rsidRPr="00D43D39">
              <w:rPr>
                <w:rStyle w:val="InstructionsTabelleberschrift"/>
                <w:rFonts w:ascii="Times New Roman" w:hAnsi="Times New Roman"/>
                <w:color w:val="000000" w:themeColor="text1"/>
                <w:szCs w:val="20"/>
                <w:u w:val="none"/>
                <w:lang w:val="en-GB"/>
              </w:rPr>
              <w:t>Conservation buffer due to macro-prudential or systemic risk identified at the level of a Member State</w:t>
            </w:r>
          </w:p>
          <w:p w:rsidRPr="005F5507" w:rsidR="000B622A" w:rsidP="002863B8" w:rsidRDefault="000B622A" w14:paraId="4D5D1AE4" w14:textId="138ADFB7">
            <w:pPr>
              <w:rPr>
                <w:rStyle w:val="InstructionsTabelleberschrift"/>
                <w:rFonts w:ascii="Times New Roman" w:hAnsi="Times New Roman"/>
                <w:b w:val="0"/>
                <w:bCs w:val="0"/>
                <w:color w:val="000000" w:themeColor="text1"/>
                <w:szCs w:val="20"/>
                <w:u w:val="none"/>
                <w:lang w:val="en-GB"/>
              </w:rPr>
            </w:pPr>
            <w:r w:rsidRPr="005F5507">
              <w:rPr>
                <w:rStyle w:val="InstructionsTabelleberschrift"/>
                <w:rFonts w:ascii="Times New Roman" w:hAnsi="Times New Roman"/>
                <w:b w:val="0"/>
                <w:bCs w:val="0"/>
                <w:color w:val="000000" w:themeColor="text1"/>
                <w:szCs w:val="20"/>
                <w:u w:val="none"/>
                <w:lang w:val="en-GB"/>
              </w:rPr>
              <w:t>COREP (OF): {C 04.00;760;010}).</w:t>
            </w:r>
          </w:p>
          <w:p w:rsidRPr="00D43D39" w:rsidR="00E93656" w:rsidP="002863B8" w:rsidRDefault="00E93656" w14:paraId="30802895" w14:textId="334CDDC4">
            <w:pPr>
              <w:rPr>
                <w:rStyle w:val="InstructionsTabelleberschrift"/>
                <w:rFonts w:ascii="Times New Roman" w:hAnsi="Times New Roman"/>
                <w:b w:val="0"/>
                <w:color w:val="000000" w:themeColor="text1"/>
                <w:szCs w:val="20"/>
                <w:u w:val="none"/>
                <w:lang w:val="en-GB"/>
              </w:rPr>
            </w:pPr>
            <w:r w:rsidRPr="002863B8">
              <w:rPr>
                <w:rFonts w:ascii="Times New Roman" w:hAnsi="Times New Roman" w:eastAsia="Cambria"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Article 458 (2) point d (v</w:t>
            </w:r>
            <w:r w:rsidR="00F873AA">
              <w:rPr>
                <w:rStyle w:val="InstructionsTabelleberschrift"/>
                <w:rFonts w:ascii="Times New Roman" w:hAnsi="Times New Roman"/>
                <w:b w:val="0"/>
                <w:color w:val="000000" w:themeColor="text1"/>
                <w:szCs w:val="20"/>
                <w:u w:val="none"/>
                <w:lang w:val="en-GB"/>
              </w:rPr>
              <w:t>i</w:t>
            </w:r>
            <w:r w:rsidRPr="00D43D39">
              <w:rPr>
                <w:rStyle w:val="InstructionsTabelleberschrift"/>
                <w:rFonts w:ascii="Times New Roman" w:hAnsi="Times New Roman"/>
                <w:b w:val="0"/>
                <w:color w:val="000000" w:themeColor="text1"/>
                <w:szCs w:val="20"/>
                <w:u w:val="none"/>
                <w:lang w:val="en-GB"/>
              </w:rPr>
              <w:t>)</w:t>
            </w:r>
            <w:r w:rsidR="00612D5B">
              <w:rPr>
                <w:rStyle w:val="FootnoteReference"/>
                <w:rFonts w:cs="Times New Roman"/>
                <w:bCs/>
                <w:color w:val="000000" w:themeColor="text1"/>
                <w:lang w:val="en-GB"/>
              </w:rPr>
              <w:footnoteReference w:id="16"/>
            </w:r>
            <w:r w:rsidRPr="00D43D39">
              <w:rPr>
                <w:rStyle w:val="InstructionsTabelleberschrift"/>
                <w:rFonts w:ascii="Times New Roman" w:hAnsi="Times New Roman"/>
                <w:b w:val="0"/>
                <w:color w:val="000000" w:themeColor="text1"/>
                <w:szCs w:val="20"/>
                <w:u w:val="none"/>
                <w:lang w:val="en-GB"/>
              </w:rPr>
              <w:t xml:space="preserve"> of Regulation (EU) No 575/2013</w:t>
            </w:r>
          </w:p>
          <w:p w:rsidRPr="002863B8" w:rsidR="00E93656" w:rsidP="002863B8" w:rsidRDefault="00E93656" w14:paraId="3FA1AD47" w14:textId="75CB5D5D">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In case the resolution perimeter differs from the prudential one, the reported amount correspond</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to the buffer applicable to the exposures of the resolution group.</w:t>
            </w:r>
          </w:p>
        </w:tc>
      </w:tr>
      <w:tr w:rsidRPr="00D43D39" w:rsidR="00E93656" w:rsidTr="002863B8" w14:paraId="2AE83B8D"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53448946"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0430</w:t>
            </w:r>
          </w:p>
        </w:tc>
        <w:tc>
          <w:tcPr>
            <w:tcW w:w="8170" w:type="dxa"/>
            <w:tcBorders>
              <w:top w:val="single" w:color="1A171C" w:sz="4" w:space="0"/>
              <w:left w:val="single" w:color="1A171C" w:sz="4" w:space="0"/>
              <w:bottom w:val="single" w:color="1A171C" w:sz="4" w:space="0"/>
              <w:right w:val="nil"/>
            </w:tcBorders>
            <w:vAlign w:val="center"/>
          </w:tcPr>
          <w:p w:rsidR="00E93656" w:rsidP="002863B8" w:rsidRDefault="00E93656" w14:paraId="075331ED" w14:textId="03C487D0">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Institution-Specific Countercyclical Capital Buffer </w:t>
            </w:r>
          </w:p>
          <w:p w:rsidRPr="00D230BB" w:rsidR="000B622A" w:rsidP="000B622A" w:rsidRDefault="000B622A" w14:paraId="680E5938" w14:textId="77777777">
            <w:pPr>
              <w:rPr>
                <w:rStyle w:val="InstructionsTabelleberschrift"/>
                <w:rFonts w:ascii="Times New Roman" w:hAnsi="Times New Roman"/>
                <w:b w:val="0"/>
                <w:bCs w:val="0"/>
                <w:color w:val="000000" w:themeColor="text1"/>
                <w:szCs w:val="20"/>
                <w:u w:val="none"/>
                <w:lang w:val="en-GB"/>
              </w:rPr>
            </w:pPr>
            <w:r w:rsidRPr="00D230BB">
              <w:rPr>
                <w:rStyle w:val="InstructionsTabelleberschrift"/>
                <w:rFonts w:ascii="Times New Roman" w:hAnsi="Times New Roman"/>
                <w:b w:val="0"/>
                <w:bCs w:val="0"/>
                <w:color w:val="000000" w:themeColor="text1"/>
                <w:szCs w:val="20"/>
                <w:u w:val="none"/>
                <w:lang w:val="en-GB"/>
              </w:rPr>
              <w:t>(see COREP (OF): {C 04.00;770;010}).</w:t>
            </w:r>
          </w:p>
          <w:p w:rsidRPr="00D43D39" w:rsidR="00E93656" w:rsidP="002863B8" w:rsidRDefault="00E93656" w14:paraId="1DAF0F5E"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Requirement referred to in Articles 128 point (2), 130, 135-140 of Directive 2013/36/EU.</w:t>
            </w:r>
          </w:p>
          <w:p w:rsidRPr="00D43D39" w:rsidR="00E93656" w:rsidP="002863B8" w:rsidRDefault="00E93656" w14:paraId="5FED3A73" w14:textId="096B0446">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In case the resolution perimeter differs from the prudential one, the reported amount correspond</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to the buffer requirement applicable to the exposures of the resolution group.</w:t>
            </w:r>
          </w:p>
        </w:tc>
      </w:tr>
      <w:tr w:rsidRPr="00D43D39" w:rsidR="00E93656" w:rsidTr="002863B8" w14:paraId="59062F64"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2A4147AC"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0440</w:t>
            </w:r>
          </w:p>
        </w:tc>
        <w:tc>
          <w:tcPr>
            <w:tcW w:w="8170" w:type="dxa"/>
            <w:tcBorders>
              <w:top w:val="single" w:color="1A171C" w:sz="4" w:space="0"/>
              <w:left w:val="single" w:color="1A171C" w:sz="4" w:space="0"/>
              <w:bottom w:val="single" w:color="1A171C" w:sz="4" w:space="0"/>
              <w:right w:val="nil"/>
            </w:tcBorders>
            <w:vAlign w:val="center"/>
          </w:tcPr>
          <w:p w:rsidR="00E93656" w:rsidP="002863B8" w:rsidRDefault="00E93656" w14:paraId="256754D9" w14:textId="7E48552A">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Systemic Risk Buffer</w:t>
            </w:r>
          </w:p>
          <w:p w:rsidR="000B622A" w:rsidP="002863B8" w:rsidRDefault="000B622A" w14:paraId="6FA6AB7E" w14:textId="78A7D243">
            <w:pPr>
              <w:pStyle w:val="TableParagraph"/>
              <w:spacing w:before="108"/>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r w:rsidRPr="005F5507">
              <w:rPr>
                <w:rFonts w:ascii="Times New Roman" w:hAnsi="Times New Roman" w:cs="Times New Roman"/>
                <w:color w:val="000000" w:themeColor="text1"/>
                <w:sz w:val="20"/>
                <w:szCs w:val="20"/>
                <w:lang w:val="en-GB"/>
              </w:rPr>
              <w:t>see COREP (OF): {C 04.00;780;010})</w:t>
            </w:r>
          </w:p>
          <w:p w:rsidRPr="005F5507" w:rsidR="00E93656" w:rsidP="002863B8" w:rsidRDefault="00E93656" w14:paraId="082EC7A0" w14:textId="18CC4603">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Requirement referred to in Articles 128 point (5), 133 and 134 of Directive 2013/36/EU</w:t>
            </w:r>
          </w:p>
          <w:p w:rsidRPr="002863B8" w:rsidR="00E93656" w:rsidP="002863B8" w:rsidRDefault="00E93656" w14:paraId="05AD00D9" w14:textId="02D14616">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In case the resolution perimeter differs from the prudential one, the estimation of this buffer requirement of the resolution entity at the resolution group consolidated level </w:t>
            </w:r>
            <w:r w:rsidR="00285FF6">
              <w:rPr>
                <w:rFonts w:ascii="Times New Roman" w:hAnsi="Times New Roman" w:cs="Times New Roman"/>
                <w:color w:val="000000" w:themeColor="text1"/>
                <w:sz w:val="20"/>
                <w:szCs w:val="20"/>
                <w:lang w:val="en-GB"/>
              </w:rPr>
              <w:t>f</w:t>
            </w:r>
            <w:r w:rsidRPr="00D43D39">
              <w:rPr>
                <w:rFonts w:ascii="Times New Roman" w:hAnsi="Times New Roman" w:cs="Times New Roman"/>
                <w:color w:val="000000" w:themeColor="text1"/>
                <w:sz w:val="20"/>
                <w:szCs w:val="20"/>
                <w:lang w:val="en-GB"/>
              </w:rPr>
              <w:t>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(5) of the Commission Delegated Regulation (EU) 2021/1118</w:t>
            </w:r>
            <w:r w:rsidR="00DE6F92">
              <w:rPr>
                <w:rFonts w:ascii="Times New Roman" w:hAnsi="Times New Roman" w:cs="Times New Roman"/>
                <w:color w:val="000000" w:themeColor="text1"/>
                <w:sz w:val="20"/>
                <w:szCs w:val="20"/>
                <w:lang w:val="en-GB"/>
              </w:rPr>
              <w:t>,</w:t>
            </w:r>
            <w:r w:rsidR="00DE6F92">
              <w:t xml:space="preserve"> </w:t>
            </w:r>
            <w:r w:rsidRPr="00DE6F92" w:rsidR="00DE6F92">
              <w:rPr>
                <w:rFonts w:ascii="Times New Roman" w:hAnsi="Times New Roman" w:cs="Times New Roman"/>
                <w:color w:val="000000" w:themeColor="text1"/>
                <w:sz w:val="20"/>
                <w:szCs w:val="20"/>
                <w:lang w:val="en-GB"/>
              </w:rPr>
              <w:t>but should be conducted preliminary by the reporting entity</w:t>
            </w:r>
            <w:r w:rsidRPr="00D43D39">
              <w:rPr>
                <w:rFonts w:ascii="Times New Roman" w:hAnsi="Times New Roman" w:cs="Times New Roman"/>
                <w:color w:val="000000" w:themeColor="text1"/>
                <w:sz w:val="20"/>
                <w:szCs w:val="20"/>
                <w:lang w:val="en-GB"/>
              </w:rPr>
              <w:t xml:space="preserve">. </w:t>
            </w:r>
          </w:p>
        </w:tc>
      </w:tr>
      <w:tr w:rsidRPr="00D43D39" w:rsidR="00E93656" w:rsidTr="002863B8" w14:paraId="06A10047"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5D54EFC2"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0450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1E7EDCEA"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Global Systemically Important Institution Buffer</w:t>
            </w:r>
          </w:p>
          <w:p w:rsidR="000B622A" w:rsidP="002863B8" w:rsidRDefault="000B622A" w14:paraId="2E1312B0" w14:textId="14077CB8">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0B622A">
              <w:rPr>
                <w:rFonts w:ascii="Times New Roman" w:hAnsi="Times New Roman" w:eastAsia="Cambria" w:cs="Times New Roman"/>
                <w:color w:val="000000" w:themeColor="text1"/>
                <w:spacing w:val="-2"/>
                <w:w w:val="95"/>
                <w:sz w:val="20"/>
                <w:szCs w:val="20"/>
                <w:lang w:val="en-GB"/>
              </w:rPr>
              <w:t>COREP (OF): {C 04.00;800;010}</w:t>
            </w:r>
          </w:p>
          <w:p w:rsidRPr="00D43D39" w:rsidR="00E93656" w:rsidP="002863B8" w:rsidRDefault="00E93656" w14:paraId="03EDC505" w14:textId="6B5B7136">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Requirement referred to in Articles 128 point (3) and 131 of Directive 2013/36/EU.</w:t>
            </w:r>
          </w:p>
          <w:p w:rsidRPr="00D43D39" w:rsidR="00E93656" w:rsidP="002863B8" w:rsidRDefault="00E93656" w14:paraId="53ABF348" w14:textId="22F5A165">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In case the resolution perimeter differs from the prudential one, the estimation of this buffer requirement of the resolution entity at the resolution group consolidated level 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(3) </w:t>
            </w:r>
            <w:r w:rsidRPr="00D43D39">
              <w:rPr>
                <w:rFonts w:ascii="Times New Roman" w:hAnsi="Times New Roman" w:cs="Times New Roman"/>
                <w:color w:val="000000" w:themeColor="text1"/>
                <w:sz w:val="20"/>
                <w:szCs w:val="20"/>
                <w:lang w:val="en-GB"/>
              </w:rPr>
              <w:t>of the Commission Delegated Regulation (EU) 2021/1118</w:t>
            </w:r>
            <w:r w:rsidR="00DE6F92">
              <w:rPr>
                <w:rFonts w:ascii="Times New Roman" w:hAnsi="Times New Roman" w:cs="Times New Roman"/>
                <w:color w:val="000000" w:themeColor="text1"/>
                <w:sz w:val="20"/>
                <w:szCs w:val="20"/>
                <w:lang w:val="en-GB"/>
              </w:rPr>
              <w:t>,</w:t>
            </w:r>
            <w:r w:rsidR="00DE6F92">
              <w:t xml:space="preserve"> </w:t>
            </w:r>
            <w:r w:rsidRPr="00DE6F92" w:rsidR="00DE6F92">
              <w:rPr>
                <w:rFonts w:ascii="Times New Roman" w:hAnsi="Times New Roman" w:cs="Times New Roman"/>
                <w:color w:val="000000" w:themeColor="text1"/>
                <w:sz w:val="20"/>
                <w:szCs w:val="20"/>
                <w:lang w:val="en-GB"/>
              </w:rPr>
              <w:t>but should be conducted preliminary by the reporting entity</w:t>
            </w:r>
            <w:r w:rsidRPr="00D43D39">
              <w:rPr>
                <w:rFonts w:ascii="Times New Roman" w:hAnsi="Times New Roman" w:cs="Times New Roman"/>
                <w:color w:val="000000" w:themeColor="text1"/>
                <w:sz w:val="20"/>
                <w:szCs w:val="20"/>
                <w:lang w:val="en-GB"/>
              </w:rPr>
              <w:t xml:space="preserve">. </w:t>
            </w:r>
          </w:p>
        </w:tc>
      </w:tr>
      <w:tr w:rsidRPr="00D43D39" w:rsidR="000B622A" w:rsidTr="002863B8" w14:paraId="5DB8284C" w14:textId="77777777">
        <w:tc>
          <w:tcPr>
            <w:tcW w:w="856" w:type="dxa"/>
            <w:tcBorders>
              <w:top w:val="single" w:color="1A171C" w:sz="4" w:space="0"/>
              <w:left w:val="nil"/>
              <w:bottom w:val="single" w:color="1A171C" w:sz="4" w:space="0"/>
              <w:right w:val="single" w:color="1A171C" w:sz="4" w:space="0"/>
            </w:tcBorders>
            <w:vAlign w:val="center"/>
          </w:tcPr>
          <w:p w:rsidRPr="00D43D39" w:rsidR="000B622A" w:rsidP="002863B8" w:rsidRDefault="000B622A" w14:paraId="126EC29E" w14:textId="3FC1D70E">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0460</w:t>
            </w:r>
          </w:p>
        </w:tc>
        <w:tc>
          <w:tcPr>
            <w:tcW w:w="8170" w:type="dxa"/>
            <w:tcBorders>
              <w:top w:val="single" w:color="1A171C" w:sz="4" w:space="0"/>
              <w:left w:val="single" w:color="1A171C" w:sz="4" w:space="0"/>
              <w:bottom w:val="single" w:color="1A171C" w:sz="4" w:space="0"/>
              <w:right w:val="nil"/>
            </w:tcBorders>
            <w:vAlign w:val="center"/>
          </w:tcPr>
          <w:p w:rsidR="000B622A" w:rsidP="002863B8" w:rsidRDefault="000B622A" w14:paraId="200C8D70" w14:textId="77777777">
            <w:pPr>
              <w:pStyle w:val="TableParagraph"/>
              <w:spacing w:before="108"/>
              <w:jc w:val="both"/>
              <w:rPr>
                <w:rFonts w:ascii="Times New Roman" w:hAnsi="Times New Roman" w:cs="Times New Roman"/>
                <w:b/>
                <w:bCs/>
                <w:color w:val="000000" w:themeColor="text1"/>
                <w:sz w:val="20"/>
                <w:szCs w:val="20"/>
                <w:lang w:val="en-GB"/>
              </w:rPr>
            </w:pPr>
            <w:r w:rsidRPr="000B622A">
              <w:rPr>
                <w:rFonts w:ascii="Times New Roman" w:hAnsi="Times New Roman" w:cs="Times New Roman"/>
                <w:b/>
                <w:bCs/>
                <w:color w:val="000000" w:themeColor="text1"/>
                <w:sz w:val="20"/>
                <w:szCs w:val="20"/>
                <w:lang w:val="en-GB"/>
              </w:rPr>
              <w:t>Overall capital requirement (OCR) ratio</w:t>
            </w:r>
          </w:p>
          <w:p w:rsidR="000B622A" w:rsidP="002863B8" w:rsidRDefault="000B622A" w14:paraId="52352562"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Articles 128 point (4) and 131 of Directive 2013/36/EU </w:t>
            </w:r>
          </w:p>
          <w:p w:rsidR="000B622A" w:rsidP="002863B8" w:rsidRDefault="000B622A" w14:paraId="6E402A0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COREP (OF): {C 04.00;810;010} </w:t>
            </w:r>
          </w:p>
          <w:p w:rsidRPr="00D43D39" w:rsidR="000B622A" w:rsidP="002863B8" w:rsidRDefault="000B622A" w14:paraId="3E2CF4CD" w14:textId="5BE7FF76">
            <w:pPr>
              <w:pStyle w:val="TableParagraph"/>
              <w:spacing w:before="108"/>
              <w:jc w:val="both"/>
              <w:rPr>
                <w:rFonts w:ascii="Times New Roman" w:hAnsi="Times New Roman" w:cs="Times New Roman"/>
                <w:b/>
                <w:bCs/>
                <w:color w:val="000000" w:themeColor="text1"/>
                <w:sz w:val="20"/>
                <w:szCs w:val="20"/>
                <w:lang w:val="en-GB"/>
              </w:rPr>
            </w:pPr>
            <w:r w:rsidRPr="005F5507">
              <w:rPr>
                <w:rFonts w:ascii="Times New Roman" w:hAnsi="Times New Roman" w:cs="Times New Roman"/>
                <w:color w:val="000000" w:themeColor="text1"/>
                <w:sz w:val="20"/>
                <w:szCs w:val="20"/>
                <w:lang w:val="en-GB"/>
              </w:rPr>
              <w:t>The amount reported shall represent the amount of own funds needed to fulfil the respective capital buffer requirements at the reporting date.</w:t>
            </w:r>
          </w:p>
        </w:tc>
      </w:tr>
      <w:tr w:rsidRPr="00D43D39" w:rsidR="000B622A" w:rsidTr="002863B8" w14:paraId="1D05D138" w14:textId="77777777">
        <w:tc>
          <w:tcPr>
            <w:tcW w:w="856" w:type="dxa"/>
            <w:tcBorders>
              <w:top w:val="single" w:color="1A171C" w:sz="4" w:space="0"/>
              <w:left w:val="nil"/>
              <w:bottom w:val="single" w:color="1A171C" w:sz="4" w:space="0"/>
              <w:right w:val="single" w:color="1A171C" w:sz="4" w:space="0"/>
            </w:tcBorders>
            <w:vAlign w:val="center"/>
          </w:tcPr>
          <w:p w:rsidRPr="00D43D39" w:rsidR="000B622A" w:rsidP="002863B8" w:rsidRDefault="000B622A" w14:paraId="30663565" w14:textId="1DCD7E4D">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0500</w:t>
            </w:r>
          </w:p>
        </w:tc>
        <w:tc>
          <w:tcPr>
            <w:tcW w:w="8170" w:type="dxa"/>
            <w:tcBorders>
              <w:top w:val="single" w:color="1A171C" w:sz="4" w:space="0"/>
              <w:left w:val="single" w:color="1A171C" w:sz="4" w:space="0"/>
              <w:bottom w:val="single" w:color="1A171C" w:sz="4" w:space="0"/>
              <w:right w:val="nil"/>
            </w:tcBorders>
            <w:vAlign w:val="center"/>
          </w:tcPr>
          <w:p w:rsidR="000B622A" w:rsidP="002863B8" w:rsidRDefault="000B622A" w14:paraId="4575070D" w14:textId="77777777">
            <w:pPr>
              <w:pStyle w:val="TableParagraph"/>
              <w:spacing w:before="108"/>
              <w:jc w:val="both"/>
              <w:rPr>
                <w:rFonts w:ascii="Times New Roman" w:hAnsi="Times New Roman" w:cs="Times New Roman"/>
                <w:b/>
                <w:bCs/>
                <w:color w:val="000000" w:themeColor="text1"/>
                <w:sz w:val="20"/>
                <w:szCs w:val="20"/>
                <w:lang w:val="en-GB"/>
              </w:rPr>
            </w:pPr>
            <w:r w:rsidRPr="000B622A">
              <w:rPr>
                <w:rFonts w:ascii="Times New Roman" w:hAnsi="Times New Roman" w:cs="Times New Roman"/>
                <w:b/>
                <w:bCs/>
                <w:color w:val="000000" w:themeColor="text1"/>
                <w:sz w:val="20"/>
                <w:szCs w:val="20"/>
                <w:lang w:val="en-GB"/>
              </w:rPr>
              <w:t xml:space="preserve">Overall capital requirement (OCR) ratio </w:t>
            </w:r>
          </w:p>
          <w:p w:rsidRPr="005F5507" w:rsidR="000B622A" w:rsidP="002863B8" w:rsidRDefault="000B622A" w14:paraId="4828D462"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COREP (OF): {C 03.00;160;010} </w:t>
            </w:r>
          </w:p>
          <w:p w:rsidRPr="005F5507" w:rsidR="000B622A" w:rsidP="002863B8" w:rsidRDefault="000B622A" w14:paraId="039C7300"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The sum of (i) and (ii) as follows: </w:t>
            </w:r>
          </w:p>
          <w:p w:rsidRPr="005F5507" w:rsidR="000B622A" w:rsidP="005F5507" w:rsidRDefault="000B622A" w14:paraId="775B9159" w14:textId="0EE3FE25">
            <w:pPr>
              <w:pStyle w:val="TableParagraph"/>
              <w:numPr>
                <w:ilvl w:val="3"/>
                <w:numId w:val="211"/>
              </w:numPr>
              <w:spacing w:before="108"/>
              <w:ind w:left="931" w:hanging="567"/>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the TSCR ratio referred to in row 0300; </w:t>
            </w:r>
          </w:p>
          <w:p w:rsidRPr="005F5507" w:rsidR="000B622A" w:rsidP="005F5507" w:rsidRDefault="000B622A" w14:paraId="505C2625" w14:textId="77777777">
            <w:pPr>
              <w:pStyle w:val="TableParagraph"/>
              <w:numPr>
                <w:ilvl w:val="3"/>
                <w:numId w:val="211"/>
              </w:numPr>
              <w:spacing w:before="108"/>
              <w:ind w:left="931" w:hanging="567"/>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to the extent it is legally applicable, the combined buffer requirement ratio referred to in Article 128 point (6) of Directive 2013/36/EU. </w:t>
            </w:r>
          </w:p>
          <w:p w:rsidRPr="005F5507" w:rsidR="000B622A" w:rsidP="000B622A" w:rsidRDefault="000B622A" w14:paraId="26E9DA4B"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item shall reflect the Overall capital requirement (OCR) ratio as defined in Section 1.2 of the EBA SREP Guidelines. </w:t>
            </w:r>
          </w:p>
          <w:p w:rsidRPr="00D43D39" w:rsidR="000B622A" w:rsidRDefault="000B622A" w14:paraId="5C1B43D3" w14:textId="7A303839">
            <w:pPr>
              <w:pStyle w:val="TableParagraph"/>
              <w:spacing w:before="108"/>
              <w:jc w:val="both"/>
              <w:rPr>
                <w:rFonts w:ascii="Times New Roman" w:hAnsi="Times New Roman" w:cs="Times New Roman"/>
                <w:b/>
                <w:bCs/>
                <w:color w:val="000000" w:themeColor="text1"/>
                <w:sz w:val="20"/>
                <w:szCs w:val="20"/>
                <w:lang w:val="en-GB"/>
              </w:rPr>
            </w:pPr>
            <w:r w:rsidRPr="005F5507">
              <w:rPr>
                <w:rFonts w:ascii="Times New Roman" w:hAnsi="Times New Roman" w:cs="Times New Roman"/>
                <w:color w:val="000000" w:themeColor="text1"/>
                <w:sz w:val="20"/>
                <w:szCs w:val="20"/>
                <w:lang w:val="en-GB"/>
              </w:rPr>
              <w:t>If no buffer requirement is applicable, only point (i) shall be reported.</w:t>
            </w:r>
          </w:p>
        </w:tc>
      </w:tr>
    </w:tbl>
    <w:p w:rsidRPr="005F5507" w:rsidR="5E2F2DB1" w:rsidRDefault="5E2F2DB1" w14:paraId="2FCFA776" w14:textId="51719E48">
      <w:pPr>
        <w:rPr>
          <w:rFonts w:ascii="Times New Roman" w:hAnsi="Times New Roman" w:cs="Times New Roman"/>
        </w:rPr>
      </w:pPr>
    </w:p>
    <w:p w:rsidRPr="005F5507" w:rsidR="009F449C" w:rsidP="009F449C" w:rsidRDefault="009F449C" w14:paraId="00BCC36A" w14:textId="77777777">
      <w:pPr>
        <w:rPr>
          <w:rFonts w:ascii="Times New Roman" w:hAnsi="Times New Roman" w:cs="Times New Roman"/>
        </w:rPr>
      </w:pPr>
    </w:p>
    <w:p w:rsidRPr="00D43D39" w:rsidR="009F449C" w:rsidP="009F449C" w:rsidRDefault="009F449C" w14:paraId="64A15F1F" w14:textId="0E89C27A">
      <w:pPr>
        <w:pStyle w:val="Instructionsberschrift2"/>
        <w:numPr>
          <w:ilvl w:val="1"/>
          <w:numId w:val="49"/>
        </w:numPr>
        <w:ind w:left="357" w:hanging="357"/>
        <w:rPr>
          <w:rFonts w:ascii="Times New Roman" w:hAnsi="Times New Roman" w:cs="Times New Roman"/>
        </w:rPr>
      </w:pPr>
      <w:bookmarkStart w:name="_Toc172732225" w:id="60"/>
      <w:r w:rsidRPr="00D43D39">
        <w:rPr>
          <w:rFonts w:ascii="Times New Roman" w:hAnsi="Times New Roman" w:cs="Times New Roman"/>
        </w:rPr>
        <w:t>Z 03.02 - Own funds requirements (</w:t>
      </w:r>
      <w:r w:rsidRPr="00D43D39" w:rsidR="006C64C7">
        <w:rPr>
          <w:rFonts w:ascii="Times New Roman" w:hAnsi="Times New Roman" w:cs="Times New Roman"/>
        </w:rPr>
        <w:t>LIAB</w:t>
      </w:r>
      <w:r w:rsidR="006C64C7">
        <w:rPr>
          <w:rFonts w:ascii="Times New Roman" w:hAnsi="Times New Roman" w:cs="Times New Roman"/>
        </w:rPr>
        <w:t xml:space="preserve"> 3</w:t>
      </w:r>
      <w:r w:rsidRPr="00D43D39">
        <w:rPr>
          <w:rFonts w:ascii="Times New Roman" w:hAnsi="Times New Roman" w:cs="Times New Roman"/>
        </w:rPr>
        <w:t>)</w:t>
      </w:r>
      <w:bookmarkEnd w:id="60"/>
    </w:p>
    <w:p w:rsidRPr="00D43D39" w:rsidR="009F449C" w:rsidP="009F449C" w:rsidRDefault="009F449C" w14:paraId="1DCB0926" w14:textId="77777777">
      <w:pPr>
        <w:pStyle w:val="Instructionsberschrift3"/>
        <w:rPr>
          <w:lang w:val="en-GB"/>
        </w:rPr>
      </w:pPr>
      <w:r w:rsidRPr="00D43D39">
        <w:rPr>
          <w:lang w:val="en-GB"/>
        </w:rPr>
        <w:t>General remarks</w:t>
      </w:r>
    </w:p>
    <w:p w:rsidRPr="00D43D39" w:rsidR="00E93656" w:rsidP="005F5507" w:rsidRDefault="00E93656" w14:paraId="109C890B" w14:textId="77777777">
      <w:pPr>
        <w:pStyle w:val="Instructionsberschrift3"/>
        <w:numPr>
          <w:ilvl w:val="4"/>
          <w:numId w:val="260"/>
        </w:numPr>
        <w:rPr>
          <w:lang w:val="en-GB"/>
        </w:rPr>
      </w:pPr>
      <w:r w:rsidRPr="00D43D39">
        <w:rPr>
          <w:lang w:val="en-GB"/>
        </w:rPr>
        <w:t>This template gathers information on the own funds requirements for an entity or group.</w:t>
      </w:r>
    </w:p>
    <w:p w:rsidRPr="00D43D39" w:rsidR="00E93656" w:rsidP="005F5507" w:rsidRDefault="00E93656" w14:paraId="604213AE" w14:textId="77777777">
      <w:pPr>
        <w:pStyle w:val="Instructionsberschrift3"/>
        <w:numPr>
          <w:ilvl w:val="4"/>
          <w:numId w:val="260"/>
        </w:numPr>
        <w:rPr>
          <w:lang w:val="en-GB"/>
        </w:rPr>
      </w:pPr>
      <w:r w:rsidRPr="00D43D39">
        <w:rPr>
          <w:lang w:val="en-GB"/>
        </w:rPr>
        <w:t>All information reported shall reflect the own funds requirements applicable at the reporting reference date.</w:t>
      </w:r>
    </w:p>
    <w:p w:rsidRPr="005F5507" w:rsidR="009F449C" w:rsidP="005F5507" w:rsidRDefault="009F449C" w14:paraId="4C99E7FD" w14:textId="627BA344">
      <w:pPr>
        <w:pStyle w:val="InstructionsText2"/>
        <w:numPr>
          <w:ilvl w:val="0"/>
          <w:numId w:val="0"/>
        </w:numPr>
        <w:spacing w:before="0"/>
        <w:ind w:left="1440"/>
        <w:rPr>
          <w:rFonts w:ascii="Times New Roman" w:hAnsi="Times New Roman" w:cs="Times New Roman"/>
          <w:sz w:val="20"/>
          <w:szCs w:val="20"/>
          <w:lang w:val="en-GB"/>
        </w:rPr>
      </w:pPr>
    </w:p>
    <w:p w:rsidR="009F449C" w:rsidP="009F449C" w:rsidRDefault="009F449C" w14:paraId="4765B5F1" w14:textId="27443E85">
      <w:pPr>
        <w:pStyle w:val="Instructionsberschrift3"/>
        <w:rPr>
          <w:lang w:val="en-GB"/>
        </w:rPr>
      </w:pPr>
      <w:r w:rsidRPr="00D43D39">
        <w:rPr>
          <w:lang w:val="en-GB"/>
        </w:rPr>
        <w:t>Instructions concerning specific positions</w:t>
      </w:r>
    </w:p>
    <w:p w:rsidR="00E93656" w:rsidP="00E93656" w:rsidRDefault="00E93656" w14:paraId="001F3822" w14:textId="48B917BA">
      <w:pPr>
        <w:pStyle w:val="Instructionsberschrift3"/>
        <w:numPr>
          <w:ilvl w:val="0"/>
          <w:numId w:val="0"/>
        </w:numPr>
        <w:ind w:left="720" w:hanging="432"/>
        <w:rPr>
          <w:lang w:val="en-GB"/>
        </w:rPr>
      </w:pPr>
    </w:p>
    <w:tbl>
      <w:tblPr>
        <w:tblW w:w="0" w:type="auto"/>
        <w:tblCellMar>
          <w:top w:w="57" w:type="dxa"/>
          <w:left w:w="57" w:type="dxa"/>
          <w:bottom w:w="57" w:type="dxa"/>
          <w:right w:w="0" w:type="dxa"/>
        </w:tblCellMar>
        <w:tblLook w:val="01E0" w:firstRow="1" w:lastRow="1" w:firstColumn="1" w:lastColumn="1" w:noHBand="0" w:noVBand="0"/>
      </w:tblPr>
      <w:tblGrid>
        <w:gridCol w:w="856"/>
        <w:gridCol w:w="8170"/>
      </w:tblGrid>
      <w:tr w:rsidRPr="00D43D39" w:rsidR="00E93656" w:rsidTr="002863B8" w14:paraId="766A7F59" w14:textId="77777777">
        <w:trPr>
          <w:tblHeader/>
        </w:trPr>
        <w:tc>
          <w:tcPr>
            <w:tcW w:w="856" w:type="dxa"/>
            <w:tcBorders>
              <w:top w:val="single" w:color="1A171C" w:sz="4" w:space="0"/>
              <w:left w:val="nil"/>
              <w:bottom w:val="single" w:color="1A171C" w:sz="4" w:space="0"/>
              <w:right w:val="single" w:color="1A171C" w:sz="4" w:space="0"/>
            </w:tcBorders>
            <w:shd w:val="clear" w:color="auto" w:fill="E4E5E5"/>
          </w:tcPr>
          <w:p w:rsidRPr="00D43D39" w:rsidR="00E93656" w:rsidP="002863B8" w:rsidRDefault="00E93656" w14:paraId="11939C15" w14:textId="77777777">
            <w:pPr>
              <w:pStyle w:val="TableParagraph"/>
              <w:spacing w:before="66"/>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Rows</w:t>
            </w:r>
          </w:p>
        </w:tc>
        <w:tc>
          <w:tcPr>
            <w:tcW w:w="8170" w:type="dxa"/>
            <w:tcBorders>
              <w:top w:val="single" w:color="1A171C" w:sz="4" w:space="0"/>
              <w:left w:val="single" w:color="1A171C" w:sz="4" w:space="0"/>
              <w:bottom w:val="single" w:color="1A171C" w:sz="4" w:space="0"/>
              <w:right w:val="nil"/>
            </w:tcBorders>
            <w:shd w:val="clear" w:color="auto" w:fill="E4E5E5"/>
          </w:tcPr>
          <w:p w:rsidRPr="00D43D39" w:rsidR="00E93656" w:rsidP="002863B8" w:rsidRDefault="00E93656" w14:paraId="66D78DDF" w14:textId="77777777">
            <w:pPr>
              <w:pStyle w:val="TableParagraph"/>
              <w:spacing w:before="66"/>
              <w:ind w:right="1"/>
              <w:jc w:val="center"/>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Pr="00D43D39" w:rsidR="00E93656" w:rsidTr="002863B8" w14:paraId="3366D440"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6EA46347" w14:textId="77777777">
            <w:pPr>
              <w:pStyle w:val="TableParagraph"/>
              <w:spacing w:before="106"/>
              <w:ind w:left="-1"/>
              <w:rPr>
                <w:rFonts w:ascii="Times New Roman" w:hAnsi="Times New Roman" w:eastAsia="Cambria" w:cs="Times New Roman"/>
                <w:b/>
                <w:color w:val="000000" w:themeColor="text1"/>
                <w:sz w:val="20"/>
                <w:szCs w:val="20"/>
                <w:lang w:val="en-GB"/>
              </w:rPr>
            </w:pPr>
            <w:r w:rsidRPr="00D43D39">
              <w:rPr>
                <w:rFonts w:ascii="Times New Roman" w:hAnsi="Times New Roman" w:cs="Times New Roman"/>
                <w:color w:val="000000" w:themeColor="text1"/>
                <w:sz w:val="20"/>
                <w:szCs w:val="20"/>
                <w:lang w:val="en-GB"/>
              </w:rPr>
              <w:t>0100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33819501" w14:textId="77777777">
            <w:pPr>
              <w:pStyle w:val="TableParagraph"/>
              <w:spacing w:before="108"/>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Total Own Funds Requirement</w:t>
            </w:r>
          </w:p>
          <w:p w:rsidRPr="00D43D39" w:rsidR="00E93656" w:rsidP="002863B8" w:rsidRDefault="00E93656" w14:paraId="0D3E04BC"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referred to under Article 11.1 of Regulation (EU) 2019/2033.</w:t>
            </w:r>
          </w:p>
          <w:p w:rsidRPr="00D43D39" w:rsidR="00E93656" w:rsidP="002863B8" w:rsidRDefault="00E93656" w14:paraId="1F484AB5" w14:textId="77777777">
            <w:pPr>
              <w:pStyle w:val="TableParagraph"/>
              <w:spacing w:before="108"/>
              <w:rPr>
                <w:rFonts w:ascii="Times New Roman" w:hAnsi="Times New Roman" w:cs="Times New Roman"/>
                <w:color w:val="000000" w:themeColor="text1"/>
                <w:spacing w:val="-2"/>
                <w:w w:val="95"/>
                <w:sz w:val="20"/>
                <w:szCs w:val="20"/>
                <w:lang w:val="en-GB"/>
              </w:rPr>
            </w:pPr>
          </w:p>
        </w:tc>
      </w:tr>
      <w:tr w:rsidRPr="00D43D39" w:rsidR="00E93656" w:rsidTr="002863B8" w14:paraId="5B506AF4"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0AE97491"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0400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3929A5EF"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Combined Buffer Requirement</w:t>
            </w:r>
          </w:p>
          <w:p w:rsidRPr="00D43D39" w:rsidR="00E93656" w:rsidP="002863B8" w:rsidRDefault="00E93656" w14:paraId="0DCF91B3"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w:t>
            </w:r>
            <w:r w:rsidRPr="00D43D39">
              <w:rPr>
                <w:rStyle w:val="InstructionsTabelleberschrift"/>
                <w:rFonts w:ascii="Times New Roman" w:hAnsi="Times New Roman"/>
                <w:b w:val="0"/>
                <w:color w:val="000000" w:themeColor="text1"/>
                <w:szCs w:val="20"/>
                <w:u w:val="none"/>
              </w:rPr>
              <w:t>p</w:t>
            </w:r>
            <w:r w:rsidRPr="00D43D39">
              <w:rPr>
                <w:rFonts w:ascii="Times New Roman" w:hAnsi="Times New Roman" w:eastAsia="Cambria" w:cs="Times New Roman"/>
                <w:color w:val="000000" w:themeColor="text1"/>
                <w:spacing w:val="-2"/>
                <w:w w:val="95"/>
                <w:sz w:val="20"/>
                <w:szCs w:val="20"/>
                <w:lang w:val="en-GB"/>
              </w:rPr>
              <w:t>oint (6) of the first subparagraph of Article 128 of Directive 2013/36/EU.</w:t>
            </w:r>
          </w:p>
          <w:p w:rsidRPr="00D43D39" w:rsidR="00E93656" w:rsidP="002863B8" w:rsidRDefault="00E93656" w14:paraId="6F154BA1" w14:textId="3F76CCB8">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In case the resolution perimeter differs from the prudential one, the estimation of the combined buffer requirement of the resolution entity at the resolution group consolidated level 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(1) of the Commission Delegated Regulation (EU) 2021/1118. </w:t>
            </w:r>
          </w:p>
          <w:p w:rsidRPr="00D43D39" w:rsidR="00E93656" w:rsidP="002863B8" w:rsidRDefault="00E93656" w14:paraId="1F0343E5"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p>
        </w:tc>
      </w:tr>
      <w:tr w:rsidRPr="00D43D39" w:rsidR="00E93656" w:rsidTr="002863B8" w14:paraId="2CCF43BF"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3723E669"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0410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774B26D4"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Capital Conservation Buffer</w:t>
            </w:r>
          </w:p>
          <w:p w:rsidRPr="00D43D39" w:rsidR="00E93656" w:rsidP="002863B8" w:rsidRDefault="00E93656" w14:paraId="191D874F"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w:t>
            </w:r>
            <w:r w:rsidRPr="00D43D39">
              <w:rPr>
                <w:rFonts w:ascii="Times New Roman" w:hAnsi="Times New Roman" w:eastAsia="Cambria" w:cs="Times New Roman"/>
                <w:color w:val="000000" w:themeColor="text1"/>
                <w:spacing w:val="-2"/>
                <w:w w:val="95"/>
                <w:sz w:val="20"/>
                <w:szCs w:val="20"/>
                <w:lang w:val="en-GB"/>
              </w:rPr>
              <w:t>Articles 128 point (1) and 129 of Directive 2013/36/EU.</w:t>
            </w:r>
          </w:p>
          <w:p w:rsidRPr="00D43D39" w:rsidR="00E93656" w:rsidP="002863B8" w:rsidRDefault="00E93656" w14:paraId="1CDC9195" w14:textId="7E42A644">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In case the resolution perimeter differs from the prudential one, the estimation of this buffer requirement of the resolution entity at the resolution group consolidated level</w:t>
            </w:r>
            <w:r w:rsidR="00285FF6">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(2) of the Commission Delegated Regulation (EU) 2021/1118.</w:t>
            </w:r>
          </w:p>
          <w:p w:rsidRPr="00D43D39" w:rsidR="00E93656" w:rsidP="002863B8" w:rsidRDefault="00E93656" w14:paraId="54C9B73A"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For Investment firms, the amount referred to under Article 11.1 of Regulation (EU) 2019/2033.</w:t>
            </w:r>
          </w:p>
          <w:p w:rsidRPr="00D43D39" w:rsidR="00E93656" w:rsidP="002863B8" w:rsidRDefault="00E93656" w14:paraId="59870B74"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p>
        </w:tc>
      </w:tr>
      <w:tr w:rsidRPr="00D43D39" w:rsidR="00E93656" w:rsidTr="002863B8" w14:paraId="5288032E"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2666D1BA"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0420</w:t>
            </w:r>
          </w:p>
        </w:tc>
        <w:tc>
          <w:tcPr>
            <w:tcW w:w="8170" w:type="dxa"/>
            <w:tcBorders>
              <w:top w:val="single" w:color="1A171C" w:sz="4" w:space="0"/>
              <w:left w:val="single" w:color="1A171C" w:sz="4" w:space="0"/>
              <w:bottom w:val="single" w:color="1A171C" w:sz="4" w:space="0"/>
              <w:right w:val="nil"/>
            </w:tcBorders>
            <w:vAlign w:val="center"/>
          </w:tcPr>
          <w:p w:rsidRPr="002863B8" w:rsidR="00E93656" w:rsidP="002863B8" w:rsidRDefault="00E93656" w14:paraId="51889028" w14:textId="77777777">
            <w:pPr>
              <w:rPr>
                <w:rStyle w:val="InstructionsTabelleberschrift"/>
                <w:rFonts w:ascii="Times New Roman" w:hAnsi="Times New Roman"/>
                <w:color w:val="000000" w:themeColor="text1"/>
                <w:szCs w:val="20"/>
                <w:u w:val="none"/>
                <w:lang w:val="en-GB"/>
              </w:rPr>
            </w:pPr>
            <w:r w:rsidRPr="00D43D39">
              <w:rPr>
                <w:rStyle w:val="InstructionsTabelleberschrift"/>
                <w:rFonts w:ascii="Times New Roman" w:hAnsi="Times New Roman"/>
                <w:color w:val="000000" w:themeColor="text1"/>
                <w:szCs w:val="20"/>
                <w:u w:val="none"/>
                <w:lang w:val="en-GB"/>
              </w:rPr>
              <w:t>Conservation buffer due to macro-prudential or systemic risk identified at the level of a Member State</w:t>
            </w:r>
          </w:p>
          <w:p w:rsidRPr="00D43D39" w:rsidR="00E93656" w:rsidP="002863B8" w:rsidRDefault="00E93656" w14:paraId="7F0F2239" w14:textId="77777777">
            <w:pPr>
              <w:rPr>
                <w:rStyle w:val="InstructionsTabelleberschrift"/>
                <w:rFonts w:ascii="Times New Roman" w:hAnsi="Times New Roman"/>
                <w:color w:val="000000" w:themeColor="text1"/>
                <w:szCs w:val="20"/>
                <w:u w:val="none"/>
                <w:lang w:val="en-GB"/>
              </w:rPr>
            </w:pPr>
          </w:p>
          <w:p w:rsidRPr="00D43D39" w:rsidR="00E93656" w:rsidP="002863B8" w:rsidRDefault="00E93656" w14:paraId="02A0E0CB" w14:textId="77777777">
            <w:pPr>
              <w:rPr>
                <w:rStyle w:val="InstructionsTabelleberschrift"/>
                <w:rFonts w:ascii="Times New Roman" w:hAnsi="Times New Roman"/>
                <w:b w:val="0"/>
                <w:color w:val="000000" w:themeColor="text1"/>
                <w:szCs w:val="20"/>
                <w:u w:val="none"/>
                <w:lang w:val="en-GB"/>
              </w:rPr>
            </w:pPr>
            <w:r w:rsidRPr="002863B8">
              <w:rPr>
                <w:rFonts w:ascii="Times New Roman" w:hAnsi="Times New Roman" w:eastAsia="Cambria"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Article 458 (2) point d (iv) of Regulation (EU) No 575/2013</w:t>
            </w:r>
          </w:p>
          <w:p w:rsidRPr="00D43D39" w:rsidR="00E93656" w:rsidP="002863B8" w:rsidRDefault="00E93656" w14:paraId="70DC776D" w14:textId="242173AF">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In case the resolution perimeter differs from the prudential one, the reported amount correspond</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to the buffer applicable to the exposures of the resolution group.</w:t>
            </w:r>
          </w:p>
          <w:p w:rsidRPr="00D43D39" w:rsidR="00E93656" w:rsidP="002863B8" w:rsidRDefault="00E93656" w14:paraId="54DE8CD5"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For Investment firms, the amount referred to under Article 11.1 of Regulation (EU) 2019/2033.</w:t>
            </w:r>
          </w:p>
          <w:p w:rsidRPr="002863B8" w:rsidR="00E93656" w:rsidP="002863B8" w:rsidRDefault="00E93656" w14:paraId="78CD9813" w14:textId="77777777">
            <w:pPr>
              <w:pStyle w:val="TableParagraph"/>
              <w:spacing w:before="108"/>
              <w:jc w:val="both"/>
              <w:rPr>
                <w:rStyle w:val="InstructionsTabelleberschrift"/>
                <w:rFonts w:ascii="Times New Roman" w:hAnsi="Times New Roman" w:eastAsia="Cambria"/>
                <w:b w:val="0"/>
                <w:bCs w:val="0"/>
                <w:color w:val="000000" w:themeColor="text1"/>
                <w:spacing w:val="-2"/>
                <w:w w:val="95"/>
                <w:szCs w:val="20"/>
                <w:u w:val="none"/>
                <w:lang w:val="en-GB"/>
              </w:rPr>
            </w:pPr>
          </w:p>
          <w:p w:rsidRPr="00D43D39" w:rsidR="00E93656" w:rsidP="002863B8" w:rsidRDefault="00E93656" w14:paraId="025002CC" w14:textId="77777777">
            <w:pPr>
              <w:pStyle w:val="TableParagraph"/>
              <w:spacing w:before="108"/>
              <w:jc w:val="both"/>
              <w:rPr>
                <w:rFonts w:ascii="Times New Roman" w:hAnsi="Times New Roman" w:cs="Times New Roman"/>
                <w:b/>
                <w:bCs/>
                <w:color w:val="000000" w:themeColor="text1"/>
                <w:sz w:val="20"/>
                <w:szCs w:val="20"/>
                <w:lang w:val="en-GB"/>
              </w:rPr>
            </w:pPr>
          </w:p>
        </w:tc>
      </w:tr>
      <w:tr w:rsidRPr="00D43D39" w:rsidR="00E93656" w:rsidTr="002863B8" w14:paraId="45AC9779" w14:textId="77777777">
        <w:tc>
          <w:tcPr>
            <w:tcW w:w="856" w:type="dxa"/>
            <w:tcBorders>
              <w:top w:val="single" w:color="1A171C" w:sz="4" w:space="0"/>
              <w:left w:val="nil"/>
              <w:bottom w:val="single" w:color="1A171C" w:sz="4" w:space="0"/>
              <w:right w:val="single" w:color="1A171C" w:sz="4" w:space="0"/>
            </w:tcBorders>
            <w:vAlign w:val="center"/>
          </w:tcPr>
          <w:p w:rsidRPr="00D43D39" w:rsidR="00E93656" w:rsidP="002863B8" w:rsidRDefault="00E93656" w14:paraId="46EEE8F5"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0430</w:t>
            </w:r>
          </w:p>
        </w:tc>
        <w:tc>
          <w:tcPr>
            <w:tcW w:w="8170" w:type="dxa"/>
            <w:tcBorders>
              <w:top w:val="single" w:color="1A171C" w:sz="4" w:space="0"/>
              <w:left w:val="single" w:color="1A171C" w:sz="4" w:space="0"/>
              <w:bottom w:val="single" w:color="1A171C" w:sz="4" w:space="0"/>
              <w:right w:val="nil"/>
            </w:tcBorders>
            <w:vAlign w:val="center"/>
          </w:tcPr>
          <w:p w:rsidRPr="00D43D39" w:rsidR="00E93656" w:rsidP="002863B8" w:rsidRDefault="00E93656" w14:paraId="566BE967"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Institution-Specific Countercyclical Capital Buffer </w:t>
            </w:r>
          </w:p>
          <w:p w:rsidRPr="00D43D39" w:rsidR="00E93656" w:rsidP="002863B8" w:rsidRDefault="00E93656" w14:paraId="04E5EB90"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Requirement referred to in Articles 128 point (2), 130, 135-140 of Directive 2013/36/EU.</w:t>
            </w:r>
          </w:p>
          <w:p w:rsidRPr="00D43D39" w:rsidR="00E93656" w:rsidP="002863B8" w:rsidRDefault="00E93656" w14:paraId="038AB04F" w14:textId="1C77094D">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In case the resolution perimeter differs from the prudential one, the reported amount correspond</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to the buffer requirement applicable to the exposures of the resolution group.</w:t>
            </w:r>
          </w:p>
          <w:p w:rsidRPr="00D43D39" w:rsidR="00E93656" w:rsidP="002863B8" w:rsidRDefault="00E93656" w14:paraId="7A9A74A1"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For Investment firms, the amount referred to under Article 11.1 of Regulation (EU) 2019/2033.</w:t>
            </w:r>
          </w:p>
          <w:p w:rsidRPr="00D43D39" w:rsidR="00E93656" w:rsidP="002863B8" w:rsidRDefault="00E93656" w14:paraId="12792B98"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p>
          <w:p w:rsidRPr="00D43D39" w:rsidR="00E93656" w:rsidP="002863B8" w:rsidRDefault="00E93656" w14:paraId="4D8A174C"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p>
        </w:tc>
      </w:tr>
    </w:tbl>
    <w:p w:rsidRPr="005F5507" w:rsidR="00E93656" w:rsidP="00E93656" w:rsidRDefault="00E93656" w14:paraId="7FD01292" w14:textId="1B7DB76F">
      <w:pPr>
        <w:pStyle w:val="Instructionsberschrift3"/>
        <w:numPr>
          <w:ilvl w:val="0"/>
          <w:numId w:val="0"/>
        </w:numPr>
        <w:ind w:left="720" w:hanging="432"/>
      </w:pPr>
    </w:p>
    <w:p w:rsidR="00E93656" w:rsidP="00E93656" w:rsidRDefault="00E93656" w14:paraId="40F2DEF6" w14:textId="40606D34">
      <w:pPr>
        <w:pStyle w:val="Instructionsberschrift3"/>
        <w:numPr>
          <w:ilvl w:val="0"/>
          <w:numId w:val="0"/>
        </w:numPr>
        <w:ind w:left="720" w:hanging="432"/>
        <w:rPr>
          <w:lang w:val="en-GB"/>
        </w:rPr>
      </w:pPr>
    </w:p>
    <w:p w:rsidRPr="00D43D39" w:rsidR="00E93656" w:rsidP="005F5507" w:rsidRDefault="00E93656" w14:paraId="4E4A405A" w14:textId="77777777">
      <w:pPr>
        <w:pStyle w:val="Instructionsberschrift3"/>
        <w:numPr>
          <w:ilvl w:val="0"/>
          <w:numId w:val="0"/>
        </w:numPr>
        <w:ind w:left="720" w:hanging="432"/>
        <w:rPr>
          <w:lang w:val="en-GB"/>
        </w:rPr>
      </w:pPr>
    </w:p>
    <w:p w:rsidRPr="005F5507" w:rsidR="00FE3E96" w:rsidP="00E13CE3" w:rsidRDefault="00FE3E96" w14:paraId="4396EC85" w14:textId="04293A1A">
      <w:pPr>
        <w:rPr>
          <w:rFonts w:ascii="Times New Roman" w:hAnsi="Times New Roman" w:cs="Times New Roman"/>
          <w:color w:val="000000" w:themeColor="text1"/>
          <w:sz w:val="20"/>
          <w:szCs w:val="20"/>
        </w:rPr>
      </w:pPr>
    </w:p>
    <w:p w:rsidRPr="005F5507" w:rsidR="00E13CE3" w:rsidP="008854E4" w:rsidRDefault="00F7117F" w14:paraId="0FFC8210" w14:textId="3CA6B21D">
      <w:pPr>
        <w:pStyle w:val="Instructionsberschrift2"/>
        <w:numPr>
          <w:ilvl w:val="1"/>
          <w:numId w:val="49"/>
        </w:numPr>
        <w:ind w:left="357" w:hanging="357"/>
        <w:rPr>
          <w:rFonts w:ascii="Times New Roman" w:hAnsi="Times New Roman" w:cs="Times New Roman"/>
          <w:lang w:val="fr-BE"/>
        </w:rPr>
      </w:pPr>
      <w:bookmarkStart w:name="_Toc492542324" w:id="61"/>
      <w:bookmarkStart w:name="_Toc81454182" w:id="62"/>
      <w:bookmarkStart w:name="_Toc172732226" w:id="63"/>
      <w:r w:rsidRPr="005F5507">
        <w:rPr>
          <w:rFonts w:ascii="Times New Roman" w:hAnsi="Times New Roman" w:cs="Times New Roman"/>
          <w:lang w:val="fr-BE"/>
        </w:rPr>
        <w:t>Z 0</w:t>
      </w:r>
      <w:r w:rsidRPr="005F5507" w:rsidR="0009111C">
        <w:rPr>
          <w:rFonts w:ascii="Times New Roman" w:hAnsi="Times New Roman" w:cs="Times New Roman"/>
          <w:lang w:val="fr-BE"/>
        </w:rPr>
        <w:t>4</w:t>
      </w:r>
      <w:r w:rsidRPr="005F5507" w:rsidR="00E13CE3">
        <w:rPr>
          <w:rFonts w:ascii="Times New Roman" w:hAnsi="Times New Roman" w:cs="Times New Roman"/>
          <w:lang w:val="fr-BE"/>
        </w:rPr>
        <w:t xml:space="preserve">.00 - Intragroup financial </w:t>
      </w:r>
      <w:r w:rsidRPr="005F5507" w:rsidR="00446239">
        <w:rPr>
          <w:rFonts w:ascii="Times New Roman" w:hAnsi="Times New Roman" w:cs="Times New Roman"/>
          <w:lang w:val="fr-BE"/>
        </w:rPr>
        <w:t>inter</w:t>
      </w:r>
      <w:r w:rsidRPr="005F5507" w:rsidR="00E13CE3">
        <w:rPr>
          <w:rFonts w:ascii="Times New Roman" w:hAnsi="Times New Roman" w:cs="Times New Roman"/>
          <w:lang w:val="fr-BE"/>
        </w:rPr>
        <w:t>connections (</w:t>
      </w:r>
      <w:r w:rsidRPr="00056E47" w:rsidR="006C64C7">
        <w:rPr>
          <w:rFonts w:ascii="Times New Roman" w:hAnsi="Times New Roman" w:cs="Times New Roman"/>
          <w:lang w:val="fr-BE"/>
        </w:rPr>
        <w:t>LIAB 4</w:t>
      </w:r>
      <w:r w:rsidRPr="005F5507" w:rsidR="00E13CE3">
        <w:rPr>
          <w:rFonts w:ascii="Times New Roman" w:hAnsi="Times New Roman" w:cs="Times New Roman"/>
          <w:lang w:val="fr-BE"/>
        </w:rPr>
        <w:t>)</w:t>
      </w:r>
      <w:bookmarkEnd w:id="61"/>
      <w:bookmarkEnd w:id="62"/>
      <w:bookmarkEnd w:id="63"/>
    </w:p>
    <w:p w:rsidRPr="00D43D39" w:rsidR="00E13CE3" w:rsidP="00EC261B" w:rsidRDefault="6235ADD5" w14:paraId="651647D3" w14:textId="439D9B62">
      <w:pPr>
        <w:pStyle w:val="Instructionsberschrift3"/>
        <w:rPr>
          <w:lang w:val="en-GB"/>
        </w:rPr>
      </w:pPr>
      <w:r w:rsidRPr="00D43D39">
        <w:rPr>
          <w:lang w:val="en-GB"/>
        </w:rPr>
        <w:t>General remarks</w:t>
      </w:r>
    </w:p>
    <w:p w:rsidRPr="00D43D39" w:rsidR="00E13CE3" w:rsidP="005F5507" w:rsidRDefault="25543778" w14:paraId="22CE4358" w14:textId="3138C95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This template </w:t>
      </w:r>
      <w:r w:rsidRPr="00D43D39" w:rsidR="10811C79">
        <w:rPr>
          <w:rFonts w:ascii="Times New Roman" w:hAnsi="Times New Roman" w:cs="Times New Roman"/>
          <w:sz w:val="20"/>
          <w:szCs w:val="20"/>
          <w:lang w:val="en-GB"/>
        </w:rPr>
        <w:t xml:space="preserve">requires information on </w:t>
      </w:r>
      <w:r w:rsidRPr="00D43D39">
        <w:rPr>
          <w:rFonts w:ascii="Times New Roman" w:hAnsi="Times New Roman" w:cs="Times New Roman"/>
          <w:sz w:val="20"/>
          <w:szCs w:val="20"/>
          <w:lang w:val="en-GB"/>
        </w:rPr>
        <w:t>intragroup liabilities</w:t>
      </w:r>
      <w:r w:rsidRPr="00D43D39" w:rsidR="1029E032">
        <w:rPr>
          <w:rFonts w:ascii="Times New Roman" w:hAnsi="Times New Roman" w:cs="Times New Roman"/>
          <w:sz w:val="20"/>
          <w:szCs w:val="20"/>
          <w:lang w:val="en-GB"/>
        </w:rPr>
        <w:t xml:space="preserve">, capital instruments </w:t>
      </w:r>
      <w:r w:rsidRPr="00D43D39">
        <w:rPr>
          <w:rFonts w:ascii="Times New Roman" w:hAnsi="Times New Roman" w:cs="Times New Roman"/>
          <w:sz w:val="20"/>
          <w:szCs w:val="20"/>
          <w:lang w:val="en-GB"/>
        </w:rPr>
        <w:t xml:space="preserve">and guarantees. </w:t>
      </w:r>
    </w:p>
    <w:p w:rsidRPr="00D43D39" w:rsidR="00395330" w:rsidP="005F5507" w:rsidRDefault="073F2751" w14:paraId="5DFA4AB4" w14:textId="6A90CAC5">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All financial interconnections between legal entities that are included in the consolidated financial statements shall be reported. Reported amounts shall be aggregated where they pertain to the same counterparties (both issuer or guaranteed entity, and creditor, holder or guarantee provider) and the same type of liabilities, capital instruments or guarantees.</w:t>
      </w:r>
    </w:p>
    <w:p w:rsidRPr="00D43D39" w:rsidR="00E13CE3" w:rsidP="005F5507" w:rsidRDefault="25543778" w14:paraId="6610BD05"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The combination of </w:t>
      </w:r>
      <w:r w:rsidRPr="00D43D39" w:rsidR="3DD2167F">
        <w:rPr>
          <w:rFonts w:ascii="Times New Roman" w:hAnsi="Times New Roman" w:cs="Times New Roman"/>
          <w:sz w:val="20"/>
          <w:szCs w:val="20"/>
          <w:lang w:val="en-GB"/>
        </w:rPr>
        <w:t xml:space="preserve">values reported </w:t>
      </w:r>
      <w:r w:rsidRPr="00D43D39" w:rsidR="66FFC6DA">
        <w:rPr>
          <w:rFonts w:ascii="Times New Roman" w:hAnsi="Times New Roman" w:cs="Times New Roman"/>
          <w:sz w:val="20"/>
          <w:szCs w:val="20"/>
          <w:lang w:val="en-GB"/>
        </w:rPr>
        <w:t>i</w:t>
      </w:r>
      <w:r w:rsidRPr="00D43D39" w:rsidR="3DD2167F">
        <w:rPr>
          <w:rFonts w:ascii="Times New Roman" w:hAnsi="Times New Roman" w:cs="Times New Roman"/>
          <w:sz w:val="20"/>
          <w:szCs w:val="20"/>
          <w:lang w:val="en-GB"/>
        </w:rPr>
        <w:t xml:space="preserve">n </w:t>
      </w:r>
      <w:r w:rsidRPr="00D43D39">
        <w:rPr>
          <w:rFonts w:ascii="Times New Roman" w:hAnsi="Times New Roman" w:cs="Times New Roman"/>
          <w:sz w:val="20"/>
          <w:szCs w:val="20"/>
          <w:lang w:val="en-GB"/>
        </w:rPr>
        <w:t xml:space="preserve">columns </w:t>
      </w:r>
      <w:r w:rsidRPr="00D43D39" w:rsidR="19092FCF">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020, </w:t>
      </w:r>
      <w:r w:rsidRPr="00D43D39" w:rsidR="19092FCF">
        <w:rPr>
          <w:rFonts w:ascii="Times New Roman" w:hAnsi="Times New Roman" w:cs="Times New Roman"/>
          <w:sz w:val="20"/>
          <w:szCs w:val="20"/>
          <w:lang w:val="en-GB"/>
        </w:rPr>
        <w:t>0</w:t>
      </w:r>
      <w:r w:rsidRPr="00D43D39">
        <w:rPr>
          <w:rFonts w:ascii="Times New Roman" w:hAnsi="Times New Roman" w:cs="Times New Roman"/>
          <w:sz w:val="20"/>
          <w:szCs w:val="20"/>
          <w:lang w:val="en-GB"/>
        </w:rPr>
        <w:t>040</w:t>
      </w:r>
      <w:r w:rsidRPr="00D43D39" w:rsidR="3DD2167F">
        <w:rPr>
          <w:rFonts w:ascii="Times New Roman" w:hAnsi="Times New Roman" w:cs="Times New Roman"/>
          <w:sz w:val="20"/>
          <w:szCs w:val="20"/>
          <w:lang w:val="en-GB"/>
        </w:rPr>
        <w:t xml:space="preserve"> and</w:t>
      </w:r>
      <w:r w:rsidRPr="00D43D39">
        <w:rPr>
          <w:rFonts w:ascii="Times New Roman" w:hAnsi="Times New Roman" w:cs="Times New Roman"/>
          <w:sz w:val="20"/>
          <w:szCs w:val="20"/>
          <w:lang w:val="en-GB"/>
        </w:rPr>
        <w:t xml:space="preserve"> </w:t>
      </w:r>
      <w:r w:rsidRPr="00D43D39" w:rsidR="19092FCF">
        <w:rPr>
          <w:rFonts w:ascii="Times New Roman" w:hAnsi="Times New Roman" w:cs="Times New Roman"/>
          <w:sz w:val="20"/>
          <w:szCs w:val="20"/>
          <w:lang w:val="en-GB"/>
        </w:rPr>
        <w:t>0</w:t>
      </w:r>
      <w:r w:rsidRPr="00D43D39">
        <w:rPr>
          <w:rFonts w:ascii="Times New Roman" w:hAnsi="Times New Roman" w:cs="Times New Roman"/>
          <w:sz w:val="20"/>
          <w:szCs w:val="20"/>
          <w:lang w:val="en-GB"/>
        </w:rPr>
        <w:t>050</w:t>
      </w:r>
      <w:r w:rsidRPr="00D43D39" w:rsidR="3DD2167F">
        <w:rPr>
          <w:rFonts w:ascii="Times New Roman" w:hAnsi="Times New Roman" w:cs="Times New Roman"/>
          <w:sz w:val="20"/>
          <w:szCs w:val="20"/>
          <w:lang w:val="en-GB"/>
        </w:rPr>
        <w:t xml:space="preserve"> of this template forms a primary key which has to be unique for </w:t>
      </w:r>
      <w:r w:rsidRPr="00D43D39">
        <w:rPr>
          <w:rFonts w:ascii="Times New Roman" w:hAnsi="Times New Roman" w:cs="Times New Roman"/>
          <w:sz w:val="20"/>
          <w:szCs w:val="20"/>
          <w:lang w:val="en-GB"/>
        </w:rPr>
        <w:t>each row of the template.</w:t>
      </w:r>
    </w:p>
    <w:p w:rsidRPr="00D43D39" w:rsidR="00E13CE3" w:rsidP="00715DAB" w:rsidRDefault="00E13CE3" w14:paraId="2B305CA8" w14:textId="77777777">
      <w:pPr>
        <w:pStyle w:val="Instructionsberschrift3"/>
        <w:rPr>
          <w:b/>
          <w:lang w:val="en-GB"/>
        </w:rPr>
      </w:pPr>
      <w:r w:rsidRPr="00D43D39">
        <w:rPr>
          <w:b/>
          <w:lang w:val="en-GB"/>
        </w:rPr>
        <w:t>Instructions concerning specific positions</w:t>
      </w:r>
    </w:p>
    <w:tbl>
      <w:tblPr>
        <w:tblW w:w="0" w:type="auto"/>
        <w:tblCellMar>
          <w:top w:w="57" w:type="dxa"/>
          <w:left w:w="57" w:type="dxa"/>
          <w:bottom w:w="57" w:type="dxa"/>
          <w:right w:w="0" w:type="dxa"/>
        </w:tblCellMar>
        <w:tblLook w:val="01E0" w:firstRow="1" w:lastRow="1" w:firstColumn="1" w:lastColumn="1" w:noHBand="0" w:noVBand="0"/>
      </w:tblPr>
      <w:tblGrid>
        <w:gridCol w:w="907"/>
        <w:gridCol w:w="8119"/>
      </w:tblGrid>
      <w:tr w:rsidRPr="00D43D39" w:rsidR="00D22EB0" w:rsidTr="005F5507" w14:paraId="2B1A7F3E" w14:textId="77777777">
        <w:trPr>
          <w:tblHeader/>
        </w:trPr>
        <w:tc>
          <w:tcPr>
            <w:tcW w:w="907" w:type="dxa"/>
            <w:tcBorders>
              <w:top w:val="single" w:color="1A171C" w:sz="4" w:space="0"/>
              <w:left w:val="nil"/>
              <w:bottom w:val="single" w:color="1A171C" w:sz="4" w:space="0"/>
              <w:right w:val="single" w:color="1A171C" w:sz="4" w:space="0"/>
            </w:tcBorders>
            <w:shd w:val="clear" w:color="auto" w:fill="E4E5E5"/>
          </w:tcPr>
          <w:p w:rsidRPr="00D43D39" w:rsidR="004D27A1" w:rsidP="00DF1EA4" w:rsidRDefault="004D27A1" w14:paraId="795F6BD3" w14:textId="77777777">
            <w:pPr>
              <w:pStyle w:val="TableParagraph"/>
              <w:spacing w:before="66"/>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Columns</w:t>
            </w:r>
          </w:p>
        </w:tc>
        <w:tc>
          <w:tcPr>
            <w:tcW w:w="8119" w:type="dxa"/>
            <w:tcBorders>
              <w:top w:val="single" w:color="1A171C" w:sz="4" w:space="0"/>
              <w:left w:val="single" w:color="1A171C" w:sz="4" w:space="0"/>
              <w:bottom w:val="single" w:color="1A171C" w:sz="4" w:space="0"/>
              <w:right w:val="nil"/>
            </w:tcBorders>
            <w:shd w:val="clear" w:color="auto" w:fill="E4E5E5"/>
          </w:tcPr>
          <w:p w:rsidRPr="00D43D39" w:rsidR="004D27A1" w:rsidP="00DF1EA4" w:rsidRDefault="004D27A1" w14:paraId="5CB872D7" w14:textId="77777777">
            <w:pPr>
              <w:pStyle w:val="TableParagraph"/>
              <w:spacing w:before="66"/>
              <w:ind w:right="1"/>
              <w:jc w:val="center"/>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Pr="00D43D39" w:rsidR="00D22EB0" w:rsidTr="00850F01" w14:paraId="43B6E181" w14:textId="77777777">
        <w:tc>
          <w:tcPr>
            <w:tcW w:w="907" w:type="dxa"/>
            <w:tcBorders>
              <w:top w:val="single" w:color="1A171C" w:sz="4" w:space="0"/>
              <w:left w:val="nil"/>
              <w:bottom w:val="single" w:color="1A171C" w:sz="4" w:space="0"/>
              <w:right w:val="single" w:color="1A171C" w:sz="4" w:space="0"/>
            </w:tcBorders>
            <w:vAlign w:val="center"/>
          </w:tcPr>
          <w:p w:rsidRPr="00D43D39" w:rsidR="004D27A1" w:rsidP="00DF1EA4" w:rsidRDefault="00AF56D5" w14:paraId="32903EE6" w14:textId="4FBFE24C">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4D27A1">
              <w:rPr>
                <w:rFonts w:ascii="Times New Roman" w:hAnsi="Times New Roman" w:cs="Times New Roman"/>
                <w:color w:val="000000" w:themeColor="text1"/>
                <w:sz w:val="20"/>
                <w:szCs w:val="20"/>
                <w:lang w:val="en-GB"/>
              </w:rPr>
              <w:t>010-</w:t>
            </w:r>
            <w:r w:rsidRPr="00D43D39">
              <w:rPr>
                <w:rFonts w:ascii="Times New Roman" w:hAnsi="Times New Roman" w:cs="Times New Roman"/>
                <w:color w:val="000000" w:themeColor="text1"/>
                <w:sz w:val="20"/>
                <w:szCs w:val="20"/>
                <w:lang w:val="en-GB"/>
              </w:rPr>
              <w:t>0</w:t>
            </w:r>
            <w:r w:rsidRPr="00D43D39" w:rsidR="004D27A1">
              <w:rPr>
                <w:rFonts w:ascii="Times New Roman" w:hAnsi="Times New Roman" w:cs="Times New Roman"/>
                <w:color w:val="000000" w:themeColor="text1"/>
                <w:sz w:val="20"/>
                <w:szCs w:val="20"/>
                <w:lang w:val="en-GB"/>
              </w:rPr>
              <w:t>02</w:t>
            </w:r>
            <w:r w:rsidRPr="00D43D39" w:rsidR="00850F01">
              <w:rPr>
                <w:rFonts w:ascii="Times New Roman" w:hAnsi="Times New Roman" w:cs="Times New Roman"/>
                <w:color w:val="000000" w:themeColor="text1"/>
                <w:sz w:val="20"/>
                <w:szCs w:val="20"/>
                <w:lang w:val="en-GB"/>
              </w:rPr>
              <w:t>5</w:t>
            </w:r>
            <w:r w:rsidRPr="00D43D39" w:rsidR="004D27A1">
              <w:rPr>
                <w:rFonts w:ascii="Times New Roman" w:hAnsi="Times New Roman" w:cs="Times New Roman"/>
                <w:color w:val="000000" w:themeColor="text1"/>
                <w:sz w:val="20"/>
                <w:szCs w:val="20"/>
                <w:lang w:val="en-GB"/>
              </w:rPr>
              <w:t xml:space="preserve"> </w:t>
            </w:r>
          </w:p>
        </w:tc>
        <w:tc>
          <w:tcPr>
            <w:tcW w:w="8119" w:type="dxa"/>
            <w:tcBorders>
              <w:top w:val="single" w:color="1A171C" w:sz="4" w:space="0"/>
              <w:left w:val="single" w:color="1A171C" w:sz="4" w:space="0"/>
              <w:bottom w:val="single" w:color="1A171C" w:sz="4" w:space="0"/>
              <w:right w:val="nil"/>
            </w:tcBorders>
            <w:vAlign w:val="center"/>
          </w:tcPr>
          <w:p w:rsidRPr="00D43D39" w:rsidR="004D27A1" w:rsidP="00F244B8" w:rsidRDefault="004D27A1" w14:paraId="62C9BB12"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Issuer </w:t>
            </w:r>
            <w:r w:rsidRPr="00D43D39" w:rsidR="00041C77">
              <w:rPr>
                <w:rFonts w:ascii="Times New Roman" w:hAnsi="Times New Roman" w:cs="Times New Roman"/>
                <w:b/>
                <w:bCs/>
                <w:color w:val="000000" w:themeColor="text1"/>
                <w:sz w:val="20"/>
                <w:szCs w:val="20"/>
                <w:lang w:val="en-GB"/>
              </w:rPr>
              <w:t>or guarantee</w:t>
            </w:r>
            <w:r w:rsidRPr="00D43D39" w:rsidR="00001AE9">
              <w:rPr>
                <w:rFonts w:ascii="Times New Roman" w:hAnsi="Times New Roman" w:cs="Times New Roman"/>
                <w:b/>
                <w:bCs/>
                <w:color w:val="000000" w:themeColor="text1"/>
                <w:sz w:val="20"/>
                <w:szCs w:val="20"/>
                <w:lang w:val="en-GB"/>
              </w:rPr>
              <w:t>d entity</w:t>
            </w:r>
          </w:p>
          <w:p w:rsidRPr="00D43D39" w:rsidR="004D27A1" w:rsidP="00650E71" w:rsidRDefault="00D05A4B" w14:paraId="701A803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Legal </w:t>
            </w:r>
            <w:r w:rsidRPr="00D43D39" w:rsidR="00C83FEA">
              <w:rPr>
                <w:rFonts w:ascii="Times New Roman" w:hAnsi="Times New Roman" w:eastAsia="Cambria" w:cs="Times New Roman"/>
                <w:color w:val="000000" w:themeColor="text1"/>
                <w:spacing w:val="-2"/>
                <w:w w:val="95"/>
                <w:sz w:val="20"/>
                <w:szCs w:val="20"/>
                <w:lang w:val="en-GB"/>
              </w:rPr>
              <w:t>entity that</w:t>
            </w:r>
            <w:r w:rsidRPr="00D43D39">
              <w:rPr>
                <w:rFonts w:ascii="Times New Roman" w:hAnsi="Times New Roman" w:eastAsia="Cambria" w:cs="Times New Roman"/>
                <w:color w:val="000000" w:themeColor="text1"/>
                <w:spacing w:val="-2"/>
                <w:w w:val="95"/>
                <w:sz w:val="20"/>
                <w:szCs w:val="20"/>
                <w:lang w:val="en-GB"/>
              </w:rPr>
              <w:t xml:space="preserve"> issues the liabilities or capital instrument, or is the guaranteed entity.</w:t>
            </w:r>
          </w:p>
        </w:tc>
      </w:tr>
      <w:tr w:rsidRPr="00D43D39" w:rsidR="00D22EB0" w:rsidTr="00850F01" w14:paraId="7AACB6EC" w14:textId="77777777">
        <w:tc>
          <w:tcPr>
            <w:tcW w:w="907" w:type="dxa"/>
            <w:tcBorders>
              <w:top w:val="single" w:color="1A171C" w:sz="4" w:space="0"/>
              <w:left w:val="nil"/>
              <w:bottom w:val="single" w:color="1A171C" w:sz="4" w:space="0"/>
              <w:right w:val="single" w:color="1A171C" w:sz="4" w:space="0"/>
            </w:tcBorders>
            <w:vAlign w:val="center"/>
          </w:tcPr>
          <w:p w:rsidRPr="00D43D39" w:rsidR="004D27A1" w:rsidP="00DF1EA4" w:rsidRDefault="004D27A1" w14:paraId="59F5EC00"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AF56D5">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 xml:space="preserve">10 </w:t>
            </w:r>
          </w:p>
        </w:tc>
        <w:tc>
          <w:tcPr>
            <w:tcW w:w="8119" w:type="dxa"/>
            <w:tcBorders>
              <w:top w:val="single" w:color="1A171C" w:sz="4" w:space="0"/>
              <w:left w:val="single" w:color="1A171C" w:sz="4" w:space="0"/>
              <w:bottom w:val="single" w:color="1A171C" w:sz="4" w:space="0"/>
              <w:right w:val="nil"/>
            </w:tcBorders>
            <w:vAlign w:val="center"/>
          </w:tcPr>
          <w:p w:rsidRPr="00D43D39" w:rsidR="004D27A1" w:rsidP="00F244B8" w:rsidRDefault="004D27A1" w14:paraId="4A6BA98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name </w:t>
            </w:r>
          </w:p>
          <w:p w:rsidRPr="00D43D39" w:rsidR="004D27A1" w:rsidP="00FD3807" w:rsidRDefault="004D27A1" w14:paraId="1F5428C4"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Must be different from the </w:t>
            </w:r>
            <w:r w:rsidRPr="00D43D39" w:rsidR="00FD3807">
              <w:rPr>
                <w:rFonts w:ascii="Times New Roman" w:hAnsi="Times New Roman" w:eastAsia="Cambria" w:cs="Times New Roman"/>
                <w:color w:val="000000" w:themeColor="text1"/>
                <w:spacing w:val="-2"/>
                <w:w w:val="95"/>
                <w:sz w:val="20"/>
                <w:szCs w:val="20"/>
                <w:lang w:val="en-GB"/>
              </w:rPr>
              <w:t>E</w:t>
            </w:r>
            <w:r w:rsidRPr="00D43D39" w:rsidR="00F244B8">
              <w:rPr>
                <w:rFonts w:ascii="Times New Roman" w:hAnsi="Times New Roman" w:eastAsia="Cambria" w:cs="Times New Roman"/>
                <w:color w:val="000000" w:themeColor="text1"/>
                <w:spacing w:val="-2"/>
                <w:w w:val="95"/>
                <w:sz w:val="20"/>
                <w:szCs w:val="20"/>
                <w:lang w:val="en-GB"/>
              </w:rPr>
              <w:t xml:space="preserve">ntity </w:t>
            </w:r>
            <w:r w:rsidRPr="00D43D39">
              <w:rPr>
                <w:rFonts w:ascii="Times New Roman" w:hAnsi="Times New Roman" w:eastAsia="Cambria" w:cs="Times New Roman"/>
                <w:color w:val="000000" w:themeColor="text1"/>
                <w:spacing w:val="-2"/>
                <w:w w:val="95"/>
                <w:sz w:val="20"/>
                <w:szCs w:val="20"/>
                <w:lang w:val="en-GB"/>
              </w:rPr>
              <w:t>name listed in column 0</w:t>
            </w:r>
            <w:r w:rsidRPr="00D43D39" w:rsidR="00911DB3">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 xml:space="preserve">30. </w:t>
            </w:r>
          </w:p>
        </w:tc>
      </w:tr>
      <w:tr w:rsidRPr="00D43D39" w:rsidR="00D22EB0" w:rsidTr="00850F01" w14:paraId="35507A99" w14:textId="77777777">
        <w:tc>
          <w:tcPr>
            <w:tcW w:w="907" w:type="dxa"/>
            <w:tcBorders>
              <w:top w:val="single" w:color="1A171C" w:sz="4" w:space="0"/>
              <w:left w:val="nil"/>
              <w:bottom w:val="single" w:color="1A171C" w:sz="4" w:space="0"/>
              <w:right w:val="single" w:color="1A171C" w:sz="4" w:space="0"/>
            </w:tcBorders>
            <w:vAlign w:val="center"/>
          </w:tcPr>
          <w:p w:rsidRPr="00D43D39" w:rsidR="004D27A1" w:rsidP="00DF1EA4" w:rsidRDefault="004D27A1" w14:paraId="4EF28620"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AF56D5">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 xml:space="preserve">20 </w:t>
            </w:r>
          </w:p>
        </w:tc>
        <w:tc>
          <w:tcPr>
            <w:tcW w:w="8119" w:type="dxa"/>
            <w:tcBorders>
              <w:top w:val="single" w:color="1A171C" w:sz="4" w:space="0"/>
              <w:left w:val="single" w:color="1A171C" w:sz="4" w:space="0"/>
              <w:bottom w:val="single" w:color="1A171C" w:sz="4" w:space="0"/>
              <w:right w:val="nil"/>
            </w:tcBorders>
            <w:vAlign w:val="center"/>
          </w:tcPr>
          <w:p w:rsidRPr="00D43D39" w:rsidR="004D27A1" w:rsidP="00F244B8" w:rsidRDefault="004D27A1" w14:paraId="4910665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rsidRPr="00D43D39" w:rsidR="00F0371B" w:rsidP="00F0371B" w:rsidRDefault="00F0371B" w14:paraId="15332D5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code of the</w:t>
            </w:r>
            <w:r w:rsidRPr="00D43D39" w:rsidR="006A519F">
              <w:rPr>
                <w:rFonts w:ascii="Times New Roman" w:hAnsi="Times New Roman" w:eastAsia="Cambria" w:cs="Times New Roman"/>
                <w:color w:val="000000" w:themeColor="text1"/>
                <w:spacing w:val="-2"/>
                <w:w w:val="95"/>
                <w:sz w:val="20"/>
                <w:szCs w:val="20"/>
                <w:lang w:val="en-GB"/>
              </w:rPr>
              <w:t xml:space="preserve"> </w:t>
            </w:r>
            <w:r w:rsidRPr="00D43D39" w:rsidR="00911DB3">
              <w:rPr>
                <w:rFonts w:ascii="Times New Roman" w:hAnsi="Times New Roman" w:eastAsia="Cambria" w:cs="Times New Roman"/>
                <w:color w:val="000000" w:themeColor="text1"/>
                <w:spacing w:val="-2"/>
                <w:w w:val="95"/>
                <w:sz w:val="20"/>
                <w:szCs w:val="20"/>
                <w:lang w:val="en-GB"/>
              </w:rPr>
              <w:t>i</w:t>
            </w:r>
            <w:r w:rsidRPr="00D43D39" w:rsidR="006A519F">
              <w:rPr>
                <w:rFonts w:ascii="Times New Roman" w:hAnsi="Times New Roman" w:eastAsia="Cambria" w:cs="Times New Roman"/>
                <w:color w:val="000000" w:themeColor="text1"/>
                <w:spacing w:val="-2"/>
                <w:w w:val="95"/>
                <w:sz w:val="20"/>
                <w:szCs w:val="20"/>
                <w:lang w:val="en-GB"/>
              </w:rPr>
              <w:t>ssuer</w:t>
            </w:r>
            <w:r w:rsidRPr="00D43D39" w:rsidR="00EB3B99">
              <w:rPr>
                <w:rFonts w:ascii="Times New Roman" w:hAnsi="Times New Roman" w:eastAsia="Cambria" w:cs="Times New Roman"/>
                <w:color w:val="000000" w:themeColor="text1"/>
                <w:spacing w:val="-2"/>
                <w:w w:val="95"/>
                <w:sz w:val="20"/>
                <w:szCs w:val="20"/>
                <w:lang w:val="en-GB"/>
              </w:rPr>
              <w:t xml:space="preserve"> or guarantee recip</w:t>
            </w:r>
            <w:r w:rsidRPr="00D43D39" w:rsidR="00DD4C0F">
              <w:rPr>
                <w:rFonts w:ascii="Times New Roman" w:hAnsi="Times New Roman" w:eastAsia="Cambria" w:cs="Times New Roman"/>
                <w:color w:val="000000" w:themeColor="text1"/>
                <w:spacing w:val="-2"/>
                <w:w w:val="95"/>
                <w:sz w:val="20"/>
                <w:szCs w:val="20"/>
                <w:lang w:val="en-GB"/>
              </w:rPr>
              <w:t>i</w:t>
            </w:r>
            <w:r w:rsidRPr="00D43D39" w:rsidR="00EB3B99">
              <w:rPr>
                <w:rFonts w:ascii="Times New Roman" w:hAnsi="Times New Roman" w:eastAsia="Cambria" w:cs="Times New Roman"/>
                <w:color w:val="000000" w:themeColor="text1"/>
                <w:spacing w:val="-2"/>
                <w:w w:val="95"/>
                <w:sz w:val="20"/>
                <w:szCs w:val="20"/>
                <w:lang w:val="en-GB"/>
              </w:rPr>
              <w:t>ent</w:t>
            </w:r>
            <w:r w:rsidRPr="00D43D39">
              <w:rPr>
                <w:rFonts w:ascii="Times New Roman" w:hAnsi="Times New Roman" w:eastAsia="Cambria" w:cs="Times New Roman"/>
                <w:color w:val="000000" w:themeColor="text1"/>
                <w:spacing w:val="-2"/>
                <w:w w:val="95"/>
                <w:sz w:val="20"/>
                <w:szCs w:val="20"/>
                <w:lang w:val="en-GB"/>
              </w:rPr>
              <w:t>. For institutions the code shall be the 20-digit, alphanumeric LEI code. For other entities the code shall be the 20-digit, alphanumeric LEI code, or if not available a code under a uniform codification applicable in the Union, or if not available a national code.</w:t>
            </w:r>
          </w:p>
          <w:p w:rsidRPr="00D43D39" w:rsidR="00F0371B" w:rsidP="00F0371B" w:rsidRDefault="00F0371B" w14:paraId="675E2CC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code shall be unique and used consistently across the templates.</w:t>
            </w:r>
          </w:p>
          <w:p w:rsidRPr="00D43D39" w:rsidR="004D27A1" w:rsidP="008B1E5A" w:rsidRDefault="009F1041" w14:paraId="22E7C80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code </w:t>
            </w:r>
            <w:r w:rsidRPr="00D43D39" w:rsidR="006547BE">
              <w:rPr>
                <w:rFonts w:ascii="Times New Roman" w:hAnsi="Times New Roman" w:eastAsia="Cambria" w:cs="Times New Roman"/>
                <w:color w:val="000000" w:themeColor="text1"/>
                <w:spacing w:val="-2"/>
                <w:w w:val="95"/>
                <w:sz w:val="20"/>
                <w:szCs w:val="20"/>
                <w:lang w:val="en-GB"/>
              </w:rPr>
              <w:t>m</w:t>
            </w:r>
            <w:r w:rsidRPr="00D43D39" w:rsidR="004D27A1">
              <w:rPr>
                <w:rFonts w:ascii="Times New Roman" w:hAnsi="Times New Roman" w:eastAsia="Cambria" w:cs="Times New Roman"/>
                <w:color w:val="000000" w:themeColor="text1"/>
                <w:spacing w:val="-2"/>
                <w:w w:val="95"/>
                <w:sz w:val="20"/>
                <w:szCs w:val="20"/>
                <w:lang w:val="en-GB"/>
              </w:rPr>
              <w:t xml:space="preserve">ust be different from the </w:t>
            </w:r>
            <w:r w:rsidRPr="00D43D39" w:rsidR="008B1E5A">
              <w:rPr>
                <w:rFonts w:ascii="Times New Roman" w:hAnsi="Times New Roman" w:eastAsia="Cambria" w:cs="Times New Roman"/>
                <w:color w:val="000000" w:themeColor="text1"/>
                <w:spacing w:val="-2"/>
                <w:w w:val="95"/>
                <w:sz w:val="20"/>
                <w:szCs w:val="20"/>
                <w:lang w:val="en-GB"/>
              </w:rPr>
              <w:t xml:space="preserve">code </w:t>
            </w:r>
            <w:r w:rsidRPr="00D43D39" w:rsidR="004D27A1">
              <w:rPr>
                <w:rFonts w:ascii="Times New Roman" w:hAnsi="Times New Roman" w:eastAsia="Cambria" w:cs="Times New Roman"/>
                <w:color w:val="000000" w:themeColor="text1"/>
                <w:spacing w:val="-2"/>
                <w:w w:val="95"/>
                <w:sz w:val="20"/>
                <w:szCs w:val="20"/>
                <w:lang w:val="en-GB"/>
              </w:rPr>
              <w:t>listed in column 0</w:t>
            </w:r>
            <w:r w:rsidRPr="00D43D39" w:rsidR="00C8777C">
              <w:rPr>
                <w:rFonts w:ascii="Times New Roman" w:hAnsi="Times New Roman" w:eastAsia="Cambria" w:cs="Times New Roman"/>
                <w:color w:val="000000" w:themeColor="text1"/>
                <w:spacing w:val="-2"/>
                <w:w w:val="95"/>
                <w:sz w:val="20"/>
                <w:szCs w:val="20"/>
                <w:lang w:val="en-GB"/>
              </w:rPr>
              <w:t>0</w:t>
            </w:r>
            <w:r w:rsidRPr="00D43D39" w:rsidR="004D27A1">
              <w:rPr>
                <w:rFonts w:ascii="Times New Roman" w:hAnsi="Times New Roman" w:eastAsia="Cambria" w:cs="Times New Roman"/>
                <w:color w:val="000000" w:themeColor="text1"/>
                <w:spacing w:val="-2"/>
                <w:w w:val="95"/>
                <w:sz w:val="20"/>
                <w:szCs w:val="20"/>
                <w:lang w:val="en-GB"/>
              </w:rPr>
              <w:t>40.</w:t>
            </w:r>
          </w:p>
          <w:p w:rsidRPr="00D43D39" w:rsidR="00F0371B" w:rsidP="008B1E5A" w:rsidRDefault="00F0371B" w14:paraId="30F154D7"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p>
        </w:tc>
      </w:tr>
      <w:tr w:rsidRPr="00D43D39" w:rsidR="00850F01" w:rsidTr="00850F01" w14:paraId="586FD87C" w14:textId="77777777">
        <w:tc>
          <w:tcPr>
            <w:tcW w:w="907" w:type="dxa"/>
            <w:tcBorders>
              <w:top w:val="single" w:color="1A171C" w:sz="4" w:space="0"/>
              <w:left w:val="nil"/>
              <w:bottom w:val="single" w:color="1A171C" w:sz="4" w:space="0"/>
              <w:right w:val="single" w:color="1A171C" w:sz="4" w:space="0"/>
            </w:tcBorders>
            <w:vAlign w:val="center"/>
          </w:tcPr>
          <w:p w:rsidRPr="00D43D39" w:rsidR="00850F01" w:rsidP="00DF1EA4" w:rsidRDefault="00850F01" w14:paraId="481BECA5" w14:textId="4433CECF">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0025</w:t>
            </w:r>
          </w:p>
        </w:tc>
        <w:tc>
          <w:tcPr>
            <w:tcW w:w="8119" w:type="dxa"/>
            <w:tcBorders>
              <w:top w:val="single" w:color="1A171C" w:sz="4" w:space="0"/>
              <w:left w:val="single" w:color="1A171C" w:sz="4" w:space="0"/>
              <w:bottom w:val="single" w:color="1A171C" w:sz="4" w:space="0"/>
              <w:right w:val="nil"/>
            </w:tcBorders>
            <w:vAlign w:val="center"/>
          </w:tcPr>
          <w:p w:rsidRPr="00D43D39" w:rsidR="00850F01" w:rsidP="00F244B8" w:rsidRDefault="00850F01" w14:paraId="2083C4F7"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 of Code</w:t>
            </w:r>
          </w:p>
          <w:p w:rsidR="00161C05" w:rsidP="00161C05" w:rsidRDefault="00850F01" w14:paraId="3E71901A" w14:textId="77777777">
            <w:pPr>
              <w:pStyle w:val="TableParagraph"/>
              <w:spacing w:before="108"/>
              <w:ind w:left="85"/>
              <w:jc w:val="both"/>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 xml:space="preserve">Where the Issuer to Guaranteed entity is a group entity, the code shall be the same as reported in template Z 01.01 (ORG 1). </w:t>
            </w:r>
          </w:p>
          <w:p w:rsidRPr="005F5507" w:rsidR="00161C05" w:rsidP="005F5507" w:rsidRDefault="00850F01" w14:paraId="606BB479" w14:textId="3674EB3F">
            <w:pPr>
              <w:pStyle w:val="TableParagraph"/>
              <w:spacing w:before="108"/>
              <w:ind w:left="85"/>
              <w:jc w:val="both"/>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Where the Issuer to Guaranteed entity is not a group entity, the type of code shall be</w:t>
            </w:r>
            <w:r w:rsidR="00161C05">
              <w:rPr>
                <w:rFonts w:ascii="Times New Roman" w:hAnsi="Times New Roman" w:cs="Times New Roman"/>
                <w:bCs/>
                <w:color w:val="000000" w:themeColor="text1"/>
                <w:sz w:val="20"/>
                <w:szCs w:val="20"/>
                <w:lang w:val="en-GB"/>
              </w:rPr>
              <w:t xml:space="preserve"> p</w:t>
            </w:r>
            <w:r w:rsidRPr="005F5507" w:rsidR="00161C05">
              <w:rPr>
                <w:rFonts w:ascii="Times New Roman" w:hAnsi="Times New Roman" w:cs="Times New Roman"/>
                <w:bCs/>
                <w:color w:val="000000" w:themeColor="text1"/>
                <w:sz w:val="20"/>
                <w:szCs w:val="20"/>
                <w:lang w:val="en-GB"/>
              </w:rPr>
              <w:t>referably the LEI code.</w:t>
            </w:r>
          </w:p>
          <w:p w:rsidRPr="005F5507" w:rsidR="00161C05" w:rsidP="00161C05" w:rsidRDefault="00987EB3" w14:paraId="74847B80" w14:textId="384E5B16">
            <w:pPr>
              <w:pStyle w:val="TableParagraph"/>
              <w:spacing w:before="108"/>
              <w:ind w:left="85"/>
              <w:jc w:val="both"/>
              <w:rPr>
                <w:rFonts w:ascii="Times New Roman" w:hAnsi="Times New Roman" w:cs="Times New Roman"/>
                <w:bCs/>
                <w:color w:val="000000" w:themeColor="text1"/>
                <w:sz w:val="20"/>
                <w:szCs w:val="20"/>
                <w:lang w:val="en-GB"/>
              </w:rPr>
            </w:pPr>
            <w:r>
              <w:rPr>
                <w:rFonts w:ascii="Times New Roman" w:hAnsi="Times New Roman" w:cs="Times New Roman"/>
                <w:bCs/>
                <w:color w:val="000000" w:themeColor="text1"/>
                <w:sz w:val="20"/>
                <w:szCs w:val="20"/>
                <w:lang w:val="en-GB"/>
              </w:rPr>
              <w:t>When the LEI is not available, report an MFI ID</w:t>
            </w:r>
            <w:r w:rsidRPr="005F5507" w:rsidR="00161C05">
              <w:rPr>
                <w:rFonts w:ascii="Times New Roman" w:hAnsi="Times New Roman" w:cs="Times New Roman"/>
                <w:bCs/>
                <w:color w:val="000000" w:themeColor="text1"/>
                <w:sz w:val="20"/>
                <w:szCs w:val="20"/>
                <w:lang w:val="en-GB"/>
              </w:rPr>
              <w:t>, or if not available</w:t>
            </w:r>
            <w:r w:rsidR="00285FF6">
              <w:rPr>
                <w:rFonts w:ascii="Times New Roman" w:hAnsi="Times New Roman" w:cs="Times New Roman"/>
                <w:bCs/>
                <w:color w:val="000000" w:themeColor="text1"/>
                <w:sz w:val="20"/>
                <w:szCs w:val="20"/>
                <w:lang w:val="en-GB"/>
              </w:rPr>
              <w:t>, report</w:t>
            </w:r>
            <w:r w:rsidRPr="005F5507" w:rsidR="00161C05">
              <w:rPr>
                <w:rFonts w:ascii="Times New Roman" w:hAnsi="Times New Roman" w:cs="Times New Roman"/>
                <w:bCs/>
                <w:color w:val="000000" w:themeColor="text1"/>
                <w:sz w:val="20"/>
                <w:szCs w:val="20"/>
                <w:lang w:val="en-GB"/>
              </w:rPr>
              <w:t xml:space="preserve"> a national code.</w:t>
            </w:r>
          </w:p>
          <w:p w:rsidRPr="00D43D39" w:rsidR="00850F01" w:rsidP="00161C05" w:rsidRDefault="00850F01" w14:paraId="7252400B" w14:textId="00F93C21">
            <w:pPr>
              <w:pStyle w:val="TableParagraph"/>
              <w:spacing w:before="108"/>
              <w:ind w:left="85"/>
              <w:jc w:val="both"/>
              <w:rPr>
                <w:rFonts w:ascii="Times New Roman" w:hAnsi="Times New Roman" w:cs="Times New Roman"/>
                <w:b/>
                <w:bCs/>
                <w:color w:val="000000" w:themeColor="text1"/>
                <w:sz w:val="20"/>
                <w:szCs w:val="20"/>
                <w:lang w:val="en-GB"/>
              </w:rPr>
            </w:pPr>
            <w:r w:rsidRPr="005D71E0">
              <w:rPr>
                <w:rFonts w:ascii="Times New Roman" w:hAnsi="Times New Roman" w:cs="Times New Roman"/>
                <w:bCs/>
                <w:color w:val="000000" w:themeColor="text1"/>
                <w:sz w:val="20"/>
                <w:szCs w:val="20"/>
                <w:lang w:val="en-GB"/>
              </w:rPr>
              <w:t>For the identification of entities or investees, the pair of Code and Type shall be</w:t>
            </w:r>
            <w:r w:rsidRPr="00D43D39">
              <w:rPr>
                <w:rFonts w:ascii="Times New Roman" w:hAnsi="Times New Roman" w:cs="Times New Roman"/>
                <w:color w:val="000000" w:themeColor="text1"/>
                <w:sz w:val="20"/>
                <w:szCs w:val="20"/>
                <w:lang w:val="en-GB"/>
              </w:rPr>
              <w:t xml:space="preserve"> used consistently across the templates.</w:t>
            </w:r>
          </w:p>
        </w:tc>
      </w:tr>
      <w:tr w:rsidRPr="00D43D39" w:rsidR="00D22EB0" w:rsidTr="00850F01" w14:paraId="07600597" w14:textId="77777777">
        <w:tc>
          <w:tcPr>
            <w:tcW w:w="907" w:type="dxa"/>
            <w:tcBorders>
              <w:top w:val="single" w:color="1A171C" w:sz="4" w:space="0"/>
              <w:left w:val="nil"/>
              <w:bottom w:val="single" w:color="1A171C" w:sz="4" w:space="0"/>
              <w:right w:val="single" w:color="1A171C" w:sz="4" w:space="0"/>
            </w:tcBorders>
            <w:vAlign w:val="center"/>
          </w:tcPr>
          <w:p w:rsidRPr="00D43D39" w:rsidR="004D27A1" w:rsidP="00DF1EA4" w:rsidRDefault="004D27A1" w14:paraId="6B7C05CA" w14:textId="0F596BAF">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AF56D5">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30-</w:t>
            </w:r>
            <w:r w:rsidRPr="00D43D39" w:rsidR="00AF56D5">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04</w:t>
            </w:r>
            <w:r w:rsidRPr="00D43D39" w:rsidR="00850F01">
              <w:rPr>
                <w:rFonts w:ascii="Times New Roman" w:hAnsi="Times New Roman" w:cs="Times New Roman"/>
                <w:color w:val="000000" w:themeColor="text1"/>
                <w:sz w:val="20"/>
                <w:szCs w:val="20"/>
                <w:lang w:val="en-GB"/>
              </w:rPr>
              <w:t>5</w:t>
            </w:r>
            <w:r w:rsidRPr="00D43D39">
              <w:rPr>
                <w:rFonts w:ascii="Times New Roman" w:hAnsi="Times New Roman" w:cs="Times New Roman"/>
                <w:color w:val="000000" w:themeColor="text1"/>
                <w:sz w:val="20"/>
                <w:szCs w:val="20"/>
                <w:lang w:val="en-GB"/>
              </w:rPr>
              <w:t xml:space="preserve"> </w:t>
            </w:r>
          </w:p>
        </w:tc>
        <w:tc>
          <w:tcPr>
            <w:tcW w:w="8119" w:type="dxa"/>
            <w:tcBorders>
              <w:top w:val="single" w:color="1A171C" w:sz="4" w:space="0"/>
              <w:left w:val="single" w:color="1A171C" w:sz="4" w:space="0"/>
              <w:bottom w:val="single" w:color="1A171C" w:sz="4" w:space="0"/>
              <w:right w:val="nil"/>
            </w:tcBorders>
            <w:vAlign w:val="center"/>
          </w:tcPr>
          <w:p w:rsidRPr="00D43D39" w:rsidR="004D27A1" w:rsidP="00F244B8" w:rsidRDefault="00DA2347" w14:paraId="0FF6F7C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Creditor, holder </w:t>
            </w:r>
            <w:r w:rsidRPr="00D43D39" w:rsidR="00041C77">
              <w:rPr>
                <w:rFonts w:ascii="Times New Roman" w:hAnsi="Times New Roman" w:cs="Times New Roman"/>
                <w:b/>
                <w:bCs/>
                <w:color w:val="000000" w:themeColor="text1"/>
                <w:sz w:val="20"/>
                <w:szCs w:val="20"/>
                <w:lang w:val="en-GB"/>
              </w:rPr>
              <w:t>or guarantee provider</w:t>
            </w:r>
          </w:p>
          <w:p w:rsidRPr="00D43D39" w:rsidR="004D27A1" w:rsidP="00790C3B" w:rsidRDefault="004D27A1" w14:paraId="108CDF52"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Legal </w:t>
            </w:r>
            <w:r w:rsidRPr="00D43D39" w:rsidR="00C83FEA">
              <w:rPr>
                <w:rFonts w:ascii="Times New Roman" w:hAnsi="Times New Roman" w:eastAsia="Cambria" w:cs="Times New Roman"/>
                <w:color w:val="000000" w:themeColor="text1"/>
                <w:spacing w:val="-2"/>
                <w:w w:val="95"/>
                <w:sz w:val="20"/>
                <w:szCs w:val="20"/>
                <w:lang w:val="en-GB"/>
              </w:rPr>
              <w:t>entity that</w:t>
            </w:r>
            <w:r w:rsidRPr="00D43D39">
              <w:rPr>
                <w:rFonts w:ascii="Times New Roman" w:hAnsi="Times New Roman" w:eastAsia="Cambria" w:cs="Times New Roman"/>
                <w:color w:val="000000" w:themeColor="text1"/>
                <w:spacing w:val="-2"/>
                <w:w w:val="95"/>
                <w:sz w:val="20"/>
                <w:szCs w:val="20"/>
                <w:lang w:val="en-GB"/>
              </w:rPr>
              <w:t xml:space="preserve"> </w:t>
            </w:r>
            <w:r w:rsidRPr="00D43D39" w:rsidR="00790C3B">
              <w:rPr>
                <w:rFonts w:ascii="Times New Roman" w:hAnsi="Times New Roman" w:eastAsia="Cambria" w:cs="Times New Roman"/>
                <w:color w:val="000000" w:themeColor="text1"/>
                <w:spacing w:val="-2"/>
                <w:w w:val="95"/>
                <w:sz w:val="20"/>
                <w:szCs w:val="20"/>
                <w:lang w:val="en-GB"/>
              </w:rPr>
              <w:t xml:space="preserve">is </w:t>
            </w:r>
            <w:r w:rsidRPr="00D43D39" w:rsidR="00C8777C">
              <w:rPr>
                <w:rFonts w:ascii="Times New Roman" w:hAnsi="Times New Roman" w:eastAsia="Cambria" w:cs="Times New Roman"/>
                <w:color w:val="000000" w:themeColor="text1"/>
                <w:spacing w:val="-2"/>
                <w:w w:val="95"/>
                <w:sz w:val="20"/>
                <w:szCs w:val="20"/>
                <w:lang w:val="en-GB"/>
              </w:rPr>
              <w:t xml:space="preserve">the </w:t>
            </w:r>
            <w:r w:rsidRPr="00D43D39" w:rsidR="00790C3B">
              <w:rPr>
                <w:rFonts w:ascii="Times New Roman" w:hAnsi="Times New Roman" w:eastAsia="Cambria" w:cs="Times New Roman"/>
                <w:color w:val="000000" w:themeColor="text1"/>
                <w:spacing w:val="-2"/>
                <w:w w:val="95"/>
                <w:sz w:val="20"/>
                <w:szCs w:val="20"/>
                <w:lang w:val="en-GB"/>
              </w:rPr>
              <w:t xml:space="preserve">creditor to the liability, holds the capital instrument </w:t>
            </w:r>
            <w:r w:rsidRPr="00D43D39">
              <w:rPr>
                <w:rFonts w:ascii="Times New Roman" w:hAnsi="Times New Roman" w:eastAsia="Cambria" w:cs="Times New Roman"/>
                <w:color w:val="000000" w:themeColor="text1"/>
                <w:spacing w:val="-2"/>
                <w:w w:val="95"/>
                <w:sz w:val="20"/>
                <w:szCs w:val="20"/>
                <w:lang w:val="en-GB"/>
              </w:rPr>
              <w:t xml:space="preserve">or </w:t>
            </w:r>
            <w:r w:rsidRPr="00D43D39" w:rsidR="00041C77">
              <w:rPr>
                <w:rFonts w:ascii="Times New Roman" w:hAnsi="Times New Roman" w:eastAsia="Cambria" w:cs="Times New Roman"/>
                <w:color w:val="000000" w:themeColor="text1"/>
                <w:spacing w:val="-2"/>
                <w:w w:val="95"/>
                <w:sz w:val="20"/>
                <w:szCs w:val="20"/>
                <w:lang w:val="en-GB"/>
              </w:rPr>
              <w:t xml:space="preserve">provides </w:t>
            </w:r>
            <w:r w:rsidRPr="00D43D39">
              <w:rPr>
                <w:rFonts w:ascii="Times New Roman" w:hAnsi="Times New Roman" w:eastAsia="Cambria" w:cs="Times New Roman"/>
                <w:color w:val="000000" w:themeColor="text1"/>
                <w:spacing w:val="-2"/>
                <w:w w:val="95"/>
                <w:sz w:val="20"/>
                <w:szCs w:val="20"/>
                <w:lang w:val="en-GB"/>
              </w:rPr>
              <w:t>the guarantee</w:t>
            </w:r>
            <w:r w:rsidRPr="00D43D39" w:rsidR="00C8777C">
              <w:rPr>
                <w:rFonts w:ascii="Times New Roman" w:hAnsi="Times New Roman" w:eastAsia="Cambria" w:cs="Times New Roman"/>
                <w:color w:val="000000" w:themeColor="text1"/>
                <w:spacing w:val="-2"/>
                <w:w w:val="95"/>
                <w:sz w:val="20"/>
                <w:szCs w:val="20"/>
                <w:lang w:val="en-GB"/>
              </w:rPr>
              <w:t>.</w:t>
            </w:r>
          </w:p>
        </w:tc>
      </w:tr>
      <w:tr w:rsidRPr="00D43D39" w:rsidR="00D22EB0" w:rsidTr="00850F01" w14:paraId="26EB9D6A" w14:textId="77777777">
        <w:tc>
          <w:tcPr>
            <w:tcW w:w="907" w:type="dxa"/>
            <w:tcBorders>
              <w:top w:val="single" w:color="1A171C" w:sz="4" w:space="0"/>
              <w:left w:val="nil"/>
              <w:bottom w:val="single" w:color="1A171C" w:sz="4" w:space="0"/>
              <w:right w:val="single" w:color="1A171C" w:sz="4" w:space="0"/>
            </w:tcBorders>
            <w:vAlign w:val="center"/>
          </w:tcPr>
          <w:p w:rsidRPr="00D43D39" w:rsidR="004D27A1" w:rsidP="00DF1EA4" w:rsidRDefault="004D27A1" w14:paraId="09C31932"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AF56D5">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 xml:space="preserve">30 </w:t>
            </w:r>
          </w:p>
        </w:tc>
        <w:tc>
          <w:tcPr>
            <w:tcW w:w="8119" w:type="dxa"/>
            <w:tcBorders>
              <w:top w:val="single" w:color="1A171C" w:sz="4" w:space="0"/>
              <w:left w:val="single" w:color="1A171C" w:sz="4" w:space="0"/>
              <w:bottom w:val="single" w:color="1A171C" w:sz="4" w:space="0"/>
              <w:right w:val="nil"/>
            </w:tcBorders>
            <w:vAlign w:val="center"/>
          </w:tcPr>
          <w:p w:rsidRPr="00D43D39" w:rsidR="004D27A1" w:rsidP="00F244B8" w:rsidRDefault="004D27A1" w14:paraId="1CAA5481"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name </w:t>
            </w:r>
          </w:p>
          <w:p w:rsidRPr="00D43D39" w:rsidR="004D27A1" w:rsidP="00F244B8" w:rsidRDefault="004D27A1" w14:paraId="4D789B5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Must be different from the </w:t>
            </w:r>
            <w:r w:rsidRPr="00D43D39" w:rsidR="008B1E5A">
              <w:rPr>
                <w:rFonts w:ascii="Times New Roman" w:hAnsi="Times New Roman" w:eastAsia="Cambria" w:cs="Times New Roman"/>
                <w:color w:val="000000" w:themeColor="text1"/>
                <w:spacing w:val="-2"/>
                <w:w w:val="95"/>
                <w:sz w:val="20"/>
                <w:szCs w:val="20"/>
                <w:lang w:val="en-GB"/>
              </w:rPr>
              <w:t xml:space="preserve">entity </w:t>
            </w:r>
            <w:r w:rsidRPr="00D43D39">
              <w:rPr>
                <w:rFonts w:ascii="Times New Roman" w:hAnsi="Times New Roman" w:eastAsia="Cambria" w:cs="Times New Roman"/>
                <w:color w:val="000000" w:themeColor="text1"/>
                <w:spacing w:val="-2"/>
                <w:w w:val="95"/>
                <w:sz w:val="20"/>
                <w:szCs w:val="20"/>
                <w:lang w:val="en-GB"/>
              </w:rPr>
              <w:t xml:space="preserve">name listed in column </w:t>
            </w:r>
            <w:r w:rsidRPr="00D43D39" w:rsidR="00425180">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 xml:space="preserve">010. </w:t>
            </w:r>
          </w:p>
        </w:tc>
      </w:tr>
      <w:tr w:rsidRPr="00D43D39" w:rsidR="00D22EB0" w:rsidTr="00850F01" w14:paraId="26E761E8" w14:textId="77777777">
        <w:tc>
          <w:tcPr>
            <w:tcW w:w="907" w:type="dxa"/>
            <w:tcBorders>
              <w:top w:val="single" w:color="1A171C" w:sz="4" w:space="0"/>
              <w:left w:val="nil"/>
              <w:bottom w:val="single" w:color="1A171C" w:sz="4" w:space="0"/>
              <w:right w:val="single" w:color="1A171C" w:sz="4" w:space="0"/>
            </w:tcBorders>
            <w:vAlign w:val="center"/>
          </w:tcPr>
          <w:p w:rsidRPr="00D43D39" w:rsidR="004D27A1" w:rsidP="00DF1EA4" w:rsidRDefault="004D27A1" w14:paraId="3802B251"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Pr="00D43D39" w:rsidR="00AF56D5">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 xml:space="preserve">40 </w:t>
            </w:r>
          </w:p>
        </w:tc>
        <w:tc>
          <w:tcPr>
            <w:tcW w:w="8119" w:type="dxa"/>
            <w:tcBorders>
              <w:top w:val="single" w:color="1A171C" w:sz="4" w:space="0"/>
              <w:left w:val="single" w:color="1A171C" w:sz="4" w:space="0"/>
              <w:bottom w:val="single" w:color="1A171C" w:sz="4" w:space="0"/>
              <w:right w:val="nil"/>
            </w:tcBorders>
            <w:vAlign w:val="center"/>
          </w:tcPr>
          <w:p w:rsidRPr="00D43D39" w:rsidR="004D27A1" w:rsidP="00F244B8" w:rsidRDefault="004D27A1" w14:paraId="5A7F99DA"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rsidRPr="00D43D39" w:rsidR="000C7729" w:rsidP="000C7729" w:rsidRDefault="000C7729" w14:paraId="6C3E248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code of the </w:t>
            </w:r>
            <w:r w:rsidRPr="00D43D39" w:rsidR="00FB61BA">
              <w:rPr>
                <w:rFonts w:ascii="Times New Roman" w:hAnsi="Times New Roman" w:eastAsia="Cambria" w:cs="Times New Roman"/>
                <w:color w:val="000000" w:themeColor="text1"/>
                <w:spacing w:val="-2"/>
                <w:w w:val="95"/>
                <w:sz w:val="20"/>
                <w:szCs w:val="20"/>
                <w:lang w:val="en-GB"/>
              </w:rPr>
              <w:t>Creditor, holder or guarantee provider</w:t>
            </w:r>
            <w:r w:rsidRPr="00D43D39">
              <w:rPr>
                <w:rFonts w:ascii="Times New Roman" w:hAnsi="Times New Roman" w:eastAsia="Cambria" w:cs="Times New Roman"/>
                <w:color w:val="000000" w:themeColor="text1"/>
                <w:spacing w:val="-2"/>
                <w:w w:val="95"/>
                <w:sz w:val="20"/>
                <w:szCs w:val="20"/>
                <w:lang w:val="en-GB"/>
              </w:rPr>
              <w:t>. For institutions the code shall be the 20-digit, alphanumeric LEI code. For other entities the code shall be the 20-digit, alphanumeric LEI code, or if not available a code under a uniform codification applicable in the Union, or if not available a national code.</w:t>
            </w:r>
          </w:p>
          <w:p w:rsidRPr="00D43D39" w:rsidR="000C7729" w:rsidP="000C7729" w:rsidRDefault="000C7729" w14:paraId="270C0AD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code shall be unique and used consistently across the templates.</w:t>
            </w:r>
          </w:p>
          <w:p w:rsidRPr="00D43D39" w:rsidR="004D27A1" w:rsidP="008B1E5A" w:rsidRDefault="004D27A1" w14:paraId="14088BC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Must be different from the </w:t>
            </w:r>
            <w:r w:rsidRPr="00D43D39" w:rsidR="008B1E5A">
              <w:rPr>
                <w:rFonts w:ascii="Times New Roman" w:hAnsi="Times New Roman" w:eastAsia="Cambria" w:cs="Times New Roman"/>
                <w:color w:val="000000" w:themeColor="text1"/>
                <w:spacing w:val="-2"/>
                <w:w w:val="95"/>
                <w:sz w:val="20"/>
                <w:szCs w:val="20"/>
                <w:lang w:val="en-GB"/>
              </w:rPr>
              <w:t xml:space="preserve">code </w:t>
            </w:r>
            <w:r w:rsidRPr="00D43D39">
              <w:rPr>
                <w:rFonts w:ascii="Times New Roman" w:hAnsi="Times New Roman" w:eastAsia="Cambria" w:cs="Times New Roman"/>
                <w:color w:val="000000" w:themeColor="text1"/>
                <w:spacing w:val="-2"/>
                <w:w w:val="95"/>
                <w:sz w:val="20"/>
                <w:szCs w:val="20"/>
                <w:lang w:val="en-GB"/>
              </w:rPr>
              <w:t>listed in column 0</w:t>
            </w:r>
            <w:r w:rsidRPr="00D43D39" w:rsidR="00C8777C">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20.</w:t>
            </w:r>
          </w:p>
        </w:tc>
      </w:tr>
      <w:tr w:rsidRPr="00D43D39" w:rsidR="00850F01" w:rsidTr="00850F01" w14:paraId="44C826C8" w14:textId="77777777">
        <w:tc>
          <w:tcPr>
            <w:tcW w:w="907" w:type="dxa"/>
            <w:tcBorders>
              <w:top w:val="single" w:color="1A171C" w:sz="4" w:space="0"/>
              <w:left w:val="nil"/>
              <w:bottom w:val="single" w:color="1A171C" w:sz="4" w:space="0"/>
              <w:right w:val="single" w:color="1A171C" w:sz="4" w:space="0"/>
            </w:tcBorders>
            <w:vAlign w:val="center"/>
          </w:tcPr>
          <w:p w:rsidRPr="00D43D39" w:rsidR="00850F01" w:rsidP="00850F01" w:rsidRDefault="00850F01" w14:paraId="7E975FAD" w14:textId="23DCEC7D">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0045</w:t>
            </w:r>
          </w:p>
        </w:tc>
        <w:tc>
          <w:tcPr>
            <w:tcW w:w="8119" w:type="dxa"/>
            <w:tcBorders>
              <w:top w:val="single" w:color="1A171C" w:sz="4" w:space="0"/>
              <w:left w:val="single" w:color="1A171C" w:sz="4" w:space="0"/>
              <w:bottom w:val="single" w:color="1A171C" w:sz="4" w:space="0"/>
              <w:right w:val="nil"/>
            </w:tcBorders>
            <w:vAlign w:val="center"/>
          </w:tcPr>
          <w:p w:rsidRPr="00D43D39" w:rsidR="00850F01" w:rsidP="00850F01" w:rsidRDefault="00850F01" w14:paraId="3F293592"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 of Code</w:t>
            </w:r>
          </w:p>
          <w:p w:rsidR="00161C05" w:rsidP="00161C05" w:rsidRDefault="00850F01" w14:paraId="40D20317" w14:textId="77777777">
            <w:pPr>
              <w:pStyle w:val="TableParagraph"/>
              <w:spacing w:before="108"/>
              <w:ind w:left="85"/>
              <w:jc w:val="both"/>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 xml:space="preserve">Where the </w:t>
            </w:r>
            <w:r w:rsidRPr="00D43D39">
              <w:rPr>
                <w:rFonts w:ascii="Times New Roman" w:hAnsi="Times New Roman" w:eastAsia="Cambria" w:cs="Times New Roman"/>
                <w:color w:val="000000" w:themeColor="text1"/>
                <w:spacing w:val="-2"/>
                <w:w w:val="95"/>
                <w:sz w:val="20"/>
                <w:szCs w:val="20"/>
                <w:lang w:val="en-GB"/>
              </w:rPr>
              <w:t>Creditor, holder or guarantee provider</w:t>
            </w:r>
            <w:r w:rsidRPr="00D43D39">
              <w:rPr>
                <w:rFonts w:ascii="Times New Roman" w:hAnsi="Times New Roman" w:cs="Times New Roman"/>
                <w:bCs/>
                <w:color w:val="000000" w:themeColor="text1"/>
                <w:sz w:val="20"/>
                <w:szCs w:val="20"/>
                <w:lang w:val="en-GB"/>
              </w:rPr>
              <w:t xml:space="preserve"> is a group entity, the code shall be the same as reported in template Z 01.01 (ORG 1). </w:t>
            </w:r>
          </w:p>
          <w:p w:rsidR="00161C05" w:rsidRDefault="00850F01" w14:paraId="5C58C4F8" w14:textId="5735AA45">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Cs/>
                <w:color w:val="000000" w:themeColor="text1"/>
                <w:sz w:val="20"/>
                <w:szCs w:val="20"/>
                <w:lang w:val="en-GB"/>
              </w:rPr>
              <w:t xml:space="preserve">Where the </w:t>
            </w:r>
            <w:r w:rsidRPr="00D43D39">
              <w:rPr>
                <w:rFonts w:ascii="Times New Roman" w:hAnsi="Times New Roman" w:eastAsia="Cambria" w:cs="Times New Roman"/>
                <w:color w:val="000000" w:themeColor="text1"/>
                <w:spacing w:val="-2"/>
                <w:w w:val="95"/>
                <w:sz w:val="20"/>
                <w:szCs w:val="20"/>
                <w:lang w:val="en-GB"/>
              </w:rPr>
              <w:t>Creditor, holder or guarantee provider</w:t>
            </w:r>
            <w:r w:rsidRPr="00D43D39">
              <w:rPr>
                <w:rFonts w:ascii="Times New Roman" w:hAnsi="Times New Roman" w:cs="Times New Roman"/>
                <w:bCs/>
                <w:color w:val="000000" w:themeColor="text1"/>
                <w:sz w:val="20"/>
                <w:szCs w:val="20"/>
                <w:lang w:val="en-GB"/>
              </w:rPr>
              <w:t xml:space="preserve"> is not a group entity, the type of code shall b</w:t>
            </w:r>
            <w:r w:rsidR="00161C05">
              <w:rPr>
                <w:rFonts w:ascii="Times New Roman" w:hAnsi="Times New Roman" w:cs="Times New Roman"/>
                <w:bCs/>
                <w:color w:val="000000" w:themeColor="text1"/>
                <w:sz w:val="20"/>
                <w:szCs w:val="20"/>
                <w:lang w:val="en-GB"/>
              </w:rPr>
              <w:t>e</w:t>
            </w:r>
            <w:r w:rsidR="00161C05">
              <w:rPr>
                <w:rFonts w:ascii="Times New Roman" w:hAnsi="Times New Roman" w:eastAsia="Cambria" w:cs="Times New Roman"/>
                <w:color w:val="000000" w:themeColor="text1"/>
                <w:spacing w:val="-2"/>
                <w:w w:val="95"/>
                <w:sz w:val="20"/>
                <w:szCs w:val="20"/>
                <w:lang w:val="en-GB"/>
              </w:rPr>
              <w:t xml:space="preserve"> preferably the LEI code.</w:t>
            </w:r>
          </w:p>
          <w:p w:rsidR="00161C05" w:rsidP="00161C05" w:rsidRDefault="00161C05" w14:paraId="54895587" w14:textId="4A08B7DE">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BC38B6">
              <w:rPr>
                <w:rFonts w:ascii="Times New Roman" w:hAnsi="Times New Roman" w:eastAsia="Cambria" w:cs="Times New Roman"/>
                <w:color w:val="000000" w:themeColor="text1"/>
                <w:spacing w:val="-2"/>
                <w:w w:val="95"/>
                <w:sz w:val="20"/>
                <w:szCs w:val="20"/>
                <w:lang w:val="en-GB"/>
              </w:rPr>
              <w:t>, or if not available</w:t>
            </w:r>
            <w:r w:rsidR="00285FF6">
              <w:rPr>
                <w:rFonts w:ascii="Times New Roman" w:hAnsi="Times New Roman" w:eastAsia="Cambria" w:cs="Times New Roman"/>
                <w:color w:val="000000" w:themeColor="text1"/>
                <w:spacing w:val="-2"/>
                <w:w w:val="95"/>
                <w:sz w:val="20"/>
                <w:szCs w:val="20"/>
                <w:lang w:val="en-GB"/>
              </w:rPr>
              <w:t>,</w:t>
            </w:r>
            <w:r w:rsidRPr="00BC38B6">
              <w:rPr>
                <w:rFonts w:ascii="Times New Roman" w:hAnsi="Times New Roman" w:eastAsia="Cambria" w:cs="Times New Roman"/>
                <w:color w:val="000000" w:themeColor="text1"/>
                <w:spacing w:val="-2"/>
                <w:w w:val="95"/>
                <w:sz w:val="20"/>
                <w:szCs w:val="20"/>
                <w:lang w:val="en-GB"/>
              </w:rPr>
              <w:t xml:space="preserve"> </w:t>
            </w:r>
            <w:r w:rsidR="00285FF6">
              <w:rPr>
                <w:rFonts w:ascii="Times New Roman" w:hAnsi="Times New Roman" w:eastAsia="Cambria" w:cs="Times New Roman"/>
                <w:color w:val="000000" w:themeColor="text1"/>
                <w:spacing w:val="-2"/>
                <w:w w:val="95"/>
                <w:sz w:val="20"/>
                <w:szCs w:val="20"/>
                <w:lang w:val="en-GB"/>
              </w:rPr>
              <w:t xml:space="preserve">report </w:t>
            </w:r>
            <w:r w:rsidRPr="00BC38B6">
              <w:rPr>
                <w:rFonts w:ascii="Times New Roman" w:hAnsi="Times New Roman" w:eastAsia="Cambria" w:cs="Times New Roman"/>
                <w:color w:val="000000" w:themeColor="text1"/>
                <w:spacing w:val="-2"/>
                <w:w w:val="95"/>
                <w:sz w:val="20"/>
                <w:szCs w:val="20"/>
                <w:lang w:val="en-GB"/>
              </w:rPr>
              <w:t>a national code</w:t>
            </w:r>
            <w:r>
              <w:rPr>
                <w:rFonts w:ascii="Times New Roman" w:hAnsi="Times New Roman" w:eastAsia="Cambria" w:cs="Times New Roman"/>
                <w:color w:val="000000" w:themeColor="text1"/>
                <w:spacing w:val="-2"/>
                <w:w w:val="95"/>
                <w:sz w:val="20"/>
                <w:szCs w:val="20"/>
                <w:lang w:val="en-GB"/>
              </w:rPr>
              <w:t>.</w:t>
            </w:r>
          </w:p>
          <w:p w:rsidRPr="00D43D39" w:rsidR="00850F01" w:rsidP="00850F01" w:rsidRDefault="00850F01" w14:paraId="103E657D" w14:textId="164EAAF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z w:val="20"/>
                <w:szCs w:val="20"/>
                <w:lang w:val="en-GB"/>
              </w:rPr>
              <w:t>For the identification of entities or investees, the pair of Code and Type shall be used consistently across the templates.</w:t>
            </w:r>
          </w:p>
        </w:tc>
      </w:tr>
      <w:tr w:rsidRPr="00D43D39" w:rsidR="00850F01" w:rsidTr="00850F01" w14:paraId="77F02E30" w14:textId="77777777">
        <w:tc>
          <w:tcPr>
            <w:tcW w:w="907" w:type="dxa"/>
            <w:tcBorders>
              <w:top w:val="single" w:color="1A171C" w:sz="4" w:space="0"/>
              <w:left w:val="nil"/>
              <w:bottom w:val="single" w:color="1A171C" w:sz="4" w:space="0"/>
              <w:right w:val="single" w:color="1A171C" w:sz="4" w:space="0"/>
            </w:tcBorders>
            <w:vAlign w:val="center"/>
          </w:tcPr>
          <w:p w:rsidRPr="00D43D39" w:rsidR="00850F01" w:rsidP="00850F01" w:rsidRDefault="00850F01" w14:paraId="15A3CA7D" w14:textId="1CE3386F">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0050- 0080 </w:t>
            </w:r>
          </w:p>
        </w:tc>
        <w:tc>
          <w:tcPr>
            <w:tcW w:w="8119" w:type="dxa"/>
            <w:tcBorders>
              <w:top w:val="single" w:color="1A171C" w:sz="4" w:space="0"/>
              <w:left w:val="single" w:color="1A171C" w:sz="4" w:space="0"/>
              <w:bottom w:val="single" w:color="1A171C" w:sz="4" w:space="0"/>
              <w:right w:val="nil"/>
            </w:tcBorders>
            <w:vAlign w:val="center"/>
          </w:tcPr>
          <w:p w:rsidRPr="00D43D39" w:rsidR="00850F01" w:rsidP="00850F01" w:rsidRDefault="00850F01" w14:paraId="479BE2A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Financial interconnection</w:t>
            </w:r>
          </w:p>
          <w:p w:rsidRPr="00D43D39" w:rsidR="00850F01" w:rsidP="00850F01" w:rsidRDefault="00850F01" w14:paraId="4252A77D"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This field describes the financial interconnection between the relevant legal entities.</w:t>
            </w:r>
          </w:p>
        </w:tc>
      </w:tr>
      <w:tr w:rsidRPr="00D43D39" w:rsidR="00850F01" w:rsidTr="00850F01" w14:paraId="232EDCCF" w14:textId="77777777">
        <w:tc>
          <w:tcPr>
            <w:tcW w:w="907" w:type="dxa"/>
            <w:tcBorders>
              <w:top w:val="single" w:color="1A171C" w:sz="4" w:space="0"/>
              <w:left w:val="nil"/>
              <w:bottom w:val="single" w:color="1A171C" w:sz="4" w:space="0"/>
              <w:right w:val="single" w:color="1A171C" w:sz="4" w:space="0"/>
            </w:tcBorders>
            <w:vAlign w:val="center"/>
          </w:tcPr>
          <w:p w:rsidRPr="00D43D39" w:rsidR="00850F01" w:rsidP="00850F01" w:rsidRDefault="00850F01" w14:paraId="5428E817"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0050 </w:t>
            </w:r>
          </w:p>
        </w:tc>
        <w:tc>
          <w:tcPr>
            <w:tcW w:w="8119" w:type="dxa"/>
            <w:tcBorders>
              <w:top w:val="single" w:color="1A171C" w:sz="4" w:space="0"/>
              <w:left w:val="single" w:color="1A171C" w:sz="4" w:space="0"/>
              <w:bottom w:val="single" w:color="1A171C" w:sz="4" w:space="0"/>
              <w:right w:val="nil"/>
            </w:tcBorders>
            <w:vAlign w:val="center"/>
          </w:tcPr>
          <w:p w:rsidRPr="00D43D39" w:rsidR="00850F01" w:rsidP="00850F01" w:rsidRDefault="00850F01" w14:paraId="405C8F8D"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w:t>
            </w:r>
          </w:p>
          <w:p w:rsidRPr="00D43D39" w:rsidR="00850F01" w:rsidP="00850F01" w:rsidRDefault="00850F01" w14:paraId="39FBDBD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To be chosen from the following list:</w:t>
            </w:r>
          </w:p>
          <w:p w:rsidRPr="00D43D39" w:rsidR="00850F01" w:rsidP="00850F01" w:rsidRDefault="00850F01" w14:paraId="0E2E2CEA" w14:textId="210832F8">
            <w:pPr>
              <w:pStyle w:val="TableParagraph"/>
              <w:spacing w:before="108"/>
              <w:ind w:left="85"/>
              <w:jc w:val="both"/>
              <w:rPr>
                <w:rFonts w:ascii="Times New Roman" w:hAnsi="Times New Roman" w:eastAsia="Cambria" w:cs="Times New Roman"/>
                <w:color w:val="000000" w:themeColor="text1"/>
                <w:spacing w:val="-2"/>
                <w:w w:val="95"/>
                <w:sz w:val="20"/>
                <w:szCs w:val="20"/>
                <w:u w:val="single"/>
                <w:lang w:val="en-GB"/>
              </w:rPr>
            </w:pPr>
            <w:r w:rsidRPr="00D43D39">
              <w:rPr>
                <w:rFonts w:ascii="Times New Roman" w:hAnsi="Times New Roman" w:eastAsia="Cambria" w:cs="Times New Roman"/>
                <w:color w:val="000000" w:themeColor="text1"/>
                <w:spacing w:val="-2"/>
                <w:w w:val="95"/>
                <w:sz w:val="20"/>
                <w:szCs w:val="20"/>
                <w:u w:val="single"/>
                <w:lang w:val="en-GB"/>
              </w:rPr>
              <w:t>Intragroup Liabilities</w:t>
            </w:r>
          </w:p>
          <w:p w:rsidRPr="00D43D39" w:rsidR="00850F01" w:rsidP="00850F01" w:rsidRDefault="00850F01" w14:paraId="529828B0" w14:textId="77777777">
            <w:pPr>
              <w:pStyle w:val="TableParagraph"/>
              <w:spacing w:before="108"/>
              <w:ind w:left="85"/>
              <w:jc w:val="both"/>
              <w:rPr>
                <w:rFonts w:ascii="Times New Roman" w:hAnsi="Times New Roman" w:eastAsia="Cambria" w:cs="Times New Roman"/>
                <w:color w:val="000000" w:themeColor="text1"/>
                <w:spacing w:val="-2"/>
                <w:w w:val="95"/>
                <w:sz w:val="20"/>
                <w:szCs w:val="20"/>
                <w:u w:val="single"/>
                <w:lang w:val="en-GB"/>
              </w:rPr>
            </w:pPr>
          </w:p>
          <w:p w:rsidRPr="00D43D39" w:rsidR="00850F01" w:rsidP="00850F01" w:rsidRDefault="00850F01" w14:paraId="1C7DC402" w14:textId="7484C58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Liabilities excluded from bail-in</w:t>
            </w:r>
            <w:r w:rsidRPr="00D43D39" w:rsidDel="00873009">
              <w:rPr>
                <w:rFonts w:ascii="Times New Roman" w:hAnsi="Times New Roman" w:eastAsia="Cambria"/>
                <w:color w:val="000000" w:themeColor="text1"/>
                <w:spacing w:val="-2"/>
                <w:w w:val="95"/>
                <w:sz w:val="20"/>
                <w:szCs w:val="20"/>
              </w:rPr>
              <w:t xml:space="preserve"> </w:t>
            </w:r>
          </w:p>
          <w:p w:rsidRPr="00D43D39" w:rsidR="00850F01" w:rsidP="00850F01" w:rsidRDefault="00850F01" w14:paraId="1FD540A5" w14:textId="249ACBA6">
            <w:pPr>
              <w:pStyle w:val="ListParagraph"/>
              <w:autoSpaceDE w:val="0"/>
              <w:autoSpaceDN w:val="0"/>
              <w:adjustRightInd w:val="0"/>
              <w:ind w:left="539"/>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0100</w:t>
            </w:r>
          </w:p>
          <w:p w:rsidRPr="00D43D39" w:rsidR="00850F01" w:rsidP="00850F01" w:rsidRDefault="00850F01" w14:paraId="2B8416D6"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Deposits, not covered but preferential</w:t>
            </w:r>
          </w:p>
          <w:p w:rsidRPr="00D43D39" w:rsidR="00850F01" w:rsidP="00850F01" w:rsidRDefault="00850F01" w14:paraId="4214C94D" w14:textId="1E4A987B">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0310</w:t>
            </w:r>
          </w:p>
          <w:p w:rsidRPr="00D43D39" w:rsidR="00850F01" w:rsidP="00850F01" w:rsidRDefault="00850F01" w14:paraId="531DAB18"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Deposits, not covered and not preferential</w:t>
            </w:r>
          </w:p>
          <w:p w:rsidRPr="00D43D39" w:rsidR="00850F01" w:rsidP="00850F01" w:rsidRDefault="00850F01" w14:paraId="3439978E"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0320</w:t>
            </w:r>
          </w:p>
          <w:p w:rsidRPr="00D43D39" w:rsidR="00850F01" w:rsidP="00850F01" w:rsidRDefault="00850F01" w14:paraId="2077E247"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Liabilities arising from derivatives (Close-Out Amounts)</w:t>
            </w:r>
          </w:p>
          <w:p w:rsidRPr="00D43D39" w:rsidR="00850F01" w:rsidP="00850F01" w:rsidRDefault="00850F01" w14:paraId="32308068"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0330</w:t>
            </w:r>
          </w:p>
          <w:p w:rsidRPr="00D43D39" w:rsidR="00850F01" w:rsidP="00850F01" w:rsidRDefault="00850F01" w14:paraId="09BADB9E"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Uncollateralised secured liabilities</w:t>
            </w:r>
          </w:p>
          <w:p w:rsidRPr="00D43D39" w:rsidR="00850F01" w:rsidP="00850F01" w:rsidRDefault="00850F01" w14:paraId="6087FAF6"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0340</w:t>
            </w:r>
          </w:p>
          <w:p w:rsidRPr="00D43D39" w:rsidR="00850F01" w:rsidP="00850F01" w:rsidRDefault="00850F01" w14:paraId="5BB3A2E8"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Structured notes</w:t>
            </w:r>
          </w:p>
          <w:p w:rsidRPr="00D43D39" w:rsidR="00850F01" w:rsidP="00850F01" w:rsidRDefault="00850F01" w14:paraId="157D7B92"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0350</w:t>
            </w:r>
          </w:p>
          <w:p w:rsidRPr="00D43D39" w:rsidR="00850F01" w:rsidP="00850F01" w:rsidRDefault="00850F01" w14:paraId="09FA48FD"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Senior unsecured liabilities</w:t>
            </w:r>
          </w:p>
          <w:p w:rsidRPr="00D43D39" w:rsidR="00850F01" w:rsidP="00850F01" w:rsidRDefault="00850F01" w14:paraId="61CEC72F"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0360</w:t>
            </w:r>
          </w:p>
          <w:p w:rsidRPr="00D43D39" w:rsidR="00850F01" w:rsidP="00850F01" w:rsidRDefault="00850F01" w14:paraId="54BC3588"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Senior non-preferred liabilities</w:t>
            </w:r>
          </w:p>
          <w:p w:rsidRPr="00D43D39" w:rsidR="00850F01" w:rsidP="00850F01" w:rsidRDefault="00850F01" w14:paraId="535E8BFB" w14:textId="77777777">
            <w:pPr>
              <w:pStyle w:val="ListParagraph"/>
              <w:autoSpaceDE w:val="0"/>
              <w:autoSpaceDN w:val="0"/>
              <w:adjustRightInd w:val="0"/>
              <w:ind w:left="539"/>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0365</w:t>
            </w:r>
          </w:p>
          <w:p w:rsidRPr="00D43D39" w:rsidR="00850F01" w:rsidP="00850F01" w:rsidRDefault="00850F01" w14:paraId="6D2CF366"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Subordinated liabilities</w:t>
            </w:r>
          </w:p>
          <w:p w:rsidRPr="00D43D39" w:rsidR="00850F01" w:rsidP="00850F01" w:rsidRDefault="00850F01" w14:paraId="70827A60"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0370</w:t>
            </w:r>
          </w:p>
          <w:p w:rsidRPr="00D43D39" w:rsidR="00850F01" w:rsidP="00850F01" w:rsidRDefault="00850F01" w14:paraId="589DAB7C"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Other MREL eligible liabilities</w:t>
            </w:r>
          </w:p>
          <w:p w:rsidRPr="00D43D39" w:rsidR="00850F01" w:rsidP="00850F01" w:rsidRDefault="00850F01" w14:paraId="33C8A291"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0380</w:t>
            </w:r>
          </w:p>
          <w:p w:rsidRPr="00D43D39" w:rsidR="00850F01" w:rsidP="00850F01" w:rsidRDefault="00850F01" w14:paraId="33116B72"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Non-financial liabilities</w:t>
            </w:r>
          </w:p>
          <w:p w:rsidRPr="00D43D39" w:rsidR="00850F01" w:rsidP="00850F01" w:rsidRDefault="00850F01" w14:paraId="3E53B4EE"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0390</w:t>
            </w:r>
          </w:p>
          <w:p w:rsidRPr="00D43D39" w:rsidR="00850F01" w:rsidP="00850F01" w:rsidRDefault="00850F01" w14:paraId="2C50D100"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Residual liabilities</w:t>
            </w:r>
          </w:p>
          <w:p w:rsidRPr="00D43D39" w:rsidR="00850F01" w:rsidP="00850F01" w:rsidRDefault="00850F01" w14:paraId="336EABDE"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0400. Any liability not captured by any of the preceding items.</w:t>
            </w:r>
          </w:p>
          <w:p w:rsidRPr="00D43D39" w:rsidR="00850F01" w:rsidP="00850F01" w:rsidRDefault="00850F01" w14:paraId="37C42656"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Tier 2 Capital</w:t>
            </w:r>
          </w:p>
          <w:p w:rsidRPr="00D43D39" w:rsidR="00850F01" w:rsidP="00850F01" w:rsidRDefault="00850F01" w14:paraId="7AFF7E0A"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0530</w:t>
            </w:r>
          </w:p>
          <w:p w:rsidRPr="00D43D39" w:rsidR="00850F01" w:rsidP="00850F01" w:rsidRDefault="00850F01" w14:paraId="36934CCE"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Additional Tier 1 Capital</w:t>
            </w:r>
          </w:p>
          <w:p w:rsidRPr="00D43D39" w:rsidR="00850F01" w:rsidP="00850F01" w:rsidRDefault="00850F01" w14:paraId="4BF64863"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0520</w:t>
            </w:r>
          </w:p>
          <w:p w:rsidRPr="00D43D39" w:rsidR="00850F01" w:rsidP="00850F01" w:rsidRDefault="00850F01" w14:paraId="4243D7BB" w14:textId="77777777">
            <w:pPr>
              <w:pStyle w:val="ListParagraph"/>
              <w:numPr>
                <w:ilvl w:val="0"/>
                <w:numId w:val="54"/>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Common Equity Tier 1 Capital</w:t>
            </w:r>
          </w:p>
          <w:p w:rsidRPr="00D43D39" w:rsidR="00850F01" w:rsidP="00850F01" w:rsidRDefault="00850F01" w14:paraId="3FB7EBA3"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Same definition as Z 02.00 (LIAB), row 0510</w:t>
            </w:r>
          </w:p>
          <w:p w:rsidRPr="00D43D39" w:rsidR="00850F01" w:rsidP="00850F01" w:rsidRDefault="00850F01" w14:paraId="0DD7A9BB" w14:textId="77777777">
            <w:pPr>
              <w:pStyle w:val="TableParagraph"/>
              <w:spacing w:before="108"/>
              <w:ind w:left="85"/>
              <w:jc w:val="both"/>
              <w:rPr>
                <w:rFonts w:ascii="Times New Roman" w:hAnsi="Times New Roman" w:eastAsia="Cambria" w:cs="Times New Roman"/>
                <w:color w:val="000000" w:themeColor="text1"/>
                <w:spacing w:val="-2"/>
                <w:w w:val="95"/>
                <w:sz w:val="20"/>
                <w:szCs w:val="20"/>
                <w:u w:val="single"/>
                <w:lang w:val="en-GB"/>
              </w:rPr>
            </w:pPr>
            <w:r w:rsidRPr="00D43D39">
              <w:rPr>
                <w:rFonts w:ascii="Times New Roman" w:hAnsi="Times New Roman" w:eastAsia="Cambria" w:cs="Times New Roman"/>
                <w:color w:val="000000" w:themeColor="text1"/>
                <w:spacing w:val="-2"/>
                <w:w w:val="95"/>
                <w:sz w:val="20"/>
                <w:szCs w:val="20"/>
                <w:u w:val="single"/>
                <w:lang w:val="en-GB"/>
              </w:rPr>
              <w:t>Intragroup Guarantees</w:t>
            </w:r>
          </w:p>
          <w:p w:rsidRPr="00D43D39" w:rsidR="00850F01" w:rsidP="00850F01" w:rsidRDefault="00850F01" w14:paraId="2597126C" w14:textId="77777777">
            <w:pPr>
              <w:pStyle w:val="ListParagraph"/>
              <w:numPr>
                <w:ilvl w:val="0"/>
                <w:numId w:val="55"/>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 xml:space="preserve">Issuance </w:t>
            </w:r>
          </w:p>
          <w:p w:rsidRPr="00D43D39" w:rsidR="00850F01" w:rsidP="00850F01" w:rsidRDefault="00850F01" w14:paraId="2FAA8883"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Guarantees on specific instruments/liabilities that have been issued</w:t>
            </w:r>
          </w:p>
          <w:p w:rsidRPr="00D43D39" w:rsidR="00850F01" w:rsidP="00850F01" w:rsidRDefault="00850F01" w14:paraId="3C43C3CF" w14:textId="77777777">
            <w:pPr>
              <w:pStyle w:val="ListParagraph"/>
              <w:numPr>
                <w:ilvl w:val="0"/>
                <w:numId w:val="55"/>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 xml:space="preserve">Counterparty </w:t>
            </w:r>
          </w:p>
          <w:p w:rsidRPr="00D43D39" w:rsidR="00850F01" w:rsidP="00850F01" w:rsidRDefault="00850F01" w14:paraId="0EBBBB36"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Guarantees granted to a specific counterparty of the institution</w:t>
            </w:r>
          </w:p>
          <w:p w:rsidRPr="00D43D39" w:rsidR="00850F01" w:rsidP="00850F01" w:rsidRDefault="00850F01" w14:paraId="5309C661" w14:textId="77777777">
            <w:pPr>
              <w:pStyle w:val="ListParagraph"/>
              <w:numPr>
                <w:ilvl w:val="0"/>
                <w:numId w:val="55"/>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Unlimited</w:t>
            </w:r>
          </w:p>
          <w:p w:rsidRPr="00D43D39" w:rsidR="00850F01" w:rsidP="00850F01" w:rsidRDefault="00850F01" w14:paraId="390C672F"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 xml:space="preserve">General guarantees not limited to a fixed amount </w:t>
            </w:r>
          </w:p>
          <w:p w:rsidRPr="00D43D39" w:rsidR="00850F01" w:rsidP="00850F01" w:rsidRDefault="00850F01" w14:paraId="2BDF37CA" w14:textId="77777777">
            <w:pPr>
              <w:pStyle w:val="ListParagraph"/>
              <w:numPr>
                <w:ilvl w:val="0"/>
                <w:numId w:val="55"/>
              </w:numPr>
              <w:autoSpaceDE w:val="0"/>
              <w:autoSpaceDN w:val="0"/>
              <w:adjustRightInd w:val="0"/>
              <w:ind w:left="539" w:hanging="454"/>
              <w:contextualSpacing/>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 xml:space="preserve">Other </w:t>
            </w:r>
          </w:p>
          <w:p w:rsidRPr="00D43D39" w:rsidR="00850F01" w:rsidP="00850F01" w:rsidRDefault="00850F01" w14:paraId="2D6BFF53" w14:textId="77777777">
            <w:pPr>
              <w:pStyle w:val="ListParagraph"/>
              <w:autoSpaceDE w:val="0"/>
              <w:autoSpaceDN w:val="0"/>
              <w:adjustRightInd w:val="0"/>
              <w:ind w:left="539"/>
              <w:jc w:val="both"/>
              <w:rPr>
                <w:rFonts w:ascii="Times New Roman" w:hAnsi="Times New Roman" w:eastAsia="Cambria"/>
                <w:color w:val="000000" w:themeColor="text1"/>
                <w:spacing w:val="-2"/>
                <w:w w:val="95"/>
                <w:sz w:val="20"/>
                <w:szCs w:val="20"/>
              </w:rPr>
            </w:pPr>
            <w:r w:rsidRPr="00D43D39">
              <w:rPr>
                <w:rFonts w:ascii="Times New Roman" w:hAnsi="Times New Roman" w:eastAsia="Cambria"/>
                <w:color w:val="000000" w:themeColor="text1"/>
                <w:spacing w:val="-2"/>
                <w:w w:val="95"/>
                <w:sz w:val="20"/>
                <w:szCs w:val="20"/>
              </w:rPr>
              <w:t xml:space="preserve">Any type of guarantee not covered by the previous types. </w:t>
            </w:r>
          </w:p>
        </w:tc>
      </w:tr>
      <w:tr w:rsidRPr="00D43D39" w:rsidR="00850F01" w:rsidTr="00850F01" w14:paraId="6233705C" w14:textId="77777777">
        <w:tc>
          <w:tcPr>
            <w:tcW w:w="907" w:type="dxa"/>
            <w:tcBorders>
              <w:top w:val="single" w:color="1A171C" w:sz="4" w:space="0"/>
              <w:left w:val="nil"/>
              <w:bottom w:val="single" w:color="1A171C" w:sz="4" w:space="0"/>
              <w:right w:val="single" w:color="1A171C" w:sz="4" w:space="0"/>
            </w:tcBorders>
            <w:vAlign w:val="center"/>
          </w:tcPr>
          <w:p w:rsidRPr="00D43D39" w:rsidR="00850F01" w:rsidP="00850F01" w:rsidRDefault="00850F01" w14:paraId="57D9B9E1"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0060</w:t>
            </w:r>
          </w:p>
        </w:tc>
        <w:tc>
          <w:tcPr>
            <w:tcW w:w="8119" w:type="dxa"/>
            <w:tcBorders>
              <w:top w:val="single" w:color="1A171C" w:sz="4" w:space="0"/>
              <w:left w:val="single" w:color="1A171C" w:sz="4" w:space="0"/>
              <w:bottom w:val="single" w:color="1A171C" w:sz="4" w:space="0"/>
              <w:right w:val="nil"/>
            </w:tcBorders>
            <w:vAlign w:val="center"/>
          </w:tcPr>
          <w:p w:rsidRPr="00D43D39" w:rsidR="00850F01" w:rsidP="00850F01" w:rsidRDefault="00850F01" w14:paraId="56BCCDE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Outstanding amount</w:t>
            </w:r>
          </w:p>
          <w:p w:rsidRPr="00D43D39" w:rsidR="00850F01" w:rsidP="00850F01" w:rsidRDefault="00850F01" w14:paraId="2434A0C4"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For liabilities (column 0050, types L.1, L.2 and L.4 - L.14), the outstanding amount of the intragroup liabilities; for liabilities arising from derivatives (type L.3), the close-out amounts as defined for the purposes of template Z 02.00 (LIAB), row 0333.</w:t>
            </w:r>
          </w:p>
          <w:p w:rsidRPr="00D43D39" w:rsidR="00850F01" w:rsidP="00850F01" w:rsidRDefault="00850F01" w14:paraId="1208445D"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For guarantees (column 0050, values G.1 - G.4), the maximum potential amount of future payments under the guarantee </w:t>
            </w:r>
          </w:p>
        </w:tc>
      </w:tr>
      <w:tr w:rsidRPr="00D43D39" w:rsidR="00850F01" w:rsidTr="00850F01" w14:paraId="72B45602" w14:textId="77777777">
        <w:tc>
          <w:tcPr>
            <w:tcW w:w="907" w:type="dxa"/>
            <w:tcBorders>
              <w:top w:val="single" w:color="1A171C" w:sz="4" w:space="0"/>
              <w:left w:val="nil"/>
              <w:bottom w:val="single" w:color="1A171C" w:sz="4" w:space="0"/>
              <w:right w:val="single" w:color="1A171C" w:sz="4" w:space="0"/>
            </w:tcBorders>
            <w:vAlign w:val="center"/>
          </w:tcPr>
          <w:p w:rsidRPr="00D43D39" w:rsidR="00850F01" w:rsidP="00850F01" w:rsidRDefault="00850F01" w14:paraId="6A6A6BAF"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0070</w:t>
            </w:r>
          </w:p>
        </w:tc>
        <w:tc>
          <w:tcPr>
            <w:tcW w:w="8119" w:type="dxa"/>
            <w:tcBorders>
              <w:top w:val="single" w:color="1A171C" w:sz="4" w:space="0"/>
              <w:left w:val="single" w:color="1A171C" w:sz="4" w:space="0"/>
              <w:bottom w:val="single" w:color="1A171C" w:sz="4" w:space="0"/>
              <w:right w:val="nil"/>
            </w:tcBorders>
            <w:vAlign w:val="center"/>
          </w:tcPr>
          <w:p w:rsidRPr="00D43D39" w:rsidR="00850F01" w:rsidP="00850F01" w:rsidRDefault="00850F01" w14:paraId="0FB218D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of which issued under 3rd country law</w:t>
            </w:r>
          </w:p>
          <w:p w:rsidRPr="00D43D39" w:rsidR="00850F01" w:rsidP="00850F01" w:rsidRDefault="00850F01" w14:paraId="3E703BD6" w14:textId="77777777">
            <w:pPr>
              <w:pStyle w:val="TableParagraph"/>
              <w:spacing w:before="108"/>
              <w:ind w:left="85"/>
              <w:jc w:val="both"/>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 xml:space="preserve">The share, in monetary amount, of the outstanding amount that is governed by the law of a third </w:t>
            </w:r>
            <w:r w:rsidRPr="00D43D39">
              <w:rPr>
                <w:rFonts w:ascii="Times New Roman" w:hAnsi="Times New Roman" w:cs="Times New Roman"/>
                <w:bCs/>
                <w:color w:val="000000" w:themeColor="text1"/>
                <w:sz w:val="20"/>
                <w:szCs w:val="20"/>
                <w:lang w:val="en-GB"/>
              </w:rPr>
              <w:t>country.</w:t>
            </w:r>
          </w:p>
        </w:tc>
      </w:tr>
      <w:tr w:rsidRPr="00D43D39" w:rsidR="00850F01" w:rsidTr="00850F01" w14:paraId="06CDFB6E" w14:textId="77777777">
        <w:tc>
          <w:tcPr>
            <w:tcW w:w="907" w:type="dxa"/>
            <w:tcBorders>
              <w:top w:val="single" w:color="1A171C" w:sz="4" w:space="0"/>
              <w:left w:val="nil"/>
              <w:bottom w:val="single" w:color="1A171C" w:sz="4" w:space="0"/>
              <w:right w:val="single" w:color="1A171C" w:sz="4" w:space="0"/>
            </w:tcBorders>
            <w:vAlign w:val="center"/>
          </w:tcPr>
          <w:p w:rsidRPr="00D43D39" w:rsidR="00850F01" w:rsidP="00850F01" w:rsidRDefault="00850F01" w14:paraId="0B547FB1" w14:textId="77777777">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0080</w:t>
            </w:r>
          </w:p>
        </w:tc>
        <w:tc>
          <w:tcPr>
            <w:tcW w:w="8119" w:type="dxa"/>
            <w:tcBorders>
              <w:top w:val="single" w:color="1A171C" w:sz="4" w:space="0"/>
              <w:left w:val="single" w:color="1A171C" w:sz="4" w:space="0"/>
              <w:bottom w:val="single" w:color="1A171C" w:sz="4" w:space="0"/>
              <w:right w:val="nil"/>
            </w:tcBorders>
            <w:vAlign w:val="center"/>
          </w:tcPr>
          <w:p w:rsidRPr="00D43D39" w:rsidR="00850F01" w:rsidP="00850F01" w:rsidRDefault="00850F01" w14:paraId="43B3719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of which: MREL eligible</w:t>
            </w:r>
          </w:p>
          <w:p w:rsidRPr="00D43D39" w:rsidR="00850F01" w:rsidP="00850F01" w:rsidRDefault="00850F01" w14:paraId="73A4729E" w14:textId="0C0D0563">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of own funds and liabilities eligible to meet the requirement of Article 45 of Directive 2014/59/EU in accordance with Article 45e or 45f of that Directive, as applicable.</w:t>
            </w:r>
            <w:r w:rsidRPr="005F5507">
              <w:rPr>
                <w:rFonts w:ascii="Times New Roman" w:hAnsi="Times New Roman" w:cs="Times New Roman"/>
              </w:rPr>
              <w:t xml:space="preserve"> </w:t>
            </w:r>
            <w:r w:rsidRPr="00D43D39">
              <w:rPr>
                <w:rFonts w:ascii="Times New Roman" w:hAnsi="Times New Roman" w:eastAsia="Cambria" w:cs="Times New Roman"/>
                <w:color w:val="000000" w:themeColor="text1"/>
                <w:spacing w:val="-2"/>
                <w:w w:val="95"/>
                <w:sz w:val="20"/>
                <w:szCs w:val="20"/>
                <w:lang w:val="en-GB"/>
              </w:rPr>
              <w:t xml:space="preserve">Only those own funds and liabilities that meet the criteria of Article 45b or Article 45f (2) of Directive 2014/59/EU, as applicable, considering, where relevant, Article 89 (2) BRRD, and Article 55 BRRD shall be reported. </w:t>
            </w:r>
          </w:p>
        </w:tc>
      </w:tr>
    </w:tbl>
    <w:p w:rsidRPr="00D43D39" w:rsidR="00E13CE3" w:rsidP="00E13CE3" w:rsidRDefault="00E13CE3" w14:paraId="27337152" w14:textId="77777777">
      <w:pPr>
        <w:jc w:val="both"/>
        <w:rPr>
          <w:rFonts w:ascii="Times New Roman" w:hAnsi="Times New Roman" w:cs="Times New Roman"/>
          <w:color w:val="000000" w:themeColor="text1"/>
          <w:sz w:val="20"/>
          <w:szCs w:val="20"/>
          <w:lang w:val="en-GB"/>
        </w:rPr>
      </w:pPr>
    </w:p>
    <w:p w:rsidRPr="00D43D39" w:rsidR="00E13CE3" w:rsidP="008854E4" w:rsidRDefault="00E13CE3" w14:paraId="7B8F1FC4" w14:textId="07F9FE16">
      <w:pPr>
        <w:pStyle w:val="Instructionsberschrift2"/>
        <w:numPr>
          <w:ilvl w:val="1"/>
          <w:numId w:val="49"/>
        </w:numPr>
        <w:ind w:left="357" w:hanging="357"/>
        <w:rPr>
          <w:rFonts w:ascii="Times New Roman" w:hAnsi="Times New Roman" w:cs="Times New Roman"/>
        </w:rPr>
      </w:pPr>
      <w:bookmarkStart w:name="_Toc492542325" w:id="64"/>
      <w:bookmarkStart w:name="_Toc81454183" w:id="65"/>
      <w:bookmarkStart w:name="_Toc172732227" w:id="66"/>
      <w:r w:rsidRPr="00D43D39">
        <w:rPr>
          <w:rFonts w:ascii="Times New Roman" w:hAnsi="Times New Roman" w:cs="Times New Roman"/>
        </w:rPr>
        <w:t>Major Counterparties (</w:t>
      </w:r>
      <w:r w:rsidR="00C02CEB">
        <w:rPr>
          <w:rFonts w:ascii="Times New Roman" w:hAnsi="Times New Roman" w:cs="Times New Roman"/>
        </w:rPr>
        <w:t>LIAB 5 &amp; 6</w:t>
      </w:r>
      <w:r w:rsidRPr="00D43D39">
        <w:rPr>
          <w:rFonts w:ascii="Times New Roman" w:hAnsi="Times New Roman" w:cs="Times New Roman"/>
        </w:rPr>
        <w:t>)</w:t>
      </w:r>
      <w:bookmarkEnd w:id="64"/>
      <w:bookmarkEnd w:id="65"/>
      <w:bookmarkEnd w:id="66"/>
    </w:p>
    <w:p w:rsidRPr="00D43D39" w:rsidR="00BF5063" w:rsidP="00715DAB" w:rsidRDefault="00BF5063" w14:paraId="3CC29F42" w14:textId="77777777">
      <w:pPr>
        <w:pStyle w:val="Instructionsberschrift3"/>
        <w:rPr>
          <w:lang w:val="en-GB"/>
        </w:rPr>
      </w:pPr>
      <w:r w:rsidRPr="00D43D39">
        <w:rPr>
          <w:lang w:val="en-GB"/>
        </w:rPr>
        <w:t>General remarks</w:t>
      </w:r>
    </w:p>
    <w:p w:rsidRPr="00D43D39" w:rsidR="00747EE2" w:rsidP="005F5507" w:rsidRDefault="144DB10B" w14:paraId="116486F6"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The</w:t>
      </w:r>
      <w:r w:rsidRPr="00D43D39" w:rsidR="61953385">
        <w:rPr>
          <w:rFonts w:ascii="Times New Roman" w:hAnsi="Times New Roman" w:cs="Times New Roman"/>
          <w:sz w:val="20"/>
          <w:szCs w:val="20"/>
          <w:lang w:val="en-GB"/>
        </w:rPr>
        <w:t>se</w:t>
      </w:r>
      <w:r w:rsidRPr="00D43D39">
        <w:rPr>
          <w:rFonts w:ascii="Times New Roman" w:hAnsi="Times New Roman" w:cs="Times New Roman"/>
          <w:sz w:val="20"/>
          <w:szCs w:val="20"/>
          <w:lang w:val="en-GB"/>
        </w:rPr>
        <w:t xml:space="preserve"> templates </w:t>
      </w:r>
      <w:r w:rsidRPr="00D43D39" w:rsidR="60D72D64">
        <w:rPr>
          <w:rFonts w:ascii="Times New Roman" w:hAnsi="Times New Roman" w:cs="Times New Roman"/>
          <w:sz w:val="20"/>
          <w:szCs w:val="20"/>
          <w:lang w:val="en-GB"/>
        </w:rPr>
        <w:t xml:space="preserve">collect </w:t>
      </w:r>
      <w:r w:rsidRPr="00D43D39" w:rsidR="1F7A6D90">
        <w:rPr>
          <w:rFonts w:ascii="Times New Roman" w:hAnsi="Times New Roman" w:cs="Times New Roman"/>
          <w:sz w:val="20"/>
          <w:szCs w:val="20"/>
          <w:lang w:val="en-GB"/>
        </w:rPr>
        <w:t xml:space="preserve">information on </w:t>
      </w:r>
      <w:r w:rsidRPr="00D43D39" w:rsidR="413E34D8">
        <w:rPr>
          <w:rFonts w:ascii="Times New Roman" w:hAnsi="Times New Roman" w:cs="Times New Roman"/>
          <w:sz w:val="20"/>
          <w:szCs w:val="20"/>
          <w:lang w:val="en-GB"/>
        </w:rPr>
        <w:t>liabilities</w:t>
      </w:r>
      <w:r w:rsidRPr="00D43D39" w:rsidR="7CCFEEC1">
        <w:rPr>
          <w:rFonts w:ascii="Times New Roman" w:hAnsi="Times New Roman" w:cs="Times New Roman"/>
          <w:sz w:val="20"/>
          <w:szCs w:val="20"/>
          <w:lang w:val="en-GB"/>
        </w:rPr>
        <w:t xml:space="preserve"> towards</w:t>
      </w:r>
      <w:r w:rsidRPr="00D43D39" w:rsidR="1AD9E659">
        <w:rPr>
          <w:rFonts w:ascii="Times New Roman" w:hAnsi="Times New Roman" w:cs="Times New Roman"/>
          <w:sz w:val="20"/>
          <w:szCs w:val="20"/>
          <w:lang w:val="en-GB"/>
        </w:rPr>
        <w:t xml:space="preserve"> major counterparties (</w:t>
      </w:r>
      <w:r w:rsidRPr="00D43D39" w:rsidR="73B94CD9">
        <w:rPr>
          <w:rFonts w:ascii="Times New Roman" w:hAnsi="Times New Roman" w:cs="Times New Roman"/>
          <w:sz w:val="20"/>
          <w:szCs w:val="20"/>
          <w:lang w:val="en-GB"/>
        </w:rPr>
        <w:t>Z 0</w:t>
      </w:r>
      <w:r w:rsidRPr="00D43D39" w:rsidR="1AD9E659">
        <w:rPr>
          <w:rFonts w:ascii="Times New Roman" w:hAnsi="Times New Roman" w:cs="Times New Roman"/>
          <w:sz w:val="20"/>
          <w:szCs w:val="20"/>
          <w:lang w:val="en-GB"/>
        </w:rPr>
        <w:t xml:space="preserve">5.01) </w:t>
      </w:r>
      <w:r w:rsidRPr="00D43D39" w:rsidR="428BA82A">
        <w:rPr>
          <w:rFonts w:ascii="Times New Roman" w:hAnsi="Times New Roman" w:cs="Times New Roman"/>
          <w:sz w:val="20"/>
          <w:szCs w:val="20"/>
          <w:lang w:val="en-GB"/>
        </w:rPr>
        <w:t xml:space="preserve">and </w:t>
      </w:r>
      <w:r w:rsidRPr="00D43D39" w:rsidR="413E34D8">
        <w:rPr>
          <w:rFonts w:ascii="Times New Roman" w:hAnsi="Times New Roman" w:cs="Times New Roman"/>
          <w:sz w:val="20"/>
          <w:szCs w:val="20"/>
          <w:lang w:val="en-GB"/>
        </w:rPr>
        <w:t>off</w:t>
      </w:r>
      <w:r w:rsidRPr="00D43D39" w:rsidR="10690009">
        <w:rPr>
          <w:rFonts w:ascii="Times New Roman" w:hAnsi="Times New Roman" w:cs="Times New Roman"/>
          <w:sz w:val="20"/>
          <w:szCs w:val="20"/>
          <w:lang w:val="en-GB"/>
        </w:rPr>
        <w:t>-</w:t>
      </w:r>
      <w:r w:rsidRPr="00D43D39" w:rsidR="413E34D8">
        <w:rPr>
          <w:rFonts w:ascii="Times New Roman" w:hAnsi="Times New Roman" w:cs="Times New Roman"/>
          <w:sz w:val="20"/>
          <w:szCs w:val="20"/>
          <w:lang w:val="en-GB"/>
        </w:rPr>
        <w:t>balance</w:t>
      </w:r>
      <w:r w:rsidRPr="00D43D39" w:rsidR="60D72D64">
        <w:rPr>
          <w:rFonts w:ascii="Times New Roman" w:hAnsi="Times New Roman" w:cs="Times New Roman"/>
          <w:sz w:val="20"/>
          <w:szCs w:val="20"/>
          <w:lang w:val="en-GB"/>
        </w:rPr>
        <w:t xml:space="preserve"> </w:t>
      </w:r>
      <w:r w:rsidRPr="00D43D39" w:rsidR="413E34D8">
        <w:rPr>
          <w:rFonts w:ascii="Times New Roman" w:hAnsi="Times New Roman" w:cs="Times New Roman"/>
          <w:sz w:val="20"/>
          <w:szCs w:val="20"/>
          <w:lang w:val="en-GB"/>
        </w:rPr>
        <w:t>sheet items</w:t>
      </w:r>
      <w:r w:rsidRPr="00D43D39" w:rsidR="7CCFEEC1">
        <w:rPr>
          <w:rFonts w:ascii="Times New Roman" w:hAnsi="Times New Roman" w:cs="Times New Roman"/>
          <w:sz w:val="20"/>
          <w:szCs w:val="20"/>
          <w:lang w:val="en-GB"/>
        </w:rPr>
        <w:t xml:space="preserve"> received from </w:t>
      </w:r>
      <w:r w:rsidRPr="00D43D39" w:rsidR="1F7A6D90">
        <w:rPr>
          <w:rFonts w:ascii="Times New Roman" w:hAnsi="Times New Roman" w:cs="Times New Roman"/>
          <w:sz w:val="20"/>
          <w:szCs w:val="20"/>
          <w:lang w:val="en-GB"/>
        </w:rPr>
        <w:t>major counterparties</w:t>
      </w:r>
      <w:r w:rsidRPr="00D43D39" w:rsidR="1AD9E659">
        <w:rPr>
          <w:rFonts w:ascii="Times New Roman" w:hAnsi="Times New Roman" w:cs="Times New Roman"/>
          <w:sz w:val="20"/>
          <w:szCs w:val="20"/>
          <w:lang w:val="en-GB"/>
        </w:rPr>
        <w:t xml:space="preserve"> (</w:t>
      </w:r>
      <w:r w:rsidRPr="00D43D39" w:rsidR="73B94CD9">
        <w:rPr>
          <w:rFonts w:ascii="Times New Roman" w:hAnsi="Times New Roman" w:cs="Times New Roman"/>
          <w:sz w:val="20"/>
          <w:szCs w:val="20"/>
          <w:lang w:val="en-GB"/>
        </w:rPr>
        <w:t>Z 0</w:t>
      </w:r>
      <w:r w:rsidRPr="00D43D39" w:rsidR="1AD9E659">
        <w:rPr>
          <w:rFonts w:ascii="Times New Roman" w:hAnsi="Times New Roman" w:cs="Times New Roman"/>
          <w:sz w:val="20"/>
          <w:szCs w:val="20"/>
          <w:lang w:val="en-GB"/>
        </w:rPr>
        <w:t>5.02)</w:t>
      </w:r>
      <w:r w:rsidRPr="00D43D39" w:rsidR="1F7A6D90">
        <w:rPr>
          <w:rFonts w:ascii="Times New Roman" w:hAnsi="Times New Roman" w:cs="Times New Roman"/>
          <w:sz w:val="20"/>
          <w:szCs w:val="20"/>
          <w:lang w:val="en-GB"/>
        </w:rPr>
        <w:t>.</w:t>
      </w:r>
      <w:r w:rsidRPr="00D43D39" w:rsidR="61BFF5D1">
        <w:rPr>
          <w:rFonts w:ascii="Times New Roman" w:hAnsi="Times New Roman" w:cs="Times New Roman"/>
          <w:sz w:val="20"/>
          <w:szCs w:val="20"/>
          <w:lang w:val="en-GB"/>
        </w:rPr>
        <w:t xml:space="preserve"> </w:t>
      </w:r>
      <w:r w:rsidRPr="00D43D39" w:rsidR="16B80135">
        <w:rPr>
          <w:rFonts w:ascii="Times New Roman" w:hAnsi="Times New Roman" w:cs="Times New Roman"/>
          <w:sz w:val="20"/>
          <w:szCs w:val="20"/>
          <w:lang w:val="en-GB"/>
        </w:rPr>
        <w:t>Reported a</w:t>
      </w:r>
      <w:r w:rsidRPr="00D43D39" w:rsidR="1B88A7E1">
        <w:rPr>
          <w:rFonts w:ascii="Times New Roman" w:hAnsi="Times New Roman" w:cs="Times New Roman"/>
          <w:sz w:val="20"/>
          <w:szCs w:val="20"/>
          <w:lang w:val="en-GB"/>
        </w:rPr>
        <w:t xml:space="preserve">mounts shall be aggregated where they </w:t>
      </w:r>
      <w:r w:rsidRPr="00D43D39" w:rsidR="5E34C1DA">
        <w:rPr>
          <w:rFonts w:ascii="Times New Roman" w:hAnsi="Times New Roman" w:cs="Times New Roman"/>
          <w:sz w:val="20"/>
          <w:szCs w:val="20"/>
          <w:lang w:val="en-GB"/>
        </w:rPr>
        <w:t xml:space="preserve">belong </w:t>
      </w:r>
      <w:r w:rsidRPr="00D43D39" w:rsidR="1B88A7E1">
        <w:rPr>
          <w:rFonts w:ascii="Times New Roman" w:hAnsi="Times New Roman" w:cs="Times New Roman"/>
          <w:sz w:val="20"/>
          <w:szCs w:val="20"/>
          <w:lang w:val="en-GB"/>
        </w:rPr>
        <w:t xml:space="preserve">to the same counterparty and the same type of liabilities or </w:t>
      </w:r>
      <w:r w:rsidRPr="00D43D39" w:rsidR="3905856B">
        <w:rPr>
          <w:rFonts w:ascii="Times New Roman" w:hAnsi="Times New Roman" w:cs="Times New Roman"/>
          <w:sz w:val="20"/>
          <w:szCs w:val="20"/>
          <w:lang w:val="en-GB"/>
        </w:rPr>
        <w:t xml:space="preserve">off-balance sheet </w:t>
      </w:r>
      <w:r w:rsidRPr="00D43D39" w:rsidR="1B88A7E1">
        <w:rPr>
          <w:rFonts w:ascii="Times New Roman" w:hAnsi="Times New Roman" w:cs="Times New Roman"/>
          <w:sz w:val="20"/>
          <w:szCs w:val="20"/>
          <w:lang w:val="en-GB"/>
        </w:rPr>
        <w:t>items.</w:t>
      </w:r>
    </w:p>
    <w:p w:rsidRPr="00D43D39" w:rsidR="0056559D" w:rsidP="005F5507" w:rsidRDefault="1AD9E659" w14:paraId="589A58FE" w14:textId="2502B328">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Liabilities and off-balance sheet items for which </w:t>
      </w:r>
      <w:r w:rsidRPr="00D43D39" w:rsidR="3DDAE45C">
        <w:rPr>
          <w:rFonts w:ascii="Times New Roman" w:hAnsi="Times New Roman" w:cs="Times New Roman"/>
          <w:sz w:val="20"/>
          <w:szCs w:val="20"/>
          <w:lang w:val="en-GB"/>
        </w:rPr>
        <w:t>the counterparty cannot be identified</w:t>
      </w:r>
      <w:r w:rsidRPr="00D43D39">
        <w:rPr>
          <w:rFonts w:ascii="Times New Roman" w:hAnsi="Times New Roman" w:cs="Times New Roman"/>
          <w:sz w:val="20"/>
          <w:szCs w:val="20"/>
          <w:lang w:val="en-GB"/>
        </w:rPr>
        <w:t xml:space="preserve"> shall not </w:t>
      </w:r>
      <w:r w:rsidRPr="00D43D39" w:rsidR="3DDAE45C">
        <w:rPr>
          <w:rFonts w:ascii="Times New Roman" w:hAnsi="Times New Roman" w:cs="Times New Roman"/>
          <w:sz w:val="20"/>
          <w:szCs w:val="20"/>
          <w:lang w:val="en-GB"/>
        </w:rPr>
        <w:t xml:space="preserve">be reported in these templates. </w:t>
      </w:r>
      <w:r w:rsidRPr="00D43D39" w:rsidR="5F21715E">
        <w:rPr>
          <w:rFonts w:ascii="Times New Roman" w:hAnsi="Times New Roman" w:cs="Times New Roman"/>
          <w:sz w:val="20"/>
          <w:szCs w:val="20"/>
          <w:lang w:val="en-GB"/>
        </w:rPr>
        <w:t>Liabilities and off balance sheet items for which the counterparty is an entity included in the consolidated financial statements shall not be reported.</w:t>
      </w:r>
    </w:p>
    <w:p w:rsidRPr="00D43D39" w:rsidR="005B5A5C" w:rsidP="005F5507" w:rsidRDefault="005B5A5C" w14:paraId="739FD6D3" w14:textId="09AE5758">
      <w:pPr>
        <w:pStyle w:val="InstructionsText2"/>
        <w:numPr>
          <w:ilvl w:val="0"/>
          <w:numId w:val="0"/>
        </w:numPr>
        <w:spacing w:before="0"/>
        <w:ind w:left="753" w:hanging="720"/>
        <w:rPr>
          <w:rFonts w:ascii="Times New Roman" w:hAnsi="Times New Roman" w:cs="Times New Roman"/>
          <w:sz w:val="20"/>
          <w:szCs w:val="20"/>
          <w:lang w:val="en-GB"/>
        </w:rPr>
      </w:pPr>
    </w:p>
    <w:p w:rsidR="00C02CEB" w:rsidP="001C34E8" w:rsidRDefault="00F7117F" w14:paraId="73CAD5BF" w14:textId="53DE4F78">
      <w:pPr>
        <w:pStyle w:val="Instructionsberschrift2"/>
        <w:numPr>
          <w:ilvl w:val="1"/>
          <w:numId w:val="49"/>
        </w:numPr>
        <w:ind w:left="357" w:hanging="357"/>
        <w:rPr>
          <w:rFonts w:ascii="Times New Roman" w:hAnsi="Times New Roman" w:cs="Times New Roman"/>
        </w:rPr>
      </w:pPr>
      <w:bookmarkStart w:name="_Toc81454184" w:id="67"/>
      <w:bookmarkStart w:name="_Toc172732228" w:id="68"/>
      <w:r w:rsidRPr="00D43D39">
        <w:rPr>
          <w:rFonts w:ascii="Times New Roman" w:hAnsi="Times New Roman" w:cs="Times New Roman"/>
        </w:rPr>
        <w:t>Z 0</w:t>
      </w:r>
      <w:r w:rsidRPr="00D43D39" w:rsidR="00A4015F">
        <w:rPr>
          <w:rFonts w:ascii="Times New Roman" w:hAnsi="Times New Roman" w:cs="Times New Roman"/>
        </w:rPr>
        <w:t xml:space="preserve">5.01 – Major liabilities counterparties </w:t>
      </w:r>
      <w:r w:rsidR="00C02CEB">
        <w:rPr>
          <w:rFonts w:ascii="Times New Roman" w:hAnsi="Times New Roman" w:cs="Times New Roman"/>
        </w:rPr>
        <w:t>(LIAB 5)</w:t>
      </w:r>
      <w:bookmarkEnd w:id="68"/>
    </w:p>
    <w:p w:rsidRPr="005F5507" w:rsidR="00DF1EA4" w:rsidP="005F5507" w:rsidRDefault="00BF5063" w14:paraId="3454E902" w14:textId="00598A36">
      <w:pPr>
        <w:pStyle w:val="body"/>
        <w:rPr>
          <w:u w:val="single"/>
        </w:rPr>
      </w:pPr>
      <w:r w:rsidRPr="00DB6DB6">
        <w:rPr>
          <w:u w:val="single"/>
        </w:rPr>
        <w:t>Instructions concerning specific positions</w:t>
      </w:r>
      <w:bookmarkEnd w:id="67"/>
    </w:p>
    <w:p w:rsidRPr="00D43D39" w:rsidR="00DF1EA4" w:rsidP="005F5507" w:rsidRDefault="2F1AB3DB" w14:paraId="387BB84F"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The combination of values reported in columns </w:t>
      </w:r>
      <w:r w:rsidRPr="00D43D39" w:rsidR="4FA58454">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020 and </w:t>
      </w:r>
      <w:r w:rsidRPr="00D43D39" w:rsidR="4FA58454">
        <w:rPr>
          <w:rFonts w:ascii="Times New Roman" w:hAnsi="Times New Roman" w:cs="Times New Roman"/>
          <w:sz w:val="20"/>
          <w:szCs w:val="20"/>
          <w:lang w:val="en-GB"/>
        </w:rPr>
        <w:t>0</w:t>
      </w:r>
      <w:r w:rsidRPr="00D43D39" w:rsidR="0427AA5A">
        <w:rPr>
          <w:rFonts w:ascii="Times New Roman" w:hAnsi="Times New Roman" w:cs="Times New Roman"/>
          <w:sz w:val="20"/>
          <w:szCs w:val="20"/>
          <w:lang w:val="en-GB"/>
        </w:rPr>
        <w:t>06</w:t>
      </w:r>
      <w:r w:rsidRPr="00D43D39">
        <w:rPr>
          <w:rFonts w:ascii="Times New Roman" w:hAnsi="Times New Roman" w:cs="Times New Roman"/>
          <w:sz w:val="20"/>
          <w:szCs w:val="20"/>
          <w:lang w:val="en-GB"/>
        </w:rPr>
        <w:t>0 o</w:t>
      </w:r>
      <w:r w:rsidRPr="00D43D39" w:rsidR="294A6143">
        <w:rPr>
          <w:rFonts w:ascii="Times New Roman" w:hAnsi="Times New Roman" w:cs="Times New Roman"/>
          <w:sz w:val="20"/>
          <w:szCs w:val="20"/>
          <w:lang w:val="en-GB"/>
        </w:rPr>
        <w:t>f th</w:t>
      </w:r>
      <w:r w:rsidRPr="00D43D39" w:rsidR="0427AA5A">
        <w:rPr>
          <w:rFonts w:ascii="Times New Roman" w:hAnsi="Times New Roman" w:cs="Times New Roman"/>
          <w:sz w:val="20"/>
          <w:szCs w:val="20"/>
          <w:lang w:val="en-GB"/>
        </w:rPr>
        <w:t>is</w:t>
      </w:r>
      <w:r w:rsidRPr="00D43D39">
        <w:rPr>
          <w:rFonts w:ascii="Times New Roman" w:hAnsi="Times New Roman" w:cs="Times New Roman"/>
          <w:sz w:val="20"/>
          <w:szCs w:val="20"/>
          <w:lang w:val="en-GB"/>
        </w:rPr>
        <w:t xml:space="preserve"> template forms a primary key which has to be unique for each row of the template.</w:t>
      </w:r>
    </w:p>
    <w:tbl>
      <w:tblPr>
        <w:tblW w:w="0" w:type="auto"/>
        <w:tblCellMar>
          <w:top w:w="57" w:type="dxa"/>
          <w:left w:w="57" w:type="dxa"/>
          <w:bottom w:w="57" w:type="dxa"/>
          <w:right w:w="0" w:type="dxa"/>
        </w:tblCellMar>
        <w:tblLook w:val="01E0" w:firstRow="1" w:lastRow="1" w:firstColumn="1" w:lastColumn="1" w:noHBand="0" w:noVBand="0"/>
      </w:tblPr>
      <w:tblGrid>
        <w:gridCol w:w="907"/>
        <w:gridCol w:w="8119"/>
      </w:tblGrid>
      <w:tr w:rsidRPr="00D43D39" w:rsidR="00D22EB0" w:rsidTr="005F5507" w14:paraId="6C87F952" w14:textId="77777777">
        <w:trPr>
          <w:tblHeader/>
        </w:trPr>
        <w:tc>
          <w:tcPr>
            <w:tcW w:w="907" w:type="dxa"/>
            <w:tcBorders>
              <w:top w:val="single" w:color="1A171C" w:sz="4" w:space="0"/>
              <w:left w:val="nil"/>
              <w:bottom w:val="single" w:color="1A171C" w:sz="4" w:space="0"/>
              <w:right w:val="single" w:color="1A171C" w:sz="4" w:space="0"/>
            </w:tcBorders>
            <w:shd w:val="clear" w:color="auto" w:fill="E4E5E5"/>
          </w:tcPr>
          <w:p w:rsidRPr="00D43D39" w:rsidR="007F5A56" w:rsidP="00DF1EA4" w:rsidRDefault="007F5A56" w14:paraId="7D5A8C95" w14:textId="77777777">
            <w:pPr>
              <w:pStyle w:val="TableParagraph"/>
              <w:spacing w:before="66"/>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Columns</w:t>
            </w:r>
          </w:p>
        </w:tc>
        <w:tc>
          <w:tcPr>
            <w:tcW w:w="8119" w:type="dxa"/>
            <w:tcBorders>
              <w:top w:val="single" w:color="1A171C" w:sz="4" w:space="0"/>
              <w:left w:val="single" w:color="1A171C" w:sz="4" w:space="0"/>
              <w:bottom w:val="single" w:color="1A171C" w:sz="4" w:space="0"/>
              <w:right w:val="nil"/>
            </w:tcBorders>
            <w:shd w:val="clear" w:color="auto" w:fill="E4E5E5"/>
          </w:tcPr>
          <w:p w:rsidRPr="00D43D39" w:rsidR="007F5A56" w:rsidP="00DF1EA4" w:rsidRDefault="007F5A56" w14:paraId="15D020D3" w14:textId="77777777">
            <w:pPr>
              <w:pStyle w:val="TableParagraph"/>
              <w:spacing w:before="66"/>
              <w:ind w:right="1"/>
              <w:jc w:val="center"/>
              <w:rPr>
                <w:rFonts w:ascii="Times New Roman" w:hAnsi="Times New Roman" w:eastAsia="Cambria"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Pr="00D43D39" w:rsidR="00D22EB0" w:rsidTr="4ABF549B" w14:paraId="29CE198F" w14:textId="77777777">
        <w:tc>
          <w:tcPr>
            <w:tcW w:w="907" w:type="dxa"/>
            <w:tcBorders>
              <w:top w:val="single" w:color="1A171C" w:sz="4" w:space="0"/>
              <w:left w:val="nil"/>
              <w:bottom w:val="single" w:color="1A171C" w:sz="4" w:space="0"/>
              <w:right w:val="single" w:color="1A171C" w:sz="4" w:space="0"/>
            </w:tcBorders>
            <w:vAlign w:val="center"/>
          </w:tcPr>
          <w:p w:rsidRPr="00D43D39" w:rsidR="007F5A56" w:rsidP="009A37B7" w:rsidRDefault="007F5A56" w14:paraId="3774A13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467DEA">
              <w:rPr>
                <w:rFonts w:ascii="Times New Roman" w:hAnsi="Times New Roman" w:eastAsia="Cambria" w:cs="Times New Roman"/>
                <w:color w:val="000000" w:themeColor="text1"/>
                <w:spacing w:val="-2"/>
                <w:w w:val="95"/>
                <w:sz w:val="20"/>
                <w:szCs w:val="20"/>
                <w:lang w:val="en-GB"/>
              </w:rPr>
              <w:t>0</w:t>
            </w:r>
            <w:r w:rsidRPr="00D43D39" w:rsidR="009A37B7">
              <w:rPr>
                <w:rFonts w:ascii="Times New Roman" w:hAnsi="Times New Roman" w:eastAsia="Cambria" w:cs="Times New Roman"/>
                <w:color w:val="000000" w:themeColor="text1"/>
                <w:spacing w:val="-2"/>
                <w:w w:val="95"/>
                <w:sz w:val="20"/>
                <w:szCs w:val="20"/>
                <w:lang w:val="en-GB"/>
              </w:rPr>
              <w:t>1</w:t>
            </w:r>
            <w:r w:rsidRPr="00D43D39">
              <w:rPr>
                <w:rFonts w:ascii="Times New Roman" w:hAnsi="Times New Roman" w:eastAsia="Cambria" w:cs="Times New Roman"/>
                <w:color w:val="000000" w:themeColor="text1"/>
                <w:spacing w:val="-2"/>
                <w:w w:val="95"/>
                <w:sz w:val="20"/>
                <w:szCs w:val="20"/>
                <w:lang w:val="en-GB"/>
              </w:rPr>
              <w:t>0-</w:t>
            </w:r>
            <w:r w:rsidRPr="00D43D39" w:rsidR="00467DEA">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0</w:t>
            </w:r>
            <w:r w:rsidRPr="00D43D39" w:rsidR="009A37B7">
              <w:rPr>
                <w:rFonts w:ascii="Times New Roman" w:hAnsi="Times New Roman" w:eastAsia="Cambria" w:cs="Times New Roman"/>
                <w:color w:val="000000" w:themeColor="text1"/>
                <w:spacing w:val="-2"/>
                <w:w w:val="95"/>
                <w:sz w:val="20"/>
                <w:szCs w:val="20"/>
                <w:lang w:val="en-GB"/>
              </w:rPr>
              <w:t>5</w:t>
            </w:r>
            <w:r w:rsidRPr="00D43D39">
              <w:rPr>
                <w:rFonts w:ascii="Times New Roman" w:hAnsi="Times New Roman" w:eastAsia="Cambria" w:cs="Times New Roman"/>
                <w:color w:val="000000" w:themeColor="text1"/>
                <w:spacing w:val="-2"/>
                <w:w w:val="95"/>
                <w:sz w:val="20"/>
                <w:szCs w:val="20"/>
                <w:lang w:val="en-GB"/>
              </w:rPr>
              <w:t>0</w:t>
            </w:r>
          </w:p>
        </w:tc>
        <w:tc>
          <w:tcPr>
            <w:tcW w:w="8119" w:type="dxa"/>
            <w:tcBorders>
              <w:top w:val="single" w:color="1A171C" w:sz="4" w:space="0"/>
              <w:left w:val="single" w:color="1A171C" w:sz="4" w:space="0"/>
              <w:bottom w:val="single" w:color="1A171C" w:sz="4" w:space="0"/>
              <w:right w:val="nil"/>
            </w:tcBorders>
            <w:vAlign w:val="center"/>
          </w:tcPr>
          <w:p w:rsidRPr="00D43D39" w:rsidR="007F5A56" w:rsidP="007F5A56" w:rsidRDefault="007F5A56" w14:paraId="105ABB71"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Counterparty</w:t>
            </w:r>
          </w:p>
          <w:p w:rsidRPr="00D43D39" w:rsidR="00550D93" w:rsidP="007F5A56" w:rsidRDefault="007F5A56" w14:paraId="03D59175"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Information on the major counterparty</w:t>
            </w:r>
            <w:r w:rsidRPr="00D43D39" w:rsidR="00550D93">
              <w:rPr>
                <w:rFonts w:ascii="Times New Roman" w:hAnsi="Times New Roman" w:eastAsia="Cambria" w:cs="Times New Roman"/>
                <w:color w:val="000000" w:themeColor="text1"/>
                <w:spacing w:val="-2"/>
                <w:w w:val="95"/>
                <w:sz w:val="20"/>
                <w:szCs w:val="20"/>
                <w:lang w:val="en-GB"/>
              </w:rPr>
              <w:t xml:space="preserve"> </w:t>
            </w:r>
            <w:r w:rsidRPr="00D43D39" w:rsidR="00B96304">
              <w:rPr>
                <w:rFonts w:ascii="Times New Roman" w:hAnsi="Times New Roman" w:eastAsia="Cambria" w:cs="Times New Roman"/>
                <w:color w:val="000000" w:themeColor="text1"/>
                <w:spacing w:val="-2"/>
                <w:w w:val="95"/>
                <w:sz w:val="20"/>
                <w:szCs w:val="20"/>
                <w:lang w:val="en-GB"/>
              </w:rPr>
              <w:t xml:space="preserve">in relation to </w:t>
            </w:r>
            <w:r w:rsidRPr="00D43D39" w:rsidR="00550D93">
              <w:rPr>
                <w:rFonts w:ascii="Times New Roman" w:hAnsi="Times New Roman" w:eastAsia="Cambria" w:cs="Times New Roman"/>
                <w:color w:val="000000" w:themeColor="text1"/>
                <w:spacing w:val="-2"/>
                <w:w w:val="95"/>
                <w:sz w:val="20"/>
                <w:szCs w:val="20"/>
                <w:lang w:val="en-GB"/>
              </w:rPr>
              <w:t xml:space="preserve">which the liability </w:t>
            </w:r>
            <w:r w:rsidRPr="00D43D39" w:rsidR="00792D77">
              <w:rPr>
                <w:rFonts w:ascii="Times New Roman" w:hAnsi="Times New Roman" w:eastAsia="Cambria" w:cs="Times New Roman"/>
                <w:color w:val="000000" w:themeColor="text1"/>
                <w:spacing w:val="-2"/>
                <w:w w:val="95"/>
                <w:sz w:val="20"/>
                <w:szCs w:val="20"/>
                <w:lang w:val="en-GB"/>
              </w:rPr>
              <w:t>arises</w:t>
            </w:r>
            <w:r w:rsidRPr="00D43D39">
              <w:rPr>
                <w:rFonts w:ascii="Times New Roman" w:hAnsi="Times New Roman" w:eastAsia="Cambria" w:cs="Times New Roman"/>
                <w:color w:val="000000" w:themeColor="text1"/>
                <w:spacing w:val="-2"/>
                <w:w w:val="95"/>
                <w:sz w:val="20"/>
                <w:szCs w:val="20"/>
                <w:lang w:val="en-GB"/>
              </w:rPr>
              <w:t xml:space="preserve"> </w:t>
            </w:r>
          </w:p>
          <w:p w:rsidRPr="00D43D39" w:rsidR="004571D1" w:rsidP="007F5A56" w:rsidRDefault="007F5A56" w14:paraId="3339D9D8"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Major counterparties shall be </w:t>
            </w:r>
            <w:r w:rsidRPr="00D43D39" w:rsidR="00550D93">
              <w:rPr>
                <w:rFonts w:ascii="Times New Roman" w:hAnsi="Times New Roman" w:eastAsia="Cambria" w:cs="Times New Roman"/>
                <w:color w:val="000000" w:themeColor="text1"/>
                <w:spacing w:val="-2"/>
                <w:w w:val="95"/>
                <w:sz w:val="20"/>
                <w:szCs w:val="20"/>
                <w:lang w:val="en-GB"/>
              </w:rPr>
              <w:t xml:space="preserve">identified </w:t>
            </w:r>
            <w:r w:rsidRPr="00D43D39">
              <w:rPr>
                <w:rFonts w:ascii="Times New Roman" w:hAnsi="Times New Roman" w:eastAsia="Cambria" w:cs="Times New Roman"/>
                <w:color w:val="000000" w:themeColor="text1"/>
                <w:spacing w:val="-2"/>
                <w:w w:val="95"/>
                <w:sz w:val="20"/>
                <w:szCs w:val="20"/>
                <w:lang w:val="en-GB"/>
              </w:rPr>
              <w:t xml:space="preserve">by summing up the outstanding amounts of all liabilities of </w:t>
            </w:r>
            <w:r w:rsidRPr="00D43D39" w:rsidR="006A041F">
              <w:rPr>
                <w:rFonts w:ascii="Times New Roman" w:hAnsi="Times New Roman" w:eastAsia="Cambria" w:cs="Times New Roman"/>
                <w:color w:val="000000" w:themeColor="text1"/>
                <w:spacing w:val="-2"/>
                <w:w w:val="95"/>
                <w:sz w:val="20"/>
                <w:szCs w:val="20"/>
                <w:lang w:val="en-GB"/>
              </w:rPr>
              <w:t xml:space="preserve">the entity or group for which the template is reported, </w:t>
            </w:r>
            <w:r w:rsidRPr="00D43D39">
              <w:rPr>
                <w:rFonts w:ascii="Times New Roman" w:hAnsi="Times New Roman" w:eastAsia="Cambria" w:cs="Times New Roman"/>
                <w:color w:val="000000" w:themeColor="text1"/>
                <w:spacing w:val="-2"/>
                <w:w w:val="95"/>
                <w:sz w:val="20"/>
                <w:szCs w:val="20"/>
                <w:lang w:val="en-GB"/>
              </w:rPr>
              <w:t xml:space="preserve">to each counterparty or group of connected </w:t>
            </w:r>
            <w:r w:rsidRPr="00D43D39" w:rsidR="00BA7CCF">
              <w:rPr>
                <w:rFonts w:ascii="Times New Roman" w:hAnsi="Times New Roman" w:eastAsia="Cambria" w:cs="Times New Roman"/>
                <w:color w:val="000000" w:themeColor="text1"/>
                <w:spacing w:val="-2"/>
                <w:w w:val="95"/>
                <w:sz w:val="20"/>
                <w:szCs w:val="20"/>
                <w:lang w:val="en-GB"/>
              </w:rPr>
              <w:t>clients</w:t>
            </w:r>
            <w:r w:rsidRPr="00D43D39" w:rsidR="001353EC">
              <w:rPr>
                <w:rFonts w:ascii="Times New Roman" w:hAnsi="Times New Roman" w:eastAsia="Cambria" w:cs="Times New Roman"/>
                <w:color w:val="000000" w:themeColor="text1"/>
                <w:spacing w:val="-2"/>
                <w:w w:val="95"/>
                <w:sz w:val="20"/>
                <w:szCs w:val="20"/>
                <w:lang w:val="en-GB"/>
              </w:rPr>
              <w:t>, excluding liabilities to entities</w:t>
            </w:r>
            <w:r w:rsidRPr="00D43D39" w:rsidR="00434DD8">
              <w:rPr>
                <w:rFonts w:ascii="Times New Roman" w:hAnsi="Times New Roman" w:eastAsia="Cambria" w:cs="Times New Roman"/>
                <w:color w:val="000000" w:themeColor="text1"/>
                <w:spacing w:val="-2"/>
                <w:w w:val="95"/>
                <w:sz w:val="20"/>
                <w:szCs w:val="20"/>
                <w:lang w:val="en-GB"/>
              </w:rPr>
              <w:t xml:space="preserve"> included in the consolidated financial statements</w:t>
            </w:r>
            <w:r w:rsidRPr="00D43D39" w:rsidR="004571D1">
              <w:rPr>
                <w:rFonts w:ascii="Times New Roman" w:hAnsi="Times New Roman" w:eastAsia="Cambria" w:cs="Times New Roman"/>
                <w:color w:val="000000" w:themeColor="text1"/>
                <w:spacing w:val="-2"/>
                <w:w w:val="95"/>
                <w:sz w:val="20"/>
                <w:szCs w:val="20"/>
                <w:lang w:val="en-GB"/>
              </w:rPr>
              <w:t>.</w:t>
            </w:r>
          </w:p>
          <w:p w:rsidRPr="00D43D39" w:rsidR="008744AF" w:rsidP="007F5A56" w:rsidRDefault="00DF1EA4" w14:paraId="4D6710F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c</w:t>
            </w:r>
            <w:r w:rsidRPr="00D43D39" w:rsidR="007F5A56">
              <w:rPr>
                <w:rFonts w:ascii="Times New Roman" w:hAnsi="Times New Roman" w:eastAsia="Cambria" w:cs="Times New Roman"/>
                <w:color w:val="000000" w:themeColor="text1"/>
                <w:spacing w:val="-2"/>
                <w:w w:val="95"/>
                <w:sz w:val="20"/>
                <w:szCs w:val="20"/>
                <w:lang w:val="en-GB"/>
              </w:rPr>
              <w:t xml:space="preserve">ounterparties </w:t>
            </w:r>
            <w:r w:rsidRPr="00D43D39">
              <w:rPr>
                <w:rFonts w:ascii="Times New Roman" w:hAnsi="Times New Roman" w:eastAsia="Cambria" w:cs="Times New Roman"/>
                <w:color w:val="000000" w:themeColor="text1"/>
                <w:spacing w:val="-2"/>
                <w:w w:val="95"/>
                <w:sz w:val="20"/>
                <w:szCs w:val="20"/>
                <w:lang w:val="en-GB"/>
              </w:rPr>
              <w:t>and</w:t>
            </w:r>
            <w:r w:rsidRPr="00D43D39" w:rsidR="007F5A56">
              <w:rPr>
                <w:rFonts w:ascii="Times New Roman" w:hAnsi="Times New Roman" w:eastAsia="Cambria" w:cs="Times New Roman"/>
                <w:color w:val="000000" w:themeColor="text1"/>
                <w:spacing w:val="-2"/>
                <w:w w:val="95"/>
                <w:sz w:val="20"/>
                <w:szCs w:val="20"/>
                <w:lang w:val="en-GB"/>
              </w:rPr>
              <w:t xml:space="preserve"> group</w:t>
            </w:r>
            <w:r w:rsidRPr="00D43D39">
              <w:rPr>
                <w:rFonts w:ascii="Times New Roman" w:hAnsi="Times New Roman" w:eastAsia="Cambria" w:cs="Times New Roman"/>
                <w:color w:val="000000" w:themeColor="text1"/>
                <w:spacing w:val="-2"/>
                <w:w w:val="95"/>
                <w:sz w:val="20"/>
                <w:szCs w:val="20"/>
                <w:lang w:val="en-GB"/>
              </w:rPr>
              <w:t>s</w:t>
            </w:r>
            <w:r w:rsidRPr="00D43D39" w:rsidR="007F5A56">
              <w:rPr>
                <w:rFonts w:ascii="Times New Roman" w:hAnsi="Times New Roman" w:eastAsia="Cambria" w:cs="Times New Roman"/>
                <w:color w:val="000000" w:themeColor="text1"/>
                <w:spacing w:val="-2"/>
                <w:w w:val="95"/>
                <w:sz w:val="20"/>
                <w:szCs w:val="20"/>
                <w:lang w:val="en-GB"/>
              </w:rPr>
              <w:t xml:space="preserve"> of connected counterparties are then ranked by aggregate outstanding amount in order to identify the top 10 major counterparties</w:t>
            </w:r>
            <w:r w:rsidRPr="00D43D39">
              <w:rPr>
                <w:rFonts w:ascii="Times New Roman" w:hAnsi="Times New Roman" w:eastAsia="Cambria" w:cs="Times New Roman"/>
                <w:color w:val="000000" w:themeColor="text1"/>
                <w:spacing w:val="-2"/>
                <w:w w:val="95"/>
                <w:sz w:val="20"/>
                <w:szCs w:val="20"/>
                <w:lang w:val="en-GB"/>
              </w:rPr>
              <w:t>, on which information shall be provided in this template.</w:t>
            </w:r>
          </w:p>
          <w:p w:rsidRPr="00D43D39" w:rsidR="00AD011A" w:rsidP="00AD011A" w:rsidRDefault="00AD011A" w14:paraId="06033B0A"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p>
          <w:p w:rsidRPr="00D43D39" w:rsidR="00AD011A" w:rsidP="00AD011A" w:rsidRDefault="00AD011A" w14:paraId="44FC978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definition of ‘group of connected counterparties’ shall follow the definition of ‘group of connected clients’ </w:t>
            </w:r>
            <w:r w:rsidRPr="00D43D39" w:rsidR="00991520">
              <w:rPr>
                <w:rFonts w:ascii="Times New Roman" w:hAnsi="Times New Roman" w:eastAsia="Cambria" w:cs="Times New Roman"/>
                <w:color w:val="000000" w:themeColor="text1"/>
                <w:spacing w:val="-2"/>
                <w:w w:val="95"/>
                <w:sz w:val="20"/>
                <w:szCs w:val="20"/>
                <w:lang w:val="en-GB"/>
              </w:rPr>
              <w:t xml:space="preserve">laid down </w:t>
            </w:r>
            <w:r w:rsidRPr="00D43D39">
              <w:rPr>
                <w:rFonts w:ascii="Times New Roman" w:hAnsi="Times New Roman" w:eastAsia="Cambria" w:cs="Times New Roman"/>
                <w:color w:val="000000" w:themeColor="text1"/>
                <w:spacing w:val="-2"/>
                <w:w w:val="95"/>
                <w:sz w:val="20"/>
                <w:szCs w:val="20"/>
                <w:lang w:val="en-GB"/>
              </w:rPr>
              <w:t xml:space="preserve">in Article 4(1) point 39 </w:t>
            </w:r>
            <w:r w:rsidRPr="00D43D39" w:rsidR="00C83FEA">
              <w:rPr>
                <w:rFonts w:ascii="Times New Roman" w:hAnsi="Times New Roman" w:eastAsia="Cambria" w:cs="Times New Roman"/>
                <w:color w:val="000000" w:themeColor="text1"/>
                <w:spacing w:val="-2"/>
                <w:w w:val="95"/>
                <w:sz w:val="20"/>
                <w:szCs w:val="20"/>
                <w:lang w:val="en-GB"/>
              </w:rPr>
              <w:t xml:space="preserve">of </w:t>
            </w:r>
            <w:r w:rsidRPr="00D43D39" w:rsidR="00063EEC">
              <w:rPr>
                <w:rFonts w:ascii="Times New Roman" w:hAnsi="Times New Roman" w:eastAsia="Cambria" w:cs="Times New Roman"/>
                <w:color w:val="000000" w:themeColor="text1"/>
                <w:spacing w:val="-2"/>
                <w:w w:val="95"/>
                <w:sz w:val="20"/>
                <w:szCs w:val="20"/>
                <w:lang w:val="en-GB"/>
              </w:rPr>
              <w:t>Regulation (EU) No 575/2013</w:t>
            </w:r>
            <w:r w:rsidRPr="00D43D39">
              <w:rPr>
                <w:rFonts w:ascii="Times New Roman" w:hAnsi="Times New Roman" w:eastAsia="Cambria" w:cs="Times New Roman"/>
                <w:color w:val="000000" w:themeColor="text1"/>
                <w:spacing w:val="-2"/>
                <w:w w:val="95"/>
                <w:sz w:val="20"/>
                <w:szCs w:val="20"/>
                <w:lang w:val="en-GB"/>
              </w:rPr>
              <w:t xml:space="preserve">. </w:t>
            </w:r>
          </w:p>
          <w:p w:rsidRPr="00D43D39" w:rsidR="00AD011A" w:rsidP="007F5A56" w:rsidRDefault="00AD011A" w14:paraId="294E9015"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p>
          <w:p w:rsidRPr="00D43D39" w:rsidR="007F5A56" w:rsidP="004571D1" w:rsidRDefault="007F5A56" w14:paraId="45FA2E4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For the purpose of this template, </w:t>
            </w:r>
            <w:r w:rsidRPr="00D43D39" w:rsidR="004571D1">
              <w:rPr>
                <w:rFonts w:ascii="Times New Roman" w:hAnsi="Times New Roman" w:eastAsia="Cambria" w:cs="Times New Roman"/>
                <w:color w:val="000000" w:themeColor="text1"/>
                <w:spacing w:val="-2"/>
                <w:w w:val="95"/>
                <w:sz w:val="20"/>
                <w:szCs w:val="20"/>
                <w:lang w:val="en-GB"/>
              </w:rPr>
              <w:t>a counterparty may not be an entity included in the consolidated financial statements.</w:t>
            </w:r>
          </w:p>
        </w:tc>
      </w:tr>
      <w:tr w:rsidRPr="00D43D39" w:rsidR="00D22EB0" w:rsidTr="4ABF549B" w14:paraId="4E45C68A" w14:textId="77777777">
        <w:tc>
          <w:tcPr>
            <w:tcW w:w="907" w:type="dxa"/>
            <w:tcBorders>
              <w:top w:val="single" w:color="1A171C" w:sz="4" w:space="0"/>
              <w:left w:val="nil"/>
              <w:bottom w:val="single" w:color="1A171C" w:sz="4" w:space="0"/>
              <w:right w:val="single" w:color="1A171C" w:sz="4" w:space="0"/>
            </w:tcBorders>
            <w:vAlign w:val="center"/>
          </w:tcPr>
          <w:p w:rsidRPr="00D43D39" w:rsidR="007F5A56" w:rsidP="007F5A56" w:rsidRDefault="007F5A56" w14:paraId="62B74C87"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7328A6">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1</w:t>
            </w:r>
            <w:r w:rsidRPr="00D43D39">
              <w:rPr>
                <w:rFonts w:ascii="Times New Roman" w:hAnsi="Times New Roman" w:eastAsia="Cambria" w:cs="Times New Roman"/>
                <w:color w:val="000000" w:themeColor="text1"/>
                <w:spacing w:val="-2"/>
                <w:w w:val="95"/>
                <w:sz w:val="20"/>
                <w:szCs w:val="20"/>
                <w:lang w:val="en-GB"/>
              </w:rPr>
              <w:t>0</w:t>
            </w:r>
          </w:p>
        </w:tc>
        <w:tc>
          <w:tcPr>
            <w:tcW w:w="8119" w:type="dxa"/>
            <w:tcBorders>
              <w:top w:val="single" w:color="1A171C" w:sz="4" w:space="0"/>
              <w:left w:val="single" w:color="1A171C" w:sz="4" w:space="0"/>
              <w:bottom w:val="single" w:color="1A171C" w:sz="4" w:space="0"/>
              <w:right w:val="nil"/>
            </w:tcBorders>
            <w:vAlign w:val="center"/>
          </w:tcPr>
          <w:p w:rsidRPr="00D43D39" w:rsidR="007F5A56" w:rsidP="007F5A56" w:rsidRDefault="00632490" w14:paraId="2CFFBF1F"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w:t>
            </w:r>
            <w:r w:rsidRPr="00D43D39" w:rsidR="007F5A56">
              <w:rPr>
                <w:rFonts w:ascii="Times New Roman" w:hAnsi="Times New Roman" w:cs="Times New Roman"/>
                <w:b/>
                <w:bCs/>
                <w:color w:val="000000" w:themeColor="text1"/>
                <w:sz w:val="20"/>
                <w:szCs w:val="20"/>
                <w:lang w:val="en-GB"/>
              </w:rPr>
              <w:t>name</w:t>
            </w:r>
          </w:p>
          <w:p w:rsidRPr="00D43D39" w:rsidR="007F5A56" w:rsidP="007F5A56" w:rsidRDefault="007F5A56" w14:paraId="6A53C733"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Name of the major counterparty or, where applicable, name of a group of connected clients.</w:t>
            </w:r>
          </w:p>
          <w:p w:rsidRPr="00D43D39" w:rsidR="007F5A56" w:rsidP="007F5A56" w:rsidRDefault="007F5A56" w14:paraId="2B0DDF8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name of a group of connected clients shall be the name of the parent company or, when the group of </w:t>
            </w:r>
            <w:r w:rsidRPr="00D43D39">
              <w:rPr>
                <w:rFonts w:ascii="Times New Roman" w:hAnsi="Times New Roman" w:eastAsia="Cambria" w:cs="Times New Roman"/>
                <w:color w:val="000000" w:themeColor="text1"/>
                <w:spacing w:val="-2"/>
                <w:w w:val="95"/>
                <w:sz w:val="20"/>
                <w:szCs w:val="20"/>
                <w:lang w:val="en-GB"/>
              </w:rPr>
              <w:t>connected clients does not have a parent, the group’s commercial name.</w:t>
            </w:r>
          </w:p>
        </w:tc>
      </w:tr>
      <w:tr w:rsidRPr="00D43D39" w:rsidR="00D22EB0" w:rsidTr="4ABF549B" w14:paraId="2A55A55B" w14:textId="77777777">
        <w:tc>
          <w:tcPr>
            <w:tcW w:w="907" w:type="dxa"/>
            <w:tcBorders>
              <w:top w:val="single" w:color="1A171C" w:sz="4" w:space="0"/>
              <w:left w:val="nil"/>
              <w:bottom w:val="single" w:color="1A171C" w:sz="4" w:space="0"/>
              <w:right w:val="single" w:color="1A171C" w:sz="4" w:space="0"/>
            </w:tcBorders>
            <w:vAlign w:val="center"/>
          </w:tcPr>
          <w:p w:rsidRPr="00D43D39" w:rsidR="007F5A56" w:rsidP="007F5A56" w:rsidRDefault="007F5A56" w14:paraId="65DE7D5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7328A6">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2</w:t>
            </w:r>
            <w:r w:rsidRPr="00D43D39">
              <w:rPr>
                <w:rFonts w:ascii="Times New Roman" w:hAnsi="Times New Roman" w:eastAsia="Cambria" w:cs="Times New Roman"/>
                <w:color w:val="000000" w:themeColor="text1"/>
                <w:spacing w:val="-2"/>
                <w:w w:val="95"/>
                <w:sz w:val="20"/>
                <w:szCs w:val="20"/>
                <w:lang w:val="en-GB"/>
              </w:rPr>
              <w:t>0</w:t>
            </w:r>
          </w:p>
        </w:tc>
        <w:tc>
          <w:tcPr>
            <w:tcW w:w="8119" w:type="dxa"/>
            <w:tcBorders>
              <w:top w:val="single" w:color="1A171C" w:sz="4" w:space="0"/>
              <w:left w:val="single" w:color="1A171C" w:sz="4" w:space="0"/>
              <w:bottom w:val="single" w:color="1A171C" w:sz="4" w:space="0"/>
              <w:right w:val="nil"/>
            </w:tcBorders>
            <w:vAlign w:val="center"/>
          </w:tcPr>
          <w:p w:rsidRPr="00D43D39" w:rsidR="007F5A56" w:rsidP="007F5A56" w:rsidRDefault="007F5A56" w14:paraId="237A567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rsidRPr="00D43D39" w:rsidR="005D56E3" w:rsidP="005D56E3" w:rsidRDefault="005D56E3" w14:paraId="27538BAA"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code of the major counterparty</w:t>
            </w:r>
            <w:r w:rsidRPr="00D43D39" w:rsidR="005F4620">
              <w:rPr>
                <w:rFonts w:ascii="Times New Roman" w:hAnsi="Times New Roman" w:eastAsia="Cambria" w:cs="Times New Roman"/>
                <w:color w:val="000000" w:themeColor="text1"/>
                <w:spacing w:val="-2"/>
                <w:w w:val="95"/>
                <w:sz w:val="20"/>
                <w:szCs w:val="20"/>
                <w:lang w:val="en-GB"/>
              </w:rPr>
              <w:t xml:space="preserve"> or group of connected clients</w:t>
            </w:r>
            <w:r w:rsidRPr="00D43D39">
              <w:rPr>
                <w:rFonts w:ascii="Times New Roman" w:hAnsi="Times New Roman" w:eastAsia="Cambria" w:cs="Times New Roman"/>
                <w:color w:val="000000" w:themeColor="text1"/>
                <w:spacing w:val="-2"/>
                <w:w w:val="95"/>
                <w:sz w:val="20"/>
                <w:szCs w:val="20"/>
                <w:lang w:val="en-GB"/>
              </w:rPr>
              <w:t>. For institutions the code shall be the 20-digit, alphanumeric LEI code. For other entities the code shall be the 20-digit, alphanumeric LEI code, or if not available a code under a uniform codification applicable in the Union, or if not available a national code.</w:t>
            </w:r>
          </w:p>
          <w:p w:rsidRPr="00D43D39" w:rsidR="00BE2A9D" w:rsidP="00167158" w:rsidRDefault="005D56E3" w14:paraId="699C4024" w14:textId="7D3A8EC9">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code shall be unique and used consistently across the templates.</w:t>
            </w:r>
          </w:p>
        </w:tc>
      </w:tr>
      <w:tr w:rsidRPr="00D43D39" w:rsidR="00E842BE" w:rsidTr="4ABF549B" w14:paraId="2EC6E4AD" w14:textId="77777777">
        <w:tc>
          <w:tcPr>
            <w:tcW w:w="907" w:type="dxa"/>
            <w:tcBorders>
              <w:top w:val="single" w:color="1A171C" w:sz="4" w:space="0"/>
              <w:left w:val="nil"/>
              <w:bottom w:val="single" w:color="1A171C" w:sz="4" w:space="0"/>
              <w:right w:val="single" w:color="1A171C" w:sz="4" w:space="0"/>
            </w:tcBorders>
            <w:vAlign w:val="center"/>
          </w:tcPr>
          <w:p w:rsidRPr="00D43D39" w:rsidR="00E842BE" w:rsidP="00E842BE" w:rsidRDefault="00E842BE" w14:paraId="0987012B" w14:textId="1B0453F3">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0025</w:t>
            </w:r>
          </w:p>
        </w:tc>
        <w:tc>
          <w:tcPr>
            <w:tcW w:w="8119" w:type="dxa"/>
            <w:tcBorders>
              <w:top w:val="single" w:color="1A171C" w:sz="4" w:space="0"/>
              <w:left w:val="single" w:color="1A171C" w:sz="4" w:space="0"/>
              <w:bottom w:val="single" w:color="1A171C" w:sz="4" w:space="0"/>
              <w:right w:val="nil"/>
            </w:tcBorders>
            <w:vAlign w:val="center"/>
          </w:tcPr>
          <w:p w:rsidRPr="00D43D39" w:rsidR="00E842BE" w:rsidP="00E842BE" w:rsidRDefault="00E842BE" w14:paraId="10154FD9" w14:textId="2E3995C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Type of </w:t>
            </w:r>
            <w:r w:rsidRPr="00D43D39" w:rsidR="00E91EDA">
              <w:rPr>
                <w:rFonts w:ascii="Times New Roman" w:hAnsi="Times New Roman" w:cs="Times New Roman"/>
                <w:b/>
                <w:bCs/>
                <w:color w:val="000000" w:themeColor="text1"/>
                <w:sz w:val="20"/>
                <w:szCs w:val="20"/>
                <w:lang w:val="en-GB"/>
              </w:rPr>
              <w:t>Code</w:t>
            </w:r>
          </w:p>
          <w:p w:rsidR="00161C05" w:rsidP="00161C05" w:rsidRDefault="00161C05" w14:paraId="0A2D7F4B" w14:textId="2D3DF8A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hAnsi="Times New Roman" w:eastAsia="Cambria" w:cs="Times New Roman"/>
                <w:color w:val="000000" w:themeColor="text1"/>
                <w:spacing w:val="-2"/>
                <w:w w:val="95"/>
                <w:sz w:val="20"/>
                <w:szCs w:val="20"/>
                <w:lang w:val="en-GB"/>
              </w:rPr>
              <w:t xml:space="preserve"> preferably the LEI code.</w:t>
            </w:r>
          </w:p>
          <w:p w:rsidRPr="005F5507" w:rsidR="00E842BE" w:rsidP="005F5507" w:rsidRDefault="00161C05" w14:paraId="1B44859F" w14:textId="6E5AEA27">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BC38B6">
              <w:rPr>
                <w:rFonts w:ascii="Times New Roman" w:hAnsi="Times New Roman" w:eastAsia="Cambria" w:cs="Times New Roman"/>
                <w:color w:val="000000" w:themeColor="text1"/>
                <w:spacing w:val="-2"/>
                <w:w w:val="95"/>
                <w:sz w:val="20"/>
                <w:szCs w:val="20"/>
                <w:lang w:val="en-GB"/>
              </w:rPr>
              <w:t>, or if not available</w:t>
            </w:r>
            <w:r w:rsidR="00285FF6">
              <w:rPr>
                <w:rFonts w:ascii="Times New Roman" w:hAnsi="Times New Roman" w:eastAsia="Cambria" w:cs="Times New Roman"/>
                <w:color w:val="000000" w:themeColor="text1"/>
                <w:spacing w:val="-2"/>
                <w:w w:val="95"/>
                <w:sz w:val="20"/>
                <w:szCs w:val="20"/>
                <w:lang w:val="en-GB"/>
              </w:rPr>
              <w:t>, report</w:t>
            </w:r>
            <w:r w:rsidRPr="00BC38B6">
              <w:rPr>
                <w:rFonts w:ascii="Times New Roman" w:hAnsi="Times New Roman" w:eastAsia="Cambria" w:cs="Times New Roman"/>
                <w:color w:val="000000" w:themeColor="text1"/>
                <w:spacing w:val="-2"/>
                <w:w w:val="95"/>
                <w:sz w:val="20"/>
                <w:szCs w:val="20"/>
                <w:lang w:val="en-GB"/>
              </w:rPr>
              <w:t xml:space="preserve"> a national code be reported</w:t>
            </w:r>
            <w:r>
              <w:rPr>
                <w:rFonts w:ascii="Times New Roman" w:hAnsi="Times New Roman" w:eastAsia="Cambria" w:cs="Times New Roman"/>
                <w:color w:val="000000" w:themeColor="text1"/>
                <w:spacing w:val="-2"/>
                <w:w w:val="95"/>
                <w:sz w:val="20"/>
                <w:szCs w:val="20"/>
                <w:lang w:val="en-GB"/>
              </w:rPr>
              <w:t>.</w:t>
            </w:r>
          </w:p>
        </w:tc>
      </w:tr>
      <w:tr w:rsidRPr="00D43D39" w:rsidR="00D22EB0" w:rsidTr="4ABF549B" w14:paraId="39610DEC" w14:textId="77777777">
        <w:tc>
          <w:tcPr>
            <w:tcW w:w="907" w:type="dxa"/>
            <w:tcBorders>
              <w:top w:val="single" w:color="1A171C" w:sz="4" w:space="0"/>
              <w:left w:val="nil"/>
              <w:bottom w:val="single" w:color="1A171C" w:sz="4" w:space="0"/>
              <w:right w:val="single" w:color="1A171C" w:sz="4" w:space="0"/>
            </w:tcBorders>
            <w:vAlign w:val="center"/>
          </w:tcPr>
          <w:p w:rsidRPr="00D43D39" w:rsidR="007F5A56" w:rsidP="007F5A56" w:rsidRDefault="007F5A56" w14:paraId="32B56CB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7328A6">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3</w:t>
            </w:r>
            <w:r w:rsidRPr="00D43D39">
              <w:rPr>
                <w:rFonts w:ascii="Times New Roman" w:hAnsi="Times New Roman" w:eastAsia="Cambria" w:cs="Times New Roman"/>
                <w:color w:val="000000" w:themeColor="text1"/>
                <w:spacing w:val="-2"/>
                <w:w w:val="95"/>
                <w:sz w:val="20"/>
                <w:szCs w:val="20"/>
                <w:lang w:val="en-GB"/>
              </w:rPr>
              <w:t>0</w:t>
            </w:r>
          </w:p>
        </w:tc>
        <w:tc>
          <w:tcPr>
            <w:tcW w:w="8119" w:type="dxa"/>
            <w:tcBorders>
              <w:top w:val="single" w:color="1A171C" w:sz="4" w:space="0"/>
              <w:left w:val="single" w:color="1A171C" w:sz="4" w:space="0"/>
              <w:bottom w:val="single" w:color="1A171C" w:sz="4" w:space="0"/>
              <w:right w:val="nil"/>
            </w:tcBorders>
            <w:vAlign w:val="center"/>
          </w:tcPr>
          <w:p w:rsidRPr="00D43D39" w:rsidR="007F5A56" w:rsidP="00BE2A9D" w:rsidRDefault="007F5A56" w14:paraId="7517E44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Group or individual</w:t>
            </w:r>
          </w:p>
          <w:p w:rsidRPr="00D43D39" w:rsidR="007F5A56" w:rsidP="00774595" w:rsidRDefault="00BE2A9D" w14:paraId="309E0636" w14:textId="77777777">
            <w:pPr>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institution shall report </w:t>
            </w:r>
            <w:r w:rsidRPr="00D43D39" w:rsidR="007F5A56">
              <w:rPr>
                <w:rFonts w:ascii="Times New Roman" w:hAnsi="Times New Roman" w:eastAsia="Cambria" w:cs="Times New Roman"/>
                <w:color w:val="000000" w:themeColor="text1"/>
                <w:spacing w:val="-2"/>
                <w:w w:val="95"/>
                <w:sz w:val="20"/>
                <w:szCs w:val="20"/>
                <w:lang w:val="en-GB"/>
              </w:rPr>
              <w:t xml:space="preserve">'1' for individual </w:t>
            </w:r>
            <w:r w:rsidRPr="00D43D39">
              <w:rPr>
                <w:rFonts w:ascii="Times New Roman" w:hAnsi="Times New Roman" w:eastAsia="Cambria" w:cs="Times New Roman"/>
                <w:color w:val="000000" w:themeColor="text1"/>
                <w:spacing w:val="-2"/>
                <w:w w:val="95"/>
                <w:sz w:val="20"/>
                <w:szCs w:val="20"/>
                <w:lang w:val="en-GB"/>
              </w:rPr>
              <w:t xml:space="preserve">major counterparties </w:t>
            </w:r>
            <w:r w:rsidRPr="00D43D39" w:rsidR="007F5A56">
              <w:rPr>
                <w:rFonts w:ascii="Times New Roman" w:hAnsi="Times New Roman" w:eastAsia="Cambria" w:cs="Times New Roman"/>
                <w:color w:val="000000" w:themeColor="text1"/>
                <w:spacing w:val="-2"/>
                <w:w w:val="95"/>
                <w:sz w:val="20"/>
                <w:szCs w:val="20"/>
                <w:lang w:val="en-GB"/>
              </w:rPr>
              <w:t>and</w:t>
            </w:r>
            <w:r w:rsidRPr="00D43D39">
              <w:rPr>
                <w:rFonts w:ascii="Times New Roman" w:hAnsi="Times New Roman" w:eastAsia="Cambria" w:cs="Times New Roman"/>
                <w:color w:val="000000" w:themeColor="text1"/>
                <w:spacing w:val="-2"/>
                <w:w w:val="95"/>
                <w:sz w:val="20"/>
                <w:szCs w:val="20"/>
                <w:lang w:val="en-GB"/>
              </w:rPr>
              <w:t xml:space="preserve"> </w:t>
            </w:r>
            <w:r w:rsidRPr="00D43D39" w:rsidR="007F5A56">
              <w:rPr>
                <w:rFonts w:ascii="Times New Roman" w:hAnsi="Times New Roman" w:eastAsia="Cambria" w:cs="Times New Roman"/>
                <w:color w:val="000000" w:themeColor="text1"/>
                <w:spacing w:val="-2"/>
                <w:w w:val="95"/>
                <w:sz w:val="20"/>
                <w:szCs w:val="20"/>
                <w:lang w:val="en-GB"/>
              </w:rPr>
              <w:t>'2' for groups of connected clients</w:t>
            </w:r>
            <w:r w:rsidRPr="00D43D39">
              <w:rPr>
                <w:rFonts w:ascii="Times New Roman" w:hAnsi="Times New Roman" w:eastAsia="Cambria" w:cs="Times New Roman"/>
                <w:color w:val="000000" w:themeColor="text1"/>
                <w:spacing w:val="-2"/>
                <w:w w:val="95"/>
                <w:sz w:val="20"/>
                <w:szCs w:val="20"/>
                <w:lang w:val="en-GB"/>
              </w:rPr>
              <w:t>.</w:t>
            </w:r>
          </w:p>
        </w:tc>
      </w:tr>
      <w:tr w:rsidRPr="00D43D39" w:rsidR="00D22EB0" w:rsidTr="4ABF549B" w14:paraId="386CD837" w14:textId="77777777">
        <w:tc>
          <w:tcPr>
            <w:tcW w:w="907" w:type="dxa"/>
            <w:tcBorders>
              <w:top w:val="single" w:color="1A171C" w:sz="4" w:space="0"/>
              <w:left w:val="nil"/>
              <w:bottom w:val="single" w:color="1A171C" w:sz="4" w:space="0"/>
              <w:right w:val="single" w:color="1A171C" w:sz="4" w:space="0"/>
            </w:tcBorders>
            <w:vAlign w:val="center"/>
          </w:tcPr>
          <w:p w:rsidRPr="00D43D39" w:rsidR="007F5A56" w:rsidP="007F5A56" w:rsidRDefault="007F5A56" w14:paraId="5B5FFB7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7328A6">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4</w:t>
            </w:r>
            <w:r w:rsidRPr="00D43D39">
              <w:rPr>
                <w:rFonts w:ascii="Times New Roman" w:hAnsi="Times New Roman" w:eastAsia="Cambria" w:cs="Times New Roman"/>
                <w:color w:val="000000" w:themeColor="text1"/>
                <w:spacing w:val="-2"/>
                <w:w w:val="95"/>
                <w:sz w:val="20"/>
                <w:szCs w:val="20"/>
                <w:lang w:val="en-GB"/>
              </w:rPr>
              <w:t>0</w:t>
            </w:r>
          </w:p>
        </w:tc>
        <w:tc>
          <w:tcPr>
            <w:tcW w:w="8119" w:type="dxa"/>
            <w:tcBorders>
              <w:top w:val="single" w:color="1A171C" w:sz="4" w:space="0"/>
              <w:left w:val="single" w:color="1A171C" w:sz="4" w:space="0"/>
              <w:bottom w:val="single" w:color="1A171C" w:sz="4" w:space="0"/>
              <w:right w:val="nil"/>
            </w:tcBorders>
            <w:vAlign w:val="center"/>
          </w:tcPr>
          <w:p w:rsidRPr="00D43D39" w:rsidR="007F5A56" w:rsidP="007F5A56" w:rsidRDefault="00B65144" w14:paraId="0C3DD653"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Country</w:t>
            </w:r>
          </w:p>
          <w:p w:rsidRPr="00D43D39" w:rsidR="007F5A56" w:rsidP="4ABF549B" w:rsidRDefault="1706BCE0" w14:paraId="3B53F170" w14:textId="77777777">
            <w:pPr>
              <w:spacing w:before="108"/>
              <w:ind w:left="85"/>
              <w:contextualSpacing/>
              <w:jc w:val="both"/>
              <w:rPr>
                <w:rFonts w:ascii="Times New Roman" w:hAnsi="Times New Roman" w:eastAsia="Cambria" w:cs="Times New Roman"/>
                <w:color w:val="000000" w:themeColor="text1"/>
                <w:spacing w:val="-2"/>
                <w:w w:val="95"/>
                <w:sz w:val="20"/>
                <w:szCs w:val="20"/>
              </w:rPr>
            </w:pPr>
            <w:r w:rsidRPr="4ABF549B">
              <w:rPr>
                <w:rFonts w:ascii="Times New Roman" w:hAnsi="Times New Roman" w:eastAsia="Cambria" w:cs="Times New Roman"/>
                <w:color w:val="000000" w:themeColor="text1"/>
                <w:spacing w:val="-2"/>
                <w:w w:val="95"/>
                <w:sz w:val="20"/>
                <w:szCs w:val="20"/>
              </w:rPr>
              <w:t xml:space="preserve">The ISO 3166-1-alpha-2 code of the country of incorporation of the counterparty. This includes pseudo-ISO codes for international organisations, available in the last edition of the Eurostat`s “Balance of Payments Vademecum”. </w:t>
            </w:r>
          </w:p>
          <w:p w:rsidRPr="00D43D39" w:rsidR="007F5A56" w:rsidP="0014425E" w:rsidRDefault="007F5A56" w14:paraId="1E6233E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w:t>
            </w:r>
            <w:r w:rsidRPr="00D43D39" w:rsidR="001331BD">
              <w:rPr>
                <w:rFonts w:ascii="Times New Roman" w:hAnsi="Times New Roman" w:eastAsia="Cambria" w:cs="Times New Roman"/>
                <w:color w:val="000000" w:themeColor="text1"/>
                <w:spacing w:val="-2"/>
                <w:w w:val="95"/>
                <w:sz w:val="20"/>
                <w:szCs w:val="20"/>
                <w:lang w:val="en-GB"/>
              </w:rPr>
              <w:t xml:space="preserve">country </w:t>
            </w:r>
            <w:r w:rsidRPr="00D43D39">
              <w:rPr>
                <w:rFonts w:ascii="Times New Roman" w:hAnsi="Times New Roman" w:eastAsia="Cambria" w:cs="Times New Roman"/>
                <w:color w:val="000000" w:themeColor="text1"/>
                <w:spacing w:val="-2"/>
                <w:w w:val="95"/>
                <w:sz w:val="20"/>
                <w:szCs w:val="20"/>
                <w:lang w:val="en-GB"/>
              </w:rPr>
              <w:t xml:space="preserve">is determined </w:t>
            </w:r>
            <w:r w:rsidRPr="00D43D39" w:rsidR="00D260E3">
              <w:rPr>
                <w:rFonts w:ascii="Times New Roman" w:hAnsi="Times New Roman" w:eastAsia="Cambria" w:cs="Times New Roman"/>
                <w:color w:val="000000" w:themeColor="text1"/>
                <w:spacing w:val="-2"/>
                <w:w w:val="95"/>
                <w:sz w:val="20"/>
                <w:szCs w:val="20"/>
                <w:lang w:val="en-GB"/>
              </w:rPr>
              <w:t xml:space="preserve">by reference to </w:t>
            </w:r>
            <w:r w:rsidRPr="00D43D39" w:rsidR="0014425E">
              <w:rPr>
                <w:rFonts w:ascii="Times New Roman" w:hAnsi="Times New Roman" w:eastAsia="Cambria" w:cs="Times New Roman"/>
                <w:color w:val="000000" w:themeColor="text1"/>
                <w:spacing w:val="-2"/>
                <w:w w:val="95"/>
                <w:sz w:val="20"/>
                <w:szCs w:val="20"/>
                <w:lang w:val="en-GB"/>
              </w:rPr>
              <w:t xml:space="preserve">counterparty’s </w:t>
            </w:r>
            <w:r w:rsidRPr="00D43D39">
              <w:rPr>
                <w:rFonts w:ascii="Times New Roman" w:hAnsi="Times New Roman" w:eastAsia="Cambria" w:cs="Times New Roman"/>
                <w:color w:val="000000" w:themeColor="text1"/>
                <w:spacing w:val="-2"/>
                <w:w w:val="95"/>
                <w:sz w:val="20"/>
                <w:szCs w:val="20"/>
                <w:lang w:val="en-GB"/>
              </w:rPr>
              <w:t>registered</w:t>
            </w:r>
            <w:r w:rsidRPr="00D43D39" w:rsidR="0014425E">
              <w:rPr>
                <w:rFonts w:ascii="Times New Roman" w:hAnsi="Times New Roman" w:eastAsia="Cambria" w:cs="Times New Roman"/>
                <w:color w:val="000000" w:themeColor="text1"/>
                <w:spacing w:val="-2"/>
                <w:w w:val="95"/>
                <w:sz w:val="20"/>
                <w:szCs w:val="20"/>
                <w:lang w:val="en-GB"/>
              </w:rPr>
              <w:t xml:space="preserve"> office</w:t>
            </w:r>
            <w:r w:rsidRPr="00D43D39">
              <w:rPr>
                <w:rFonts w:ascii="Times New Roman" w:hAnsi="Times New Roman" w:eastAsia="Cambria" w:cs="Times New Roman"/>
                <w:color w:val="000000" w:themeColor="text1"/>
                <w:spacing w:val="-2"/>
                <w:w w:val="95"/>
                <w:sz w:val="20"/>
                <w:szCs w:val="20"/>
                <w:lang w:val="en-GB"/>
              </w:rPr>
              <w:t>.</w:t>
            </w:r>
            <w:r w:rsidRPr="00D43D39" w:rsidR="001331BD">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For groups of connected clients,</w:t>
            </w:r>
            <w:r w:rsidRPr="00D43D39" w:rsidR="00771319">
              <w:rPr>
                <w:rFonts w:ascii="Times New Roman" w:hAnsi="Times New Roman" w:eastAsia="Cambria" w:cs="Times New Roman"/>
                <w:color w:val="000000" w:themeColor="text1"/>
                <w:spacing w:val="-2"/>
                <w:w w:val="95"/>
                <w:sz w:val="20"/>
                <w:szCs w:val="20"/>
                <w:lang w:val="en-GB"/>
              </w:rPr>
              <w:t xml:space="preserve"> the</w:t>
            </w:r>
            <w:r w:rsidRPr="00D43D39">
              <w:rPr>
                <w:rFonts w:ascii="Times New Roman" w:hAnsi="Times New Roman" w:eastAsia="Cambria" w:cs="Times New Roman"/>
                <w:color w:val="000000" w:themeColor="text1"/>
                <w:spacing w:val="-2"/>
                <w:w w:val="95"/>
                <w:sz w:val="20"/>
                <w:szCs w:val="20"/>
                <w:lang w:val="en-GB"/>
              </w:rPr>
              <w:t xml:space="preserve"> country </w:t>
            </w:r>
            <w:r w:rsidRPr="00D43D39" w:rsidR="001F54B8">
              <w:rPr>
                <w:rFonts w:ascii="Times New Roman" w:hAnsi="Times New Roman" w:eastAsia="Cambria" w:cs="Times New Roman"/>
                <w:color w:val="000000" w:themeColor="text1"/>
                <w:spacing w:val="-2"/>
                <w:w w:val="95"/>
                <w:sz w:val="20"/>
                <w:szCs w:val="20"/>
                <w:lang w:val="en-GB"/>
              </w:rPr>
              <w:t xml:space="preserve">of </w:t>
            </w:r>
            <w:r w:rsidRPr="00D43D39" w:rsidR="007E3879">
              <w:rPr>
                <w:rFonts w:ascii="Times New Roman" w:hAnsi="Times New Roman" w:eastAsia="Cambria" w:cs="Times New Roman"/>
                <w:color w:val="000000" w:themeColor="text1"/>
                <w:spacing w:val="-2"/>
                <w:w w:val="95"/>
                <w:sz w:val="20"/>
                <w:szCs w:val="20"/>
                <w:lang w:val="en-GB"/>
              </w:rPr>
              <w:t xml:space="preserve">incorporation of </w:t>
            </w:r>
            <w:r w:rsidRPr="00D43D39" w:rsidR="001F54B8">
              <w:rPr>
                <w:rFonts w:ascii="Times New Roman" w:hAnsi="Times New Roman" w:eastAsia="Cambria" w:cs="Times New Roman"/>
                <w:color w:val="000000" w:themeColor="text1"/>
                <w:spacing w:val="-2"/>
                <w:w w:val="95"/>
                <w:sz w:val="20"/>
                <w:szCs w:val="20"/>
                <w:lang w:val="en-GB"/>
              </w:rPr>
              <w:t>the parent company</w:t>
            </w:r>
            <w:r w:rsidRPr="00D43D39">
              <w:rPr>
                <w:rFonts w:ascii="Times New Roman" w:hAnsi="Times New Roman" w:eastAsia="Cambria" w:cs="Times New Roman"/>
                <w:color w:val="000000" w:themeColor="text1"/>
                <w:spacing w:val="-2"/>
                <w:w w:val="95"/>
                <w:sz w:val="20"/>
                <w:szCs w:val="20"/>
                <w:lang w:val="en-GB"/>
              </w:rPr>
              <w:t xml:space="preserve">. </w:t>
            </w:r>
          </w:p>
        </w:tc>
      </w:tr>
      <w:tr w:rsidRPr="00D43D39" w:rsidR="00D22EB0" w:rsidTr="4ABF549B" w14:paraId="61FA8135" w14:textId="77777777">
        <w:tc>
          <w:tcPr>
            <w:tcW w:w="907" w:type="dxa"/>
            <w:tcBorders>
              <w:top w:val="single" w:color="1A171C" w:sz="4" w:space="0"/>
              <w:left w:val="nil"/>
              <w:bottom w:val="single" w:color="1A171C" w:sz="4" w:space="0"/>
              <w:right w:val="single" w:color="1A171C" w:sz="4" w:space="0"/>
            </w:tcBorders>
            <w:vAlign w:val="center"/>
          </w:tcPr>
          <w:p w:rsidRPr="00D43D39" w:rsidR="007F5A56" w:rsidP="007F5A56" w:rsidRDefault="007F5A56" w14:paraId="42AF8687"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7328A6">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5</w:t>
            </w:r>
            <w:r w:rsidRPr="00D43D39">
              <w:rPr>
                <w:rFonts w:ascii="Times New Roman" w:hAnsi="Times New Roman" w:eastAsia="Cambria" w:cs="Times New Roman"/>
                <w:color w:val="000000" w:themeColor="text1"/>
                <w:spacing w:val="-2"/>
                <w:w w:val="95"/>
                <w:sz w:val="20"/>
                <w:szCs w:val="20"/>
                <w:lang w:val="en-GB"/>
              </w:rPr>
              <w:t>0</w:t>
            </w:r>
          </w:p>
        </w:tc>
        <w:tc>
          <w:tcPr>
            <w:tcW w:w="8119" w:type="dxa"/>
            <w:tcBorders>
              <w:top w:val="single" w:color="1A171C" w:sz="4" w:space="0"/>
              <w:left w:val="single" w:color="1A171C" w:sz="4" w:space="0"/>
              <w:bottom w:val="single" w:color="1A171C" w:sz="4" w:space="0"/>
              <w:right w:val="nil"/>
            </w:tcBorders>
            <w:vAlign w:val="center"/>
          </w:tcPr>
          <w:p w:rsidRPr="00D43D39" w:rsidR="007F5A56" w:rsidP="007F5A56" w:rsidRDefault="007F5A56" w14:paraId="62C8CCFF"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Sector</w:t>
            </w:r>
          </w:p>
          <w:p w:rsidRPr="00D43D39" w:rsidR="007F5A56" w:rsidP="00902DEE" w:rsidRDefault="007F5A56" w14:paraId="4C6D385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One sector shall be allocated to every counterparty on the basis of FINREP economic sector classes</w:t>
            </w:r>
            <w:r w:rsidRPr="00D43D39" w:rsidR="00774595">
              <w:rPr>
                <w:rFonts w:ascii="Times New Roman" w:hAnsi="Times New Roman" w:eastAsia="Cambria" w:cs="Times New Roman"/>
                <w:color w:val="000000" w:themeColor="text1"/>
                <w:spacing w:val="-2"/>
                <w:w w:val="95"/>
                <w:sz w:val="20"/>
                <w:szCs w:val="20"/>
                <w:lang w:val="en-GB"/>
              </w:rPr>
              <w:t xml:space="preserve"> (FINREP, Annex V, Part 1, chapter 6):</w:t>
            </w:r>
          </w:p>
          <w:p w:rsidRPr="00D43D39" w:rsidR="00774595" w:rsidP="00715DAB" w:rsidRDefault="007F5A56" w14:paraId="15164190"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Central Banks</w:t>
            </w:r>
          </w:p>
          <w:p w:rsidRPr="00D43D39" w:rsidR="007F5A56" w:rsidP="00715DAB" w:rsidRDefault="007F5A56" w14:paraId="11DDE564"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General Governments</w:t>
            </w:r>
          </w:p>
          <w:p w:rsidRPr="00D43D39" w:rsidR="007F5A56" w:rsidP="00715DAB" w:rsidRDefault="007F5A56" w14:paraId="08B5EA06"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Credit institutions: </w:t>
            </w:r>
          </w:p>
          <w:p w:rsidRPr="00D43D39" w:rsidR="007F5A56" w:rsidP="00715DAB" w:rsidRDefault="007F5A56" w14:paraId="45DFA09A"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Other financial corporations</w:t>
            </w:r>
          </w:p>
          <w:p w:rsidRPr="00D43D39" w:rsidR="007F5A56" w:rsidP="00715DAB" w:rsidRDefault="007F5A56" w14:paraId="2F21052B"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Non-financial corporations</w:t>
            </w:r>
          </w:p>
          <w:p w:rsidRPr="00D43D39" w:rsidR="007F5A56" w:rsidP="00715DAB" w:rsidRDefault="007F5A56" w14:paraId="20D01891"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Households</w:t>
            </w:r>
          </w:p>
          <w:p w:rsidRPr="00D43D39" w:rsidR="007F5A56" w:rsidP="00902DEE" w:rsidRDefault="007F5A56" w14:paraId="6A4B334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For groups of connected clients, no sector shall be reported.</w:t>
            </w:r>
          </w:p>
        </w:tc>
      </w:tr>
      <w:tr w:rsidRPr="00D43D39" w:rsidR="00D22EB0" w:rsidTr="4ABF549B" w14:paraId="149F1001" w14:textId="77777777">
        <w:tc>
          <w:tcPr>
            <w:tcW w:w="907" w:type="dxa"/>
            <w:tcBorders>
              <w:top w:val="single" w:color="1A171C" w:sz="4" w:space="0"/>
              <w:left w:val="nil"/>
              <w:bottom w:val="single" w:color="1A171C" w:sz="4" w:space="0"/>
              <w:right w:val="single" w:color="1A171C" w:sz="4" w:space="0"/>
            </w:tcBorders>
            <w:vAlign w:val="center"/>
          </w:tcPr>
          <w:p w:rsidRPr="00D43D39" w:rsidR="007F5A56" w:rsidP="007F5A56" w:rsidRDefault="007F5A56" w14:paraId="623BAF5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7328A6">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6</w:t>
            </w:r>
            <w:r w:rsidRPr="00D43D39">
              <w:rPr>
                <w:rFonts w:ascii="Times New Roman" w:hAnsi="Times New Roman" w:eastAsia="Cambria" w:cs="Times New Roman"/>
                <w:color w:val="000000" w:themeColor="text1"/>
                <w:spacing w:val="-2"/>
                <w:w w:val="95"/>
                <w:sz w:val="20"/>
                <w:szCs w:val="20"/>
                <w:lang w:val="en-GB"/>
              </w:rPr>
              <w:t>0</w:t>
            </w:r>
          </w:p>
        </w:tc>
        <w:tc>
          <w:tcPr>
            <w:tcW w:w="8119" w:type="dxa"/>
            <w:tcBorders>
              <w:top w:val="single" w:color="1A171C" w:sz="4" w:space="0"/>
              <w:left w:val="single" w:color="1A171C" w:sz="4" w:space="0"/>
              <w:bottom w:val="single" w:color="1A171C" w:sz="4" w:space="0"/>
              <w:right w:val="nil"/>
            </w:tcBorders>
            <w:vAlign w:val="center"/>
          </w:tcPr>
          <w:p w:rsidRPr="00D43D39" w:rsidR="007F5A56" w:rsidP="007F5A56" w:rsidRDefault="007F5A56" w14:paraId="26C345D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w:t>
            </w:r>
          </w:p>
          <w:p w:rsidRPr="00D43D39" w:rsidR="007F5A56" w:rsidP="007F5A56" w:rsidRDefault="007F5A56" w14:paraId="2C5B5F1D"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liability type shall be </w:t>
            </w:r>
            <w:r w:rsidRPr="00D43D39" w:rsidR="00433F2E">
              <w:rPr>
                <w:rFonts w:ascii="Times New Roman" w:hAnsi="Times New Roman" w:eastAsia="Cambria" w:cs="Times New Roman"/>
                <w:color w:val="000000" w:themeColor="text1"/>
                <w:spacing w:val="-2"/>
                <w:w w:val="95"/>
                <w:sz w:val="20"/>
                <w:szCs w:val="20"/>
                <w:lang w:val="en-GB"/>
              </w:rPr>
              <w:t xml:space="preserve">one of the liability types listed </w:t>
            </w:r>
            <w:r w:rsidRPr="00D43D39">
              <w:rPr>
                <w:rFonts w:ascii="Times New Roman" w:hAnsi="Times New Roman" w:eastAsia="Cambria" w:cs="Times New Roman"/>
                <w:color w:val="000000" w:themeColor="text1"/>
                <w:spacing w:val="-2"/>
                <w:w w:val="95"/>
                <w:sz w:val="20"/>
                <w:szCs w:val="20"/>
                <w:lang w:val="en-GB"/>
              </w:rPr>
              <w:t xml:space="preserve">in </w:t>
            </w:r>
            <w:r w:rsidRPr="00D43D39" w:rsidR="00433F2E">
              <w:rPr>
                <w:rFonts w:ascii="Times New Roman" w:hAnsi="Times New Roman" w:eastAsia="Cambria" w:cs="Times New Roman"/>
                <w:color w:val="000000" w:themeColor="text1"/>
                <w:spacing w:val="-2"/>
                <w:w w:val="95"/>
                <w:sz w:val="20"/>
                <w:szCs w:val="20"/>
                <w:lang w:val="en-GB"/>
              </w:rPr>
              <w:t xml:space="preserve">template </w:t>
            </w:r>
            <w:r w:rsidRPr="00D43D39" w:rsidR="00F7117F">
              <w:rPr>
                <w:rFonts w:ascii="Times New Roman" w:hAnsi="Times New Roman" w:eastAsia="Cambria" w:cs="Times New Roman"/>
                <w:color w:val="000000" w:themeColor="text1"/>
                <w:spacing w:val="-2"/>
                <w:w w:val="95"/>
                <w:sz w:val="20"/>
                <w:szCs w:val="20"/>
                <w:lang w:val="en-GB"/>
              </w:rPr>
              <w:t>Z 0</w:t>
            </w:r>
            <w:r w:rsidRPr="00D43D39">
              <w:rPr>
                <w:rFonts w:ascii="Times New Roman" w:hAnsi="Times New Roman" w:eastAsia="Cambria" w:cs="Times New Roman"/>
                <w:color w:val="000000" w:themeColor="text1"/>
                <w:spacing w:val="-2"/>
                <w:w w:val="95"/>
                <w:sz w:val="20"/>
                <w:szCs w:val="20"/>
                <w:lang w:val="en-GB"/>
              </w:rPr>
              <w:t>2.00 - Liability Structure (LIAB)</w:t>
            </w:r>
            <w:r w:rsidRPr="00D43D39" w:rsidR="00433F2E">
              <w:rPr>
                <w:rFonts w:ascii="Times New Roman" w:hAnsi="Times New Roman" w:eastAsia="Cambria" w:cs="Times New Roman"/>
                <w:color w:val="000000" w:themeColor="text1"/>
                <w:spacing w:val="-2"/>
                <w:w w:val="95"/>
                <w:sz w:val="20"/>
                <w:szCs w:val="20"/>
                <w:lang w:val="en-GB"/>
              </w:rPr>
              <w:t>, namely</w:t>
            </w:r>
            <w:r w:rsidRPr="00D43D39">
              <w:rPr>
                <w:rFonts w:ascii="Times New Roman" w:hAnsi="Times New Roman" w:eastAsia="Cambria" w:cs="Times New Roman"/>
                <w:color w:val="000000" w:themeColor="text1"/>
                <w:spacing w:val="-2"/>
                <w:w w:val="95"/>
                <w:sz w:val="20"/>
                <w:szCs w:val="20"/>
                <w:lang w:val="en-GB"/>
              </w:rPr>
              <w:t>:</w:t>
            </w:r>
          </w:p>
          <w:p w:rsidRPr="00D43D39" w:rsidR="007F5A56" w:rsidP="00433F2E" w:rsidRDefault="00D7497D" w14:paraId="485CA7BD"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L.0</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Liabilities excluded from bail-in;</w:t>
            </w:r>
          </w:p>
          <w:p w:rsidRPr="00D43D39" w:rsidR="007F5A56" w:rsidP="00433F2E" w:rsidRDefault="00D7497D" w14:paraId="259BCD16"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L.1</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Deposits, not covered but preferential;</w:t>
            </w:r>
          </w:p>
          <w:p w:rsidRPr="00D43D39" w:rsidR="007F5A56" w:rsidP="00433F2E" w:rsidRDefault="00D7497D" w14:paraId="65178D25"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L.2.</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 xml:space="preserve">Deposits, not covered and not </w:t>
            </w:r>
            <w:r w:rsidRPr="00D43D39" w:rsidR="00306CCC">
              <w:rPr>
                <w:rFonts w:ascii="Times New Roman" w:hAnsi="Times New Roman" w:eastAsia="Cambria" w:cs="Times New Roman"/>
                <w:color w:val="000000" w:themeColor="text1"/>
                <w:spacing w:val="-2"/>
                <w:w w:val="95"/>
                <w:sz w:val="20"/>
                <w:szCs w:val="20"/>
                <w:lang w:val="en-GB"/>
              </w:rPr>
              <w:t>preferential</w:t>
            </w:r>
            <w:r w:rsidRPr="00D43D39" w:rsidR="007F5A56">
              <w:rPr>
                <w:rFonts w:ascii="Times New Roman" w:hAnsi="Times New Roman" w:eastAsia="Cambria" w:cs="Times New Roman"/>
                <w:color w:val="000000" w:themeColor="text1"/>
                <w:spacing w:val="-2"/>
                <w:w w:val="95"/>
                <w:sz w:val="20"/>
                <w:szCs w:val="20"/>
                <w:lang w:val="en-GB"/>
              </w:rPr>
              <w:t>;</w:t>
            </w:r>
          </w:p>
          <w:p w:rsidRPr="00D43D39" w:rsidR="007F5A56" w:rsidP="00433F2E" w:rsidRDefault="00D7497D" w14:paraId="538EC192"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L.3</w:t>
            </w:r>
            <w:r w:rsidRPr="00D43D39">
              <w:rPr>
                <w:rFonts w:ascii="Times New Roman" w:hAnsi="Times New Roman" w:eastAsia="Cambria" w:cs="Times New Roman"/>
                <w:color w:val="000000" w:themeColor="text1"/>
                <w:spacing w:val="-2"/>
                <w:w w:val="95"/>
                <w:sz w:val="20"/>
                <w:szCs w:val="20"/>
                <w:lang w:val="en-GB"/>
              </w:rPr>
              <w:tab/>
            </w:r>
            <w:r w:rsidRPr="00D43D39">
              <w:rPr>
                <w:rFonts w:ascii="Times New Roman" w:hAnsi="Times New Roman" w:eastAsia="Cambria" w:cs="Times New Roman"/>
                <w:color w:val="000000" w:themeColor="text1"/>
                <w:spacing w:val="-2"/>
                <w:w w:val="95"/>
                <w:sz w:val="20"/>
                <w:szCs w:val="20"/>
                <w:lang w:val="en-GB"/>
              </w:rPr>
              <w:t>L</w:t>
            </w:r>
            <w:r w:rsidRPr="00D43D39" w:rsidR="007F5A56">
              <w:rPr>
                <w:rFonts w:ascii="Times New Roman" w:hAnsi="Times New Roman" w:eastAsia="Cambria" w:cs="Times New Roman"/>
                <w:color w:val="000000" w:themeColor="text1"/>
                <w:spacing w:val="-2"/>
                <w:w w:val="95"/>
                <w:sz w:val="20"/>
                <w:szCs w:val="20"/>
                <w:lang w:val="en-GB"/>
              </w:rPr>
              <w:t>iabilities arising from derivatives</w:t>
            </w:r>
          </w:p>
          <w:p w:rsidRPr="00D43D39" w:rsidR="007F5A56" w:rsidP="00433F2E" w:rsidRDefault="00D7497D" w14:paraId="26A4E4EB"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L.4</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Uncollateralized secured liabilities</w:t>
            </w:r>
          </w:p>
          <w:p w:rsidRPr="00D43D39" w:rsidR="007F5A56" w:rsidP="00433F2E" w:rsidRDefault="00D7497D" w14:paraId="1EEECDE9"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L.5</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Structured notes</w:t>
            </w:r>
          </w:p>
          <w:p w:rsidRPr="00D43D39" w:rsidR="007F5A56" w:rsidP="00433F2E" w:rsidRDefault="00D7497D" w14:paraId="4A5E2282"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L.6</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Senior unsecured liabilities</w:t>
            </w:r>
          </w:p>
          <w:p w:rsidRPr="00D43D39" w:rsidR="00306CCC" w:rsidP="00433F2E" w:rsidRDefault="00306CCC" w14:paraId="185EBE47"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L.7        non-preferred senior liabilities</w:t>
            </w:r>
          </w:p>
          <w:p w:rsidRPr="00D43D39" w:rsidR="007F5A56" w:rsidP="00433F2E" w:rsidRDefault="00D7497D" w14:paraId="05B67699"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w:t>
            </w:r>
            <w:r w:rsidRPr="00D43D39" w:rsidR="00306CCC">
              <w:rPr>
                <w:rFonts w:ascii="Times New Roman" w:hAnsi="Times New Roman" w:eastAsia="Cambria" w:cs="Times New Roman"/>
                <w:color w:val="000000" w:themeColor="text1"/>
                <w:spacing w:val="-2"/>
                <w:w w:val="95"/>
                <w:sz w:val="20"/>
                <w:szCs w:val="20"/>
                <w:lang w:val="en-GB"/>
              </w:rPr>
              <w:t>8</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Subordinated liabilities</w:t>
            </w:r>
            <w:r w:rsidRPr="00D43D39" w:rsidR="00306CCC">
              <w:rPr>
                <w:rFonts w:ascii="Times New Roman" w:hAnsi="Times New Roman" w:eastAsia="Cambria" w:cs="Times New Roman"/>
                <w:color w:val="000000" w:themeColor="text1"/>
                <w:spacing w:val="-2"/>
                <w:w w:val="95"/>
                <w:sz w:val="20"/>
                <w:szCs w:val="20"/>
                <w:lang w:val="en-GB"/>
              </w:rPr>
              <w:t xml:space="preserve"> (not recognised as own funds)</w:t>
            </w:r>
          </w:p>
          <w:p w:rsidRPr="00D43D39" w:rsidR="007F5A56" w:rsidP="00433F2E" w:rsidRDefault="00D7497D" w14:paraId="43F08607"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w:t>
            </w:r>
            <w:r w:rsidRPr="00D43D39" w:rsidR="00306CCC">
              <w:rPr>
                <w:rFonts w:ascii="Times New Roman" w:hAnsi="Times New Roman" w:eastAsia="Cambria" w:cs="Times New Roman"/>
                <w:color w:val="000000" w:themeColor="text1"/>
                <w:spacing w:val="-2"/>
                <w:w w:val="95"/>
                <w:sz w:val="20"/>
                <w:szCs w:val="20"/>
                <w:lang w:val="en-GB"/>
              </w:rPr>
              <w:t>9</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Other MREL eligible liabilities</w:t>
            </w:r>
          </w:p>
          <w:p w:rsidRPr="00D43D39" w:rsidR="007F5A56" w:rsidP="00433F2E" w:rsidRDefault="00D7497D" w14:paraId="7D528817"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w:t>
            </w:r>
            <w:r w:rsidRPr="00D43D39" w:rsidR="00306CCC">
              <w:rPr>
                <w:rFonts w:ascii="Times New Roman" w:hAnsi="Times New Roman" w:eastAsia="Cambria" w:cs="Times New Roman"/>
                <w:color w:val="000000" w:themeColor="text1"/>
                <w:spacing w:val="-2"/>
                <w:w w:val="95"/>
                <w:sz w:val="20"/>
                <w:szCs w:val="20"/>
                <w:lang w:val="en-GB"/>
              </w:rPr>
              <w:t>10</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Non-financial liabilities</w:t>
            </w:r>
          </w:p>
          <w:p w:rsidRPr="00D43D39" w:rsidR="00C9331A" w:rsidP="005A6A04" w:rsidRDefault="00D7497D" w14:paraId="623BDA7B"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w:t>
            </w:r>
            <w:r w:rsidRPr="00D43D39" w:rsidR="00306CCC">
              <w:rPr>
                <w:rFonts w:ascii="Times New Roman" w:hAnsi="Times New Roman" w:eastAsia="Cambria" w:cs="Times New Roman"/>
                <w:color w:val="000000" w:themeColor="text1"/>
                <w:spacing w:val="-2"/>
                <w:w w:val="95"/>
                <w:sz w:val="20"/>
                <w:szCs w:val="20"/>
                <w:lang w:val="en-GB"/>
              </w:rPr>
              <w:t>11</w:t>
            </w:r>
            <w:r w:rsidRPr="00D43D39">
              <w:rPr>
                <w:rFonts w:ascii="Times New Roman" w:hAnsi="Times New Roman" w:eastAsia="Cambria" w:cs="Times New Roman"/>
                <w:color w:val="000000" w:themeColor="text1"/>
                <w:spacing w:val="-2"/>
                <w:w w:val="95"/>
                <w:sz w:val="20"/>
                <w:szCs w:val="20"/>
                <w:lang w:val="en-GB"/>
              </w:rPr>
              <w:tab/>
            </w:r>
            <w:r w:rsidRPr="00D43D39" w:rsidR="007F5A56">
              <w:rPr>
                <w:rFonts w:ascii="Times New Roman" w:hAnsi="Times New Roman" w:eastAsia="Cambria" w:cs="Times New Roman"/>
                <w:color w:val="000000" w:themeColor="text1"/>
                <w:spacing w:val="-2"/>
                <w:w w:val="95"/>
                <w:sz w:val="20"/>
                <w:szCs w:val="20"/>
                <w:lang w:val="en-GB"/>
              </w:rPr>
              <w:t>Residual liabilities</w:t>
            </w:r>
          </w:p>
          <w:p w:rsidRPr="00D43D39" w:rsidR="007F5A56" w:rsidP="009B516A" w:rsidRDefault="00C9331A" w14:paraId="2D3991E7" w14:textId="77777777">
            <w:pPr>
              <w:pStyle w:val="TableParagraph"/>
              <w:spacing w:before="108"/>
              <w:ind w:left="85"/>
              <w:jc w:val="both"/>
              <w:rPr>
                <w:rFonts w:ascii="Times New Roman" w:hAnsi="Times New Roman" w:cs="Times New Roman"/>
                <w:color w:val="000000" w:themeColor="text1"/>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If the liabilities towards a major counterpart</w:t>
            </w:r>
            <w:r w:rsidRPr="00D43D39" w:rsidR="009B516A">
              <w:rPr>
                <w:rFonts w:ascii="Times New Roman" w:hAnsi="Times New Roman" w:eastAsia="Cambria" w:cs="Times New Roman"/>
                <w:color w:val="000000" w:themeColor="text1"/>
                <w:spacing w:val="-2"/>
                <w:w w:val="95"/>
                <w:sz w:val="20"/>
                <w:szCs w:val="20"/>
                <w:lang w:val="en-GB"/>
              </w:rPr>
              <w:t>y</w:t>
            </w:r>
            <w:r w:rsidRPr="00D43D39">
              <w:rPr>
                <w:rFonts w:ascii="Times New Roman" w:hAnsi="Times New Roman" w:eastAsia="Cambria" w:cs="Times New Roman"/>
                <w:color w:val="000000" w:themeColor="text1"/>
                <w:spacing w:val="-2"/>
                <w:w w:val="95"/>
                <w:sz w:val="20"/>
                <w:szCs w:val="20"/>
                <w:lang w:val="en-GB"/>
              </w:rPr>
              <w:t xml:space="preserve"> consist of more than one of the types mentioned above, </w:t>
            </w:r>
            <w:r w:rsidRPr="00D43D39" w:rsidR="00FB1FB9">
              <w:rPr>
                <w:rFonts w:ascii="Times New Roman" w:hAnsi="Times New Roman" w:eastAsia="Cambria" w:cs="Times New Roman"/>
                <w:color w:val="000000" w:themeColor="text1"/>
                <w:spacing w:val="-2"/>
                <w:w w:val="95"/>
                <w:sz w:val="20"/>
                <w:szCs w:val="20"/>
                <w:lang w:val="en-GB"/>
              </w:rPr>
              <w:t>each</w:t>
            </w:r>
            <w:r w:rsidRPr="00D43D39">
              <w:rPr>
                <w:rFonts w:ascii="Times New Roman" w:hAnsi="Times New Roman" w:eastAsia="Cambria" w:cs="Times New Roman"/>
                <w:color w:val="000000" w:themeColor="text1"/>
                <w:spacing w:val="-2"/>
                <w:w w:val="95"/>
                <w:sz w:val="20"/>
                <w:szCs w:val="20"/>
                <w:lang w:val="en-GB"/>
              </w:rPr>
              <w:t xml:space="preserve"> liability type </w:t>
            </w:r>
            <w:r w:rsidRPr="00D43D39" w:rsidR="00FB1FB9">
              <w:rPr>
                <w:rFonts w:ascii="Times New Roman" w:hAnsi="Times New Roman" w:eastAsia="Cambria" w:cs="Times New Roman"/>
                <w:color w:val="000000" w:themeColor="text1"/>
                <w:spacing w:val="-2"/>
                <w:w w:val="95"/>
                <w:sz w:val="20"/>
                <w:szCs w:val="20"/>
                <w:lang w:val="en-GB"/>
              </w:rPr>
              <w:t>shall be reported in a separate row.</w:t>
            </w:r>
          </w:p>
        </w:tc>
      </w:tr>
      <w:tr w:rsidRPr="00D43D39" w:rsidR="00D22EB0" w:rsidTr="4ABF549B" w14:paraId="7B4255DE" w14:textId="77777777">
        <w:tc>
          <w:tcPr>
            <w:tcW w:w="907" w:type="dxa"/>
            <w:tcBorders>
              <w:top w:val="single" w:color="1A171C" w:sz="4" w:space="0"/>
              <w:left w:val="nil"/>
              <w:bottom w:val="single" w:color="1A171C" w:sz="4" w:space="0"/>
              <w:right w:val="single" w:color="1A171C" w:sz="4" w:space="0"/>
            </w:tcBorders>
            <w:vAlign w:val="center"/>
          </w:tcPr>
          <w:p w:rsidRPr="00D43D39" w:rsidR="007F5A56" w:rsidP="007F5A56" w:rsidRDefault="007F5A56" w14:paraId="3535BBF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7328A6">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7</w:t>
            </w:r>
            <w:r w:rsidRPr="00D43D39">
              <w:rPr>
                <w:rFonts w:ascii="Times New Roman" w:hAnsi="Times New Roman" w:eastAsia="Cambria" w:cs="Times New Roman"/>
                <w:color w:val="000000" w:themeColor="text1"/>
                <w:spacing w:val="-2"/>
                <w:w w:val="95"/>
                <w:sz w:val="20"/>
                <w:szCs w:val="20"/>
                <w:lang w:val="en-GB"/>
              </w:rPr>
              <w:t>0</w:t>
            </w:r>
          </w:p>
        </w:tc>
        <w:tc>
          <w:tcPr>
            <w:tcW w:w="8119" w:type="dxa"/>
            <w:tcBorders>
              <w:top w:val="single" w:color="1A171C" w:sz="4" w:space="0"/>
              <w:left w:val="single" w:color="1A171C" w:sz="4" w:space="0"/>
              <w:bottom w:val="single" w:color="1A171C" w:sz="4" w:space="0"/>
              <w:right w:val="nil"/>
            </w:tcBorders>
            <w:vAlign w:val="center"/>
          </w:tcPr>
          <w:p w:rsidRPr="00D43D39" w:rsidR="007F5A56" w:rsidP="007F5A56" w:rsidRDefault="007F5A56" w14:paraId="69790F7A"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Amount</w:t>
            </w:r>
          </w:p>
          <w:p w:rsidRPr="00D43D39" w:rsidR="007F5A56" w:rsidP="00F61BD8" w:rsidRDefault="007F5A56" w14:paraId="6453BB3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shall be equivalent to the definition of an ‘outstanding amount’ as prescribed for in template </w:t>
            </w:r>
            <w:r w:rsidRPr="00D43D39" w:rsidR="00F7117F">
              <w:rPr>
                <w:rFonts w:ascii="Times New Roman" w:hAnsi="Times New Roman" w:eastAsia="Cambria" w:cs="Times New Roman"/>
                <w:color w:val="000000" w:themeColor="text1"/>
                <w:spacing w:val="-2"/>
                <w:w w:val="95"/>
                <w:sz w:val="20"/>
                <w:szCs w:val="20"/>
                <w:lang w:val="en-GB"/>
              </w:rPr>
              <w:t xml:space="preserve">Z </w:t>
            </w:r>
            <w:r w:rsidRPr="00D43D39" w:rsidR="00F61BD8">
              <w:rPr>
                <w:rFonts w:ascii="Times New Roman" w:hAnsi="Times New Roman" w:eastAsia="Cambria" w:cs="Times New Roman"/>
                <w:color w:val="000000" w:themeColor="text1"/>
                <w:spacing w:val="-2"/>
                <w:w w:val="95"/>
                <w:sz w:val="20"/>
                <w:szCs w:val="20"/>
                <w:lang w:val="en-GB"/>
              </w:rPr>
              <w:t>02</w:t>
            </w:r>
            <w:r w:rsidRPr="00D43D39">
              <w:rPr>
                <w:rFonts w:ascii="Times New Roman" w:hAnsi="Times New Roman" w:eastAsia="Cambria" w:cs="Times New Roman"/>
                <w:color w:val="000000" w:themeColor="text1"/>
                <w:spacing w:val="-2"/>
                <w:w w:val="95"/>
                <w:sz w:val="20"/>
                <w:szCs w:val="20"/>
                <w:lang w:val="en-GB"/>
              </w:rPr>
              <w:t xml:space="preserve">.00 - Liability Structure. </w:t>
            </w:r>
            <w:r w:rsidRPr="00D43D39" w:rsidR="00037F79">
              <w:rPr>
                <w:rFonts w:ascii="Times New Roman" w:hAnsi="Times New Roman" w:eastAsia="Cambria" w:cs="Times New Roman"/>
                <w:color w:val="000000" w:themeColor="text1"/>
                <w:spacing w:val="-2"/>
                <w:w w:val="95"/>
                <w:sz w:val="20"/>
                <w:szCs w:val="20"/>
                <w:lang w:val="en-GB"/>
              </w:rPr>
              <w:t xml:space="preserve">In case of liabilities arising from derivatives (type L.3), the close-out amounts as defined for the purposes of row </w:t>
            </w:r>
            <w:r w:rsidRPr="00D43D39" w:rsidR="00A554D6">
              <w:rPr>
                <w:rFonts w:ascii="Times New Roman" w:hAnsi="Times New Roman" w:eastAsia="Cambria" w:cs="Times New Roman"/>
                <w:color w:val="000000" w:themeColor="text1"/>
                <w:spacing w:val="-2"/>
                <w:w w:val="95"/>
                <w:sz w:val="20"/>
                <w:szCs w:val="20"/>
                <w:lang w:val="en-GB"/>
              </w:rPr>
              <w:t>0</w:t>
            </w:r>
            <w:r w:rsidRPr="00D43D39" w:rsidR="00037F79">
              <w:rPr>
                <w:rFonts w:ascii="Times New Roman" w:hAnsi="Times New Roman" w:eastAsia="Cambria" w:cs="Times New Roman"/>
                <w:color w:val="000000" w:themeColor="text1"/>
                <w:spacing w:val="-2"/>
                <w:w w:val="95"/>
                <w:sz w:val="20"/>
                <w:szCs w:val="20"/>
                <w:lang w:val="en-GB"/>
              </w:rPr>
              <w:t xml:space="preserve">333 template </w:t>
            </w:r>
            <w:r w:rsidRPr="00D43D39" w:rsidR="00F7117F">
              <w:rPr>
                <w:rFonts w:ascii="Times New Roman" w:hAnsi="Times New Roman" w:eastAsia="Cambria" w:cs="Times New Roman"/>
                <w:color w:val="000000" w:themeColor="text1"/>
                <w:spacing w:val="-2"/>
                <w:w w:val="95"/>
                <w:sz w:val="20"/>
                <w:szCs w:val="20"/>
                <w:lang w:val="en-GB"/>
              </w:rPr>
              <w:t>Z 0</w:t>
            </w:r>
            <w:r w:rsidRPr="00D43D39" w:rsidR="00037F79">
              <w:rPr>
                <w:rFonts w:ascii="Times New Roman" w:hAnsi="Times New Roman" w:eastAsia="Cambria" w:cs="Times New Roman"/>
                <w:color w:val="000000" w:themeColor="text1"/>
                <w:spacing w:val="-2"/>
                <w:w w:val="95"/>
                <w:sz w:val="20"/>
                <w:szCs w:val="20"/>
                <w:lang w:val="en-GB"/>
              </w:rPr>
              <w:t>2.00 shall be reported.</w:t>
            </w:r>
          </w:p>
        </w:tc>
      </w:tr>
    </w:tbl>
    <w:p w:rsidRPr="00D43D39" w:rsidR="00627D51" w:rsidP="007F5A56" w:rsidRDefault="00627D51" w14:paraId="3AE50F86" w14:textId="77777777">
      <w:pPr>
        <w:pStyle w:val="body"/>
        <w:rPr>
          <w:rFonts w:ascii="Times New Roman" w:hAnsi="Times New Roman" w:cs="Times New Roman"/>
          <w:color w:val="000000" w:themeColor="text1"/>
          <w:sz w:val="20"/>
          <w:szCs w:val="20"/>
          <w:lang w:val="en-GB"/>
        </w:rPr>
      </w:pPr>
    </w:p>
    <w:p w:rsidR="00C02CEB" w:rsidP="001C34E8" w:rsidRDefault="00F7117F" w14:paraId="066FF9CF" w14:textId="14FC001B">
      <w:pPr>
        <w:pStyle w:val="Instructionsberschrift2"/>
        <w:numPr>
          <w:ilvl w:val="1"/>
          <w:numId w:val="49"/>
        </w:numPr>
        <w:ind w:left="357" w:hanging="357"/>
        <w:rPr>
          <w:rFonts w:ascii="Times New Roman" w:hAnsi="Times New Roman" w:cs="Times New Roman"/>
        </w:rPr>
      </w:pPr>
      <w:bookmarkStart w:name="_Toc81454185" w:id="69"/>
      <w:bookmarkStart w:name="_Toc172732229" w:id="70"/>
      <w:r w:rsidRPr="00D43D39">
        <w:rPr>
          <w:rFonts w:ascii="Times New Roman" w:hAnsi="Times New Roman" w:cs="Times New Roman"/>
        </w:rPr>
        <w:t>Z 0</w:t>
      </w:r>
      <w:r w:rsidRPr="00D43D39" w:rsidR="00627D51">
        <w:rPr>
          <w:rFonts w:ascii="Times New Roman" w:hAnsi="Times New Roman" w:cs="Times New Roman"/>
        </w:rPr>
        <w:t>5.02 – Major off-balance sheet counterparties</w:t>
      </w:r>
      <w:r w:rsidR="00C02CEB">
        <w:rPr>
          <w:rFonts w:ascii="Times New Roman" w:hAnsi="Times New Roman" w:cs="Times New Roman"/>
        </w:rPr>
        <w:t xml:space="preserve"> (LIAB 6)</w:t>
      </w:r>
      <w:bookmarkEnd w:id="70"/>
    </w:p>
    <w:p w:rsidRPr="005F5507" w:rsidR="005A6A04" w:rsidP="005F5507" w:rsidRDefault="002D5700" w14:paraId="0091547C" w14:textId="731BA403">
      <w:pPr>
        <w:pStyle w:val="body"/>
        <w:rPr>
          <w:u w:val="single"/>
        </w:rPr>
      </w:pPr>
      <w:r w:rsidRPr="00DB6DB6">
        <w:rPr>
          <w:u w:val="single"/>
        </w:rPr>
        <w:t>Instructions concerning specific positions</w:t>
      </w:r>
      <w:bookmarkEnd w:id="69"/>
    </w:p>
    <w:p w:rsidRPr="00D43D39" w:rsidR="0056559D" w:rsidP="005F5507" w:rsidRDefault="2AAA09C7" w14:paraId="6262D37D"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The combination of values reported in columns 0</w:t>
      </w:r>
      <w:r w:rsidRPr="00D43D39" w:rsidR="4888BAF3">
        <w:rPr>
          <w:rFonts w:ascii="Times New Roman" w:hAnsi="Times New Roman" w:cs="Times New Roman"/>
          <w:sz w:val="20"/>
          <w:szCs w:val="20"/>
          <w:lang w:val="en-GB"/>
        </w:rPr>
        <w:t>0</w:t>
      </w:r>
      <w:r w:rsidRPr="00D43D39">
        <w:rPr>
          <w:rFonts w:ascii="Times New Roman" w:hAnsi="Times New Roman" w:cs="Times New Roman"/>
          <w:sz w:val="20"/>
          <w:szCs w:val="20"/>
          <w:lang w:val="en-GB"/>
        </w:rPr>
        <w:t>20 and 0</w:t>
      </w:r>
      <w:r w:rsidRPr="00D43D39" w:rsidR="4888BAF3">
        <w:rPr>
          <w:rFonts w:ascii="Times New Roman" w:hAnsi="Times New Roman" w:cs="Times New Roman"/>
          <w:sz w:val="20"/>
          <w:szCs w:val="20"/>
          <w:lang w:val="en-GB"/>
        </w:rPr>
        <w:t>0</w:t>
      </w:r>
      <w:r w:rsidRPr="00D43D39">
        <w:rPr>
          <w:rFonts w:ascii="Times New Roman" w:hAnsi="Times New Roman" w:cs="Times New Roman"/>
          <w:sz w:val="20"/>
          <w:szCs w:val="20"/>
          <w:lang w:val="en-GB"/>
        </w:rPr>
        <w:t>60 of this template forms a primary key which has to be unique for each row of the template.</w:t>
      </w:r>
    </w:p>
    <w:tbl>
      <w:tblPr>
        <w:tblW w:w="0" w:type="auto"/>
        <w:tblCellMar>
          <w:top w:w="57" w:type="dxa"/>
          <w:left w:w="57" w:type="dxa"/>
          <w:bottom w:w="57" w:type="dxa"/>
          <w:right w:w="0" w:type="dxa"/>
        </w:tblCellMar>
        <w:tblLook w:val="01E0" w:firstRow="1" w:lastRow="1" w:firstColumn="1" w:lastColumn="1" w:noHBand="0" w:noVBand="0"/>
      </w:tblPr>
      <w:tblGrid>
        <w:gridCol w:w="908"/>
        <w:gridCol w:w="8118"/>
      </w:tblGrid>
      <w:tr w:rsidRPr="00D43D39" w:rsidR="00D22EB0" w:rsidTr="005F5507" w14:paraId="00C6D94B" w14:textId="77777777">
        <w:trPr>
          <w:tblHeader/>
        </w:trPr>
        <w:tc>
          <w:tcPr>
            <w:tcW w:w="909" w:type="dxa"/>
            <w:tcBorders>
              <w:top w:val="single" w:color="1A171C" w:sz="4" w:space="0"/>
              <w:left w:val="nil"/>
              <w:bottom w:val="single" w:color="1A171C" w:sz="4" w:space="0"/>
              <w:right w:val="single" w:color="1A171C" w:sz="4" w:space="0"/>
            </w:tcBorders>
            <w:shd w:val="clear" w:color="auto" w:fill="E4E5E5"/>
          </w:tcPr>
          <w:p w:rsidRPr="00D43D39" w:rsidR="00627D51" w:rsidP="00627D51" w:rsidRDefault="00627D51" w14:paraId="04585654"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Columns</w:t>
            </w:r>
          </w:p>
        </w:tc>
        <w:tc>
          <w:tcPr>
            <w:tcW w:w="8174" w:type="dxa"/>
            <w:tcBorders>
              <w:top w:val="single" w:color="1A171C" w:sz="4" w:space="0"/>
              <w:left w:val="single" w:color="1A171C" w:sz="4" w:space="0"/>
              <w:bottom w:val="single" w:color="1A171C" w:sz="4" w:space="0"/>
              <w:right w:val="nil"/>
            </w:tcBorders>
            <w:shd w:val="clear" w:color="auto" w:fill="E4E5E5"/>
          </w:tcPr>
          <w:p w:rsidRPr="00D43D39" w:rsidR="00627D51" w:rsidP="00627D51" w:rsidRDefault="00627D51" w14:paraId="4BF49361"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D22EB0" w:rsidTr="4ABF549B" w14:paraId="41E15294" w14:textId="77777777">
        <w:tc>
          <w:tcPr>
            <w:tcW w:w="909" w:type="dxa"/>
            <w:tcBorders>
              <w:top w:val="single" w:color="1A171C" w:sz="4" w:space="0"/>
              <w:left w:val="nil"/>
              <w:bottom w:val="single" w:color="1A171C" w:sz="4" w:space="0"/>
              <w:right w:val="single" w:color="1A171C" w:sz="4" w:space="0"/>
            </w:tcBorders>
            <w:vAlign w:val="center"/>
          </w:tcPr>
          <w:p w:rsidRPr="00D43D39" w:rsidR="00627D51" w:rsidP="00FB1FB9" w:rsidRDefault="00627D51" w14:paraId="678AB8A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0A2026">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1</w:t>
            </w:r>
            <w:r w:rsidRPr="00D43D39">
              <w:rPr>
                <w:rFonts w:ascii="Times New Roman" w:hAnsi="Times New Roman" w:eastAsia="Cambria" w:cs="Times New Roman"/>
                <w:color w:val="000000" w:themeColor="text1"/>
                <w:spacing w:val="-2"/>
                <w:w w:val="95"/>
                <w:sz w:val="20"/>
                <w:szCs w:val="20"/>
                <w:lang w:val="en-GB"/>
              </w:rPr>
              <w:t>0-</w:t>
            </w:r>
            <w:r w:rsidRPr="00D43D39" w:rsidR="000A2026">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5</w:t>
            </w:r>
            <w:r w:rsidRPr="00D43D39">
              <w:rPr>
                <w:rFonts w:ascii="Times New Roman" w:hAnsi="Times New Roman" w:eastAsia="Cambria" w:cs="Times New Roman"/>
                <w:color w:val="000000" w:themeColor="text1"/>
                <w:spacing w:val="-2"/>
                <w:w w:val="95"/>
                <w:sz w:val="20"/>
                <w:szCs w:val="20"/>
                <w:lang w:val="en-GB"/>
              </w:rPr>
              <w:t>0</w:t>
            </w:r>
          </w:p>
        </w:tc>
        <w:tc>
          <w:tcPr>
            <w:tcW w:w="8174" w:type="dxa"/>
            <w:tcBorders>
              <w:top w:val="single" w:color="1A171C" w:sz="4" w:space="0"/>
              <w:left w:val="single" w:color="1A171C" w:sz="4" w:space="0"/>
              <w:bottom w:val="single" w:color="1A171C" w:sz="4" w:space="0"/>
              <w:right w:val="nil"/>
            </w:tcBorders>
            <w:vAlign w:val="center"/>
          </w:tcPr>
          <w:p w:rsidRPr="00D43D39" w:rsidR="00627D51" w:rsidP="00627D51" w:rsidRDefault="00627D51" w14:paraId="4FDBF262" w14:textId="0110264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Counterpart</w:t>
            </w:r>
            <w:r w:rsidRPr="00D43D39" w:rsidR="00167158">
              <w:rPr>
                <w:rFonts w:ascii="Times New Roman" w:hAnsi="Times New Roman" w:cs="Times New Roman"/>
                <w:b/>
                <w:bCs/>
                <w:color w:val="000000" w:themeColor="text1"/>
                <w:sz w:val="20"/>
                <w:szCs w:val="20"/>
                <w:lang w:val="en-GB"/>
              </w:rPr>
              <w:t>y</w:t>
            </w:r>
          </w:p>
          <w:p w:rsidRPr="00D43D39" w:rsidR="00627D51" w:rsidP="00627D51" w:rsidRDefault="00627D51" w14:paraId="43EE729E"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Information on the major off-balance sheet counterpart</w:t>
            </w:r>
            <w:r w:rsidRPr="00D43D39" w:rsidR="00F61BD8">
              <w:rPr>
                <w:rFonts w:ascii="Times New Roman" w:hAnsi="Times New Roman" w:eastAsia="Cambria" w:cs="Times New Roman"/>
                <w:color w:val="000000" w:themeColor="text1"/>
                <w:spacing w:val="-2"/>
                <w:w w:val="95"/>
                <w:sz w:val="20"/>
                <w:szCs w:val="20"/>
                <w:lang w:val="en-GB"/>
              </w:rPr>
              <w:t>ies</w:t>
            </w:r>
            <w:r w:rsidRPr="00D43D39">
              <w:rPr>
                <w:rFonts w:ascii="Times New Roman" w:hAnsi="Times New Roman" w:eastAsia="Cambria" w:cs="Times New Roman"/>
                <w:color w:val="000000" w:themeColor="text1"/>
                <w:spacing w:val="-2"/>
                <w:w w:val="95"/>
                <w:sz w:val="20"/>
                <w:szCs w:val="20"/>
                <w:lang w:val="en-GB"/>
              </w:rPr>
              <w:t>.</w:t>
            </w:r>
          </w:p>
          <w:p w:rsidRPr="00D43D39" w:rsidR="00627D51" w:rsidP="00627D51" w:rsidRDefault="3899C783" w14:paraId="2DAFE92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Major off-balance sheet counterparties shall be identified by summing up the total </w:t>
            </w:r>
            <w:r w:rsidRPr="00D43D39" w:rsidR="4D5CD4DC">
              <w:rPr>
                <w:rFonts w:ascii="Times New Roman" w:hAnsi="Times New Roman" w:eastAsia="Cambria" w:cs="Times New Roman"/>
                <w:color w:val="000000" w:themeColor="text1"/>
                <w:spacing w:val="-2"/>
                <w:w w:val="95"/>
                <w:sz w:val="20"/>
                <w:szCs w:val="20"/>
                <w:lang w:val="en-GB"/>
              </w:rPr>
              <w:t xml:space="preserve">nominal </w:t>
            </w:r>
            <w:r w:rsidRPr="00D43D39">
              <w:rPr>
                <w:rFonts w:ascii="Times New Roman" w:hAnsi="Times New Roman" w:eastAsia="Cambria" w:cs="Times New Roman"/>
                <w:color w:val="000000" w:themeColor="text1"/>
                <w:spacing w:val="-2"/>
                <w:w w:val="95"/>
                <w:sz w:val="20"/>
                <w:szCs w:val="20"/>
                <w:lang w:val="en-GB"/>
              </w:rPr>
              <w:t>amount of commitments and financial guarantees received</w:t>
            </w:r>
            <w:r w:rsidRPr="00D43D39" w:rsidR="1A61EFA4">
              <w:rPr>
                <w:rFonts w:ascii="Times New Roman" w:hAnsi="Times New Roman" w:eastAsia="Cambria" w:cs="Times New Roman"/>
                <w:color w:val="000000" w:themeColor="text1"/>
                <w:spacing w:val="-2"/>
                <w:w w:val="95"/>
                <w:sz w:val="20"/>
                <w:szCs w:val="20"/>
                <w:lang w:val="en-GB"/>
              </w:rPr>
              <w:t xml:space="preserve"> (as defined for the purposes of FINREP, template F 09)</w:t>
            </w:r>
            <w:r w:rsidRPr="00D43D39">
              <w:rPr>
                <w:rFonts w:ascii="Times New Roman" w:hAnsi="Times New Roman" w:eastAsia="Cambria" w:cs="Times New Roman"/>
                <w:color w:val="000000" w:themeColor="text1"/>
                <w:spacing w:val="-2"/>
                <w:w w:val="95"/>
                <w:sz w:val="20"/>
                <w:szCs w:val="20"/>
                <w:lang w:val="en-GB"/>
              </w:rPr>
              <w:t xml:space="preserve"> by </w:t>
            </w:r>
            <w:r w:rsidRPr="00D43D39" w:rsidR="2E9AA298">
              <w:rPr>
                <w:rFonts w:ascii="Times New Roman" w:hAnsi="Times New Roman" w:eastAsia="Cambria" w:cs="Times New Roman"/>
                <w:color w:val="000000" w:themeColor="text1"/>
                <w:spacing w:val="-2"/>
                <w:w w:val="95"/>
                <w:sz w:val="20"/>
                <w:szCs w:val="20"/>
                <w:lang w:val="en-GB"/>
              </w:rPr>
              <w:t xml:space="preserve">the entity or </w:t>
            </w:r>
            <w:r w:rsidRPr="00D43D39">
              <w:rPr>
                <w:rFonts w:ascii="Times New Roman" w:hAnsi="Times New Roman" w:eastAsia="Cambria" w:cs="Times New Roman"/>
                <w:color w:val="000000" w:themeColor="text1"/>
                <w:spacing w:val="-2"/>
                <w:w w:val="95"/>
                <w:sz w:val="20"/>
                <w:szCs w:val="20"/>
                <w:lang w:val="en-GB"/>
              </w:rPr>
              <w:t xml:space="preserve">group entities </w:t>
            </w:r>
            <w:r w:rsidRPr="00D43D39" w:rsidR="2E9AA298">
              <w:rPr>
                <w:rFonts w:ascii="Times New Roman" w:hAnsi="Times New Roman" w:eastAsia="Cambria" w:cs="Times New Roman"/>
                <w:color w:val="000000" w:themeColor="text1"/>
                <w:spacing w:val="-2"/>
                <w:w w:val="95"/>
                <w:sz w:val="20"/>
                <w:szCs w:val="20"/>
                <w:lang w:val="en-GB"/>
              </w:rPr>
              <w:t xml:space="preserve">for which the template is reported </w:t>
            </w:r>
            <w:r w:rsidRPr="00D43D39">
              <w:rPr>
                <w:rFonts w:ascii="Times New Roman" w:hAnsi="Times New Roman" w:eastAsia="Cambria" w:cs="Times New Roman"/>
                <w:color w:val="000000" w:themeColor="text1"/>
                <w:spacing w:val="-2"/>
                <w:w w:val="95"/>
                <w:sz w:val="20"/>
                <w:szCs w:val="20"/>
                <w:lang w:val="en-GB"/>
              </w:rPr>
              <w:t xml:space="preserve">from counterparties or group of connected clients. </w:t>
            </w:r>
            <w:r w:rsidRPr="00D43D39" w:rsidR="51D25625">
              <w:rPr>
                <w:rFonts w:ascii="Times New Roman" w:hAnsi="Times New Roman" w:eastAsia="Cambria" w:cs="Times New Roman"/>
                <w:color w:val="000000" w:themeColor="text1"/>
                <w:spacing w:val="-2"/>
                <w:w w:val="95"/>
                <w:sz w:val="20"/>
                <w:szCs w:val="20"/>
                <w:lang w:val="en-GB"/>
              </w:rPr>
              <w:t xml:space="preserve">Major off-balance sheet counterparties shall exclude entities included in the consolidated financial statements of the group. </w:t>
            </w:r>
            <w:r w:rsidRPr="00D43D39" w:rsidR="1A61EFA4">
              <w:rPr>
                <w:rFonts w:ascii="Times New Roman" w:hAnsi="Times New Roman" w:eastAsia="Cambria" w:cs="Times New Roman"/>
                <w:color w:val="000000" w:themeColor="text1"/>
                <w:spacing w:val="-2"/>
                <w:w w:val="95"/>
                <w:sz w:val="20"/>
                <w:szCs w:val="20"/>
                <w:lang w:val="en-GB"/>
              </w:rPr>
              <w:t xml:space="preserve">The counterparties and groups of connected clients </w:t>
            </w:r>
            <w:r w:rsidRPr="00D43D39">
              <w:rPr>
                <w:rFonts w:ascii="Times New Roman" w:hAnsi="Times New Roman" w:eastAsia="Cambria" w:cs="Times New Roman"/>
                <w:color w:val="000000" w:themeColor="text1"/>
                <w:spacing w:val="-2"/>
                <w:w w:val="95"/>
                <w:sz w:val="20"/>
                <w:szCs w:val="20"/>
                <w:lang w:val="en-GB"/>
              </w:rPr>
              <w:t>are then ranked by aggregate amount in order to identify the top 10 major off-balance sheet counterparties</w:t>
            </w:r>
            <w:r w:rsidRPr="00D43D39" w:rsidR="1A61EFA4">
              <w:rPr>
                <w:rFonts w:ascii="Times New Roman" w:hAnsi="Times New Roman" w:eastAsia="Cambria" w:cs="Times New Roman"/>
                <w:color w:val="000000" w:themeColor="text1"/>
                <w:spacing w:val="-2"/>
                <w:w w:val="95"/>
                <w:sz w:val="20"/>
                <w:szCs w:val="20"/>
                <w:lang w:val="en-GB"/>
              </w:rPr>
              <w:t>, on which information shall be provided in this template.</w:t>
            </w:r>
          </w:p>
          <w:p w:rsidRPr="005F5507" w:rsidR="26A64FC7" w:rsidP="005F5507" w:rsidRDefault="26A64FC7" w14:paraId="046B37D4" w14:textId="6B27A021">
            <w:pPr>
              <w:spacing w:line="257" w:lineRule="auto"/>
              <w:ind w:left="25"/>
              <w:jc w:val="both"/>
              <w:rPr>
                <w:rFonts w:ascii="Times New Roman" w:hAnsi="Times New Roman" w:eastAsia="Cambria" w:cs="Times New Roman"/>
                <w:color w:val="000000" w:themeColor="text1"/>
                <w:spacing w:val="-2"/>
                <w:w w:val="95"/>
                <w:sz w:val="20"/>
                <w:szCs w:val="20"/>
                <w:lang w:val="en-GB"/>
              </w:rPr>
            </w:pPr>
            <w:r w:rsidRPr="005F5507">
              <w:rPr>
                <w:rFonts w:ascii="Times New Roman" w:hAnsi="Times New Roman" w:eastAsia="Cambria" w:cs="Times New Roman"/>
                <w:color w:val="000000" w:themeColor="text1"/>
                <w:spacing w:val="-2"/>
                <w:w w:val="95"/>
                <w:sz w:val="20"/>
                <w:szCs w:val="20"/>
                <w:lang w:val="en-GB"/>
              </w:rPr>
              <w:t xml:space="preserve">Derivatives </w:t>
            </w:r>
            <w:r w:rsidR="00285FF6">
              <w:rPr>
                <w:rFonts w:ascii="Times New Roman" w:hAnsi="Times New Roman" w:eastAsia="Cambria" w:cs="Times New Roman"/>
                <w:color w:val="000000" w:themeColor="text1"/>
                <w:spacing w:val="-2"/>
                <w:w w:val="95"/>
                <w:sz w:val="20"/>
                <w:szCs w:val="20"/>
                <w:lang w:val="en-GB"/>
              </w:rPr>
              <w:t>are</w:t>
            </w:r>
            <w:r w:rsidRPr="005F5507">
              <w:rPr>
                <w:rFonts w:ascii="Times New Roman" w:hAnsi="Times New Roman" w:eastAsia="Cambria" w:cs="Times New Roman"/>
                <w:color w:val="000000" w:themeColor="text1"/>
                <w:spacing w:val="-2"/>
                <w:w w:val="95"/>
                <w:sz w:val="20"/>
                <w:szCs w:val="20"/>
                <w:lang w:val="en-GB"/>
              </w:rPr>
              <w:t xml:space="preserve"> not </w:t>
            </w:r>
            <w:r w:rsidR="00285FF6">
              <w:rPr>
                <w:rFonts w:ascii="Times New Roman" w:hAnsi="Times New Roman" w:eastAsia="Cambria" w:cs="Times New Roman"/>
                <w:color w:val="000000" w:themeColor="text1"/>
                <w:spacing w:val="-2"/>
                <w:w w:val="95"/>
                <w:sz w:val="20"/>
                <w:szCs w:val="20"/>
                <w:lang w:val="en-GB"/>
              </w:rPr>
              <w:t xml:space="preserve">to </w:t>
            </w:r>
            <w:r w:rsidRPr="005F5507">
              <w:rPr>
                <w:rFonts w:ascii="Times New Roman" w:hAnsi="Times New Roman" w:eastAsia="Cambria" w:cs="Times New Roman"/>
                <w:color w:val="000000" w:themeColor="text1"/>
                <w:spacing w:val="-2"/>
                <w:w w:val="95"/>
                <w:sz w:val="20"/>
                <w:szCs w:val="20"/>
                <w:lang w:val="en-GB"/>
              </w:rPr>
              <w:t>be included in the top ten rank described above:</w:t>
            </w:r>
            <w:r w:rsidR="00285FF6">
              <w:rPr>
                <w:rFonts w:ascii="Times New Roman" w:hAnsi="Times New Roman" w:eastAsia="Cambria" w:cs="Times New Roman"/>
                <w:color w:val="000000" w:themeColor="text1"/>
                <w:spacing w:val="-2"/>
                <w:w w:val="95"/>
                <w:sz w:val="20"/>
                <w:szCs w:val="20"/>
                <w:lang w:val="en-GB"/>
              </w:rPr>
              <w:t xml:space="preserve"> report</w:t>
            </w:r>
            <w:r w:rsidRPr="005F5507">
              <w:rPr>
                <w:rFonts w:ascii="Times New Roman" w:hAnsi="Times New Roman" w:eastAsia="Cambria" w:cs="Times New Roman"/>
                <w:color w:val="000000" w:themeColor="text1"/>
                <w:spacing w:val="-2"/>
                <w:w w:val="95"/>
                <w:sz w:val="20"/>
                <w:szCs w:val="20"/>
                <w:lang w:val="en-GB"/>
              </w:rPr>
              <w:t xml:space="preserve"> a separate list of the top 5 off-balance sheet derivatives counterparties here to avoid the Z 05.02 report containing only derivative balances.</w:t>
            </w:r>
          </w:p>
          <w:p w:rsidRPr="00D43D39" w:rsidR="00627D51" w:rsidP="0002624F" w:rsidRDefault="00627D51" w14:paraId="509010C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For the purpose of this template, only counterparties </w:t>
            </w:r>
            <w:r w:rsidRPr="00D43D39" w:rsidR="00FE4070">
              <w:rPr>
                <w:rFonts w:ascii="Times New Roman" w:hAnsi="Times New Roman" w:eastAsia="Cambria" w:cs="Times New Roman"/>
                <w:color w:val="000000" w:themeColor="text1"/>
                <w:spacing w:val="-2"/>
                <w:w w:val="95"/>
                <w:sz w:val="20"/>
                <w:szCs w:val="20"/>
                <w:lang w:val="en-GB"/>
              </w:rPr>
              <w:t xml:space="preserve">that are not included in the consolidated financial statements </w:t>
            </w:r>
            <w:r w:rsidRPr="00D43D39">
              <w:rPr>
                <w:rFonts w:ascii="Times New Roman" w:hAnsi="Times New Roman" w:eastAsia="Cambria" w:cs="Times New Roman"/>
                <w:color w:val="000000" w:themeColor="text1"/>
                <w:spacing w:val="-2"/>
                <w:w w:val="95"/>
                <w:sz w:val="20"/>
                <w:szCs w:val="20"/>
                <w:lang w:val="en-GB"/>
              </w:rPr>
              <w:t>shall be reported.</w:t>
            </w:r>
          </w:p>
        </w:tc>
      </w:tr>
      <w:tr w:rsidRPr="00D43D39" w:rsidR="00D22EB0" w:rsidTr="4ABF549B" w14:paraId="19F5F665" w14:textId="77777777">
        <w:tc>
          <w:tcPr>
            <w:tcW w:w="909" w:type="dxa"/>
            <w:tcBorders>
              <w:top w:val="single" w:color="1A171C" w:sz="4" w:space="0"/>
              <w:left w:val="nil"/>
              <w:bottom w:val="single" w:color="1A171C" w:sz="4" w:space="0"/>
              <w:right w:val="single" w:color="1A171C" w:sz="4" w:space="0"/>
            </w:tcBorders>
            <w:vAlign w:val="center"/>
          </w:tcPr>
          <w:p w:rsidRPr="00D43D39" w:rsidR="00627D51" w:rsidP="00FB1FB9" w:rsidRDefault="000A2026" w14:paraId="7C29C3E4"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627D51">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1</w:t>
            </w:r>
            <w:r w:rsidRPr="00D43D39" w:rsidR="00627D51">
              <w:rPr>
                <w:rFonts w:ascii="Times New Roman" w:hAnsi="Times New Roman" w:eastAsia="Cambria" w:cs="Times New Roman"/>
                <w:color w:val="000000" w:themeColor="text1"/>
                <w:spacing w:val="-2"/>
                <w:w w:val="95"/>
                <w:sz w:val="20"/>
                <w:szCs w:val="20"/>
                <w:lang w:val="en-GB"/>
              </w:rPr>
              <w:t>0</w:t>
            </w:r>
          </w:p>
        </w:tc>
        <w:tc>
          <w:tcPr>
            <w:tcW w:w="8174" w:type="dxa"/>
            <w:tcBorders>
              <w:top w:val="single" w:color="1A171C" w:sz="4" w:space="0"/>
              <w:left w:val="single" w:color="1A171C" w:sz="4" w:space="0"/>
              <w:bottom w:val="single" w:color="1A171C" w:sz="4" w:space="0"/>
              <w:right w:val="nil"/>
            </w:tcBorders>
            <w:vAlign w:val="center"/>
          </w:tcPr>
          <w:p w:rsidRPr="00D43D39" w:rsidR="00627D51" w:rsidP="00627D51" w:rsidRDefault="00FB1FB9" w14:paraId="694CF0A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w:t>
            </w:r>
            <w:r w:rsidRPr="00D43D39" w:rsidR="00627D51">
              <w:rPr>
                <w:rFonts w:ascii="Times New Roman" w:hAnsi="Times New Roman" w:cs="Times New Roman"/>
                <w:b/>
                <w:bCs/>
                <w:color w:val="000000" w:themeColor="text1"/>
                <w:sz w:val="20"/>
                <w:szCs w:val="20"/>
                <w:lang w:val="en-GB"/>
              </w:rPr>
              <w:t>name</w:t>
            </w:r>
          </w:p>
          <w:p w:rsidRPr="00BC38B6" w:rsidR="00E821AB" w:rsidP="00E821AB" w:rsidRDefault="00E821AB" w14:paraId="37579306" w14:textId="77777777">
            <w:pPr>
              <w:spacing w:before="108"/>
              <w:ind w:left="85"/>
              <w:jc w:val="both"/>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Name of the major counterparty or, where applicable, name of a group of connected clients.</w:t>
            </w:r>
          </w:p>
          <w:p w:rsidRPr="00D43D39" w:rsidR="00627D51" w:rsidP="00E821AB" w:rsidRDefault="00E821AB" w14:paraId="47B8DCA8" w14:textId="722E546C">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The name of a group of connected clients shall be the name of the parent company or, when the group of connected clients does not have a parent, the group’s commercial name.</w:t>
            </w:r>
          </w:p>
        </w:tc>
      </w:tr>
      <w:tr w:rsidRPr="00D43D39" w:rsidR="00D22EB0" w:rsidTr="4ABF549B" w14:paraId="31BEDA1A" w14:textId="77777777">
        <w:tc>
          <w:tcPr>
            <w:tcW w:w="909" w:type="dxa"/>
            <w:tcBorders>
              <w:top w:val="single" w:color="1A171C" w:sz="4" w:space="0"/>
              <w:left w:val="nil"/>
              <w:bottom w:val="single" w:color="1A171C" w:sz="4" w:space="0"/>
              <w:right w:val="single" w:color="1A171C" w:sz="4" w:space="0"/>
            </w:tcBorders>
            <w:vAlign w:val="center"/>
          </w:tcPr>
          <w:p w:rsidRPr="00D43D39" w:rsidR="00627D51" w:rsidP="00AE7D80" w:rsidRDefault="00627D51" w14:paraId="0BFA409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0A2026">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2</w:t>
            </w:r>
            <w:r w:rsidRPr="00D43D39">
              <w:rPr>
                <w:rFonts w:ascii="Times New Roman" w:hAnsi="Times New Roman" w:eastAsia="Cambria" w:cs="Times New Roman"/>
                <w:color w:val="000000" w:themeColor="text1"/>
                <w:spacing w:val="-2"/>
                <w:w w:val="95"/>
                <w:sz w:val="20"/>
                <w:szCs w:val="20"/>
                <w:lang w:val="en-GB"/>
              </w:rPr>
              <w:t>0</w:t>
            </w:r>
          </w:p>
        </w:tc>
        <w:tc>
          <w:tcPr>
            <w:tcW w:w="8174" w:type="dxa"/>
            <w:tcBorders>
              <w:top w:val="single" w:color="1A171C" w:sz="4" w:space="0"/>
              <w:left w:val="single" w:color="1A171C" w:sz="4" w:space="0"/>
              <w:bottom w:val="single" w:color="1A171C" w:sz="4" w:space="0"/>
              <w:right w:val="nil"/>
            </w:tcBorders>
            <w:vAlign w:val="center"/>
          </w:tcPr>
          <w:p w:rsidRPr="00D43D39" w:rsidR="00627D51" w:rsidP="00627D51" w:rsidRDefault="00627D51" w14:paraId="1A8D51D4"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rsidRPr="00BC38B6" w:rsidR="00E821AB" w:rsidP="00E821AB" w:rsidRDefault="00E821AB" w14:paraId="0C704CDA"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The code of the major counterparty or group of connected clients. For institutions the code shall be the 20-digit, alphanumeric LEI code. For other entities the code shall be the 20-digit, alphanumeric LEI code, or if not available a code under a uniform codification applicable in the Union, or if not available a national code.</w:t>
            </w:r>
          </w:p>
          <w:p w:rsidRPr="00D43D39" w:rsidR="00627D51" w:rsidP="00E821AB" w:rsidRDefault="00E821AB" w14:paraId="3A88EB7C" w14:textId="56DDF82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The code shall be unique and used consistently across the templates.</w:t>
            </w:r>
          </w:p>
        </w:tc>
      </w:tr>
      <w:tr w:rsidRPr="00D43D39" w:rsidR="00E842BE" w:rsidTr="4ABF549B" w14:paraId="503722F8" w14:textId="77777777">
        <w:tc>
          <w:tcPr>
            <w:tcW w:w="909" w:type="dxa"/>
            <w:tcBorders>
              <w:top w:val="single" w:color="1A171C" w:sz="4" w:space="0"/>
              <w:left w:val="nil"/>
              <w:bottom w:val="single" w:color="1A171C" w:sz="4" w:space="0"/>
              <w:right w:val="single" w:color="1A171C" w:sz="4" w:space="0"/>
            </w:tcBorders>
            <w:vAlign w:val="center"/>
          </w:tcPr>
          <w:p w:rsidRPr="00D43D39" w:rsidR="00E842BE" w:rsidP="00AE7D80" w:rsidRDefault="00E842BE" w14:paraId="02F54732" w14:textId="516E68B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0025</w:t>
            </w:r>
          </w:p>
        </w:tc>
        <w:tc>
          <w:tcPr>
            <w:tcW w:w="8174" w:type="dxa"/>
            <w:tcBorders>
              <w:top w:val="single" w:color="1A171C" w:sz="4" w:space="0"/>
              <w:left w:val="single" w:color="1A171C" w:sz="4" w:space="0"/>
              <w:bottom w:val="single" w:color="1A171C" w:sz="4" w:space="0"/>
              <w:right w:val="nil"/>
            </w:tcBorders>
            <w:vAlign w:val="center"/>
          </w:tcPr>
          <w:p w:rsidRPr="00D43D39" w:rsidR="00E842BE" w:rsidP="00E842BE" w:rsidRDefault="00E842BE" w14:paraId="7F2F4B68" w14:textId="2C707F45">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Type of </w:t>
            </w:r>
            <w:r w:rsidRPr="00D43D39" w:rsidR="00E91EDA">
              <w:rPr>
                <w:rFonts w:ascii="Times New Roman" w:hAnsi="Times New Roman" w:cs="Times New Roman"/>
                <w:b/>
                <w:bCs/>
                <w:color w:val="000000" w:themeColor="text1"/>
                <w:sz w:val="20"/>
                <w:szCs w:val="20"/>
                <w:lang w:val="en-GB"/>
              </w:rPr>
              <w:t>Code</w:t>
            </w:r>
          </w:p>
          <w:p w:rsidR="00161C05" w:rsidP="00161C05" w:rsidRDefault="00161C05" w14:paraId="453F3EE8"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hAnsi="Times New Roman" w:eastAsia="Cambria" w:cs="Times New Roman"/>
                <w:color w:val="000000" w:themeColor="text1"/>
                <w:spacing w:val="-2"/>
                <w:w w:val="95"/>
                <w:sz w:val="20"/>
                <w:szCs w:val="20"/>
                <w:lang w:val="en-GB"/>
              </w:rPr>
              <w:t xml:space="preserve"> preferably the LEI code.</w:t>
            </w:r>
          </w:p>
          <w:p w:rsidR="00161C05" w:rsidP="00161C05" w:rsidRDefault="00161C05" w14:paraId="265D31FC" w14:textId="17D0D8B5">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BC38B6">
              <w:rPr>
                <w:rFonts w:ascii="Times New Roman" w:hAnsi="Times New Roman" w:eastAsia="Cambria" w:cs="Times New Roman"/>
                <w:color w:val="000000" w:themeColor="text1"/>
                <w:spacing w:val="-2"/>
                <w:w w:val="95"/>
                <w:sz w:val="20"/>
                <w:szCs w:val="20"/>
                <w:lang w:val="en-GB"/>
              </w:rPr>
              <w:t>, or if not available</w:t>
            </w:r>
            <w:r w:rsidR="00285FF6">
              <w:rPr>
                <w:rFonts w:ascii="Times New Roman" w:hAnsi="Times New Roman" w:eastAsia="Cambria" w:cs="Times New Roman"/>
                <w:color w:val="000000" w:themeColor="text1"/>
                <w:spacing w:val="-2"/>
                <w:w w:val="95"/>
                <w:sz w:val="20"/>
                <w:szCs w:val="20"/>
                <w:lang w:val="en-GB"/>
              </w:rPr>
              <w:t>, report</w:t>
            </w:r>
            <w:r w:rsidRPr="00BC38B6">
              <w:rPr>
                <w:rFonts w:ascii="Times New Roman" w:hAnsi="Times New Roman" w:eastAsia="Cambria" w:cs="Times New Roman"/>
                <w:color w:val="000000" w:themeColor="text1"/>
                <w:spacing w:val="-2"/>
                <w:w w:val="95"/>
                <w:sz w:val="20"/>
                <w:szCs w:val="20"/>
                <w:lang w:val="en-GB"/>
              </w:rPr>
              <w:t xml:space="preserve"> a national code</w:t>
            </w:r>
            <w:r>
              <w:rPr>
                <w:rFonts w:ascii="Times New Roman" w:hAnsi="Times New Roman" w:eastAsia="Cambria" w:cs="Times New Roman"/>
                <w:color w:val="000000" w:themeColor="text1"/>
                <w:spacing w:val="-2"/>
                <w:w w:val="95"/>
                <w:sz w:val="20"/>
                <w:szCs w:val="20"/>
                <w:lang w:val="en-GB"/>
              </w:rPr>
              <w:t>.</w:t>
            </w:r>
          </w:p>
          <w:p w:rsidRPr="00D43D39" w:rsidR="00E842BE" w:rsidP="00161C05" w:rsidRDefault="00161C05" w14:paraId="16B8F261" w14:textId="60535302">
            <w:pPr>
              <w:pStyle w:val="TableParagraph"/>
              <w:spacing w:before="108"/>
              <w:ind w:left="85"/>
              <w:jc w:val="both"/>
              <w:rPr>
                <w:rFonts w:ascii="Times New Roman" w:hAnsi="Times New Roman" w:cs="Times New Roman"/>
                <w:b/>
                <w:bCs/>
                <w:color w:val="000000" w:themeColor="text1"/>
                <w:sz w:val="20"/>
                <w:szCs w:val="20"/>
                <w:lang w:val="en-GB"/>
              </w:rPr>
            </w:pPr>
            <w:r w:rsidRPr="00BC38B6">
              <w:rPr>
                <w:rFonts w:ascii="Times New Roman" w:hAnsi="Times New Roman" w:cs="Times New Roman"/>
                <w:bCs/>
                <w:color w:val="000000" w:themeColor="text1"/>
                <w:sz w:val="20"/>
                <w:szCs w:val="20"/>
                <w:lang w:val="en-GB"/>
              </w:rPr>
              <w:t>The identification of entities shall be made in a consistent way across the templates.</w:t>
            </w:r>
          </w:p>
        </w:tc>
      </w:tr>
      <w:tr w:rsidRPr="00D43D39" w:rsidR="00D22EB0" w:rsidTr="4ABF549B" w14:paraId="3039F22A" w14:textId="77777777">
        <w:tc>
          <w:tcPr>
            <w:tcW w:w="909" w:type="dxa"/>
            <w:tcBorders>
              <w:top w:val="single" w:color="1A171C" w:sz="4" w:space="0"/>
              <w:left w:val="nil"/>
              <w:bottom w:val="single" w:color="1A171C" w:sz="4" w:space="0"/>
              <w:right w:val="single" w:color="1A171C" w:sz="4" w:space="0"/>
            </w:tcBorders>
            <w:vAlign w:val="center"/>
          </w:tcPr>
          <w:p w:rsidRPr="00D43D39" w:rsidR="00627D51" w:rsidP="00AE7D80" w:rsidRDefault="000A2026" w14:paraId="01C1DA1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627D51">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3</w:t>
            </w:r>
            <w:r w:rsidRPr="00D43D39" w:rsidR="00627D51">
              <w:rPr>
                <w:rFonts w:ascii="Times New Roman" w:hAnsi="Times New Roman" w:eastAsia="Cambria" w:cs="Times New Roman"/>
                <w:color w:val="000000" w:themeColor="text1"/>
                <w:spacing w:val="-2"/>
                <w:w w:val="95"/>
                <w:sz w:val="20"/>
                <w:szCs w:val="20"/>
                <w:lang w:val="en-GB"/>
              </w:rPr>
              <w:t>0</w:t>
            </w:r>
          </w:p>
        </w:tc>
        <w:tc>
          <w:tcPr>
            <w:tcW w:w="8174" w:type="dxa"/>
            <w:tcBorders>
              <w:top w:val="single" w:color="1A171C" w:sz="4" w:space="0"/>
              <w:left w:val="single" w:color="1A171C" w:sz="4" w:space="0"/>
              <w:bottom w:val="single" w:color="1A171C" w:sz="4" w:space="0"/>
              <w:right w:val="nil"/>
            </w:tcBorders>
            <w:vAlign w:val="center"/>
          </w:tcPr>
          <w:p w:rsidRPr="00D43D39" w:rsidR="00627D51" w:rsidP="00627D51" w:rsidRDefault="00627D51" w14:paraId="04D7374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Group or individual</w:t>
            </w:r>
          </w:p>
          <w:p w:rsidRPr="00D43D39" w:rsidR="00627D51" w:rsidP="00AE7D80" w:rsidRDefault="00E821AB" w14:paraId="4F70AA16" w14:textId="10AC7AE3">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The institution shall report '1' for individual major counterparties and '2' for groups of connected clients.</w:t>
            </w:r>
          </w:p>
        </w:tc>
      </w:tr>
      <w:tr w:rsidRPr="00D43D39" w:rsidR="00D22EB0" w:rsidTr="4ABF549B" w14:paraId="69A4A6AA" w14:textId="77777777">
        <w:tc>
          <w:tcPr>
            <w:tcW w:w="909" w:type="dxa"/>
            <w:tcBorders>
              <w:top w:val="single" w:color="1A171C" w:sz="4" w:space="0"/>
              <w:left w:val="nil"/>
              <w:bottom w:val="single" w:color="1A171C" w:sz="4" w:space="0"/>
              <w:right w:val="single" w:color="1A171C" w:sz="4" w:space="0"/>
            </w:tcBorders>
            <w:vAlign w:val="center"/>
          </w:tcPr>
          <w:p w:rsidRPr="00D43D39" w:rsidR="00627D51" w:rsidP="00AE7D80" w:rsidRDefault="00627D51" w14:paraId="3A0BFA3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C2719D">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4</w:t>
            </w:r>
            <w:r w:rsidRPr="00D43D39">
              <w:rPr>
                <w:rFonts w:ascii="Times New Roman" w:hAnsi="Times New Roman" w:eastAsia="Cambria" w:cs="Times New Roman"/>
                <w:color w:val="000000" w:themeColor="text1"/>
                <w:spacing w:val="-2"/>
                <w:w w:val="95"/>
                <w:sz w:val="20"/>
                <w:szCs w:val="20"/>
                <w:lang w:val="en-GB"/>
              </w:rPr>
              <w:t>0</w:t>
            </w:r>
          </w:p>
        </w:tc>
        <w:tc>
          <w:tcPr>
            <w:tcW w:w="8174" w:type="dxa"/>
            <w:tcBorders>
              <w:top w:val="single" w:color="1A171C" w:sz="4" w:space="0"/>
              <w:left w:val="single" w:color="1A171C" w:sz="4" w:space="0"/>
              <w:bottom w:val="single" w:color="1A171C" w:sz="4" w:space="0"/>
              <w:right w:val="nil"/>
            </w:tcBorders>
            <w:vAlign w:val="center"/>
          </w:tcPr>
          <w:p w:rsidRPr="00D43D39" w:rsidR="00C562FB" w:rsidP="00AE7D80" w:rsidRDefault="00FA6204" w14:paraId="788A07D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Country</w:t>
            </w:r>
          </w:p>
          <w:p w:rsidRPr="00BC38B6" w:rsidR="00E821AB" w:rsidP="4ABF549B" w:rsidRDefault="782FAEBA" w14:paraId="7C7C7939" w14:textId="77777777">
            <w:pPr>
              <w:spacing w:before="108"/>
              <w:ind w:left="85"/>
              <w:contextualSpacing/>
              <w:jc w:val="both"/>
              <w:rPr>
                <w:rFonts w:ascii="Times New Roman" w:hAnsi="Times New Roman" w:eastAsia="Cambria" w:cs="Times New Roman"/>
                <w:color w:val="000000" w:themeColor="text1"/>
                <w:spacing w:val="-2"/>
                <w:w w:val="95"/>
                <w:sz w:val="20"/>
                <w:szCs w:val="20"/>
              </w:rPr>
            </w:pPr>
            <w:r w:rsidRPr="4ABF549B">
              <w:rPr>
                <w:rFonts w:ascii="Times New Roman" w:hAnsi="Times New Roman" w:eastAsia="Cambria" w:cs="Times New Roman"/>
                <w:color w:val="000000" w:themeColor="text1"/>
                <w:sz w:val="20"/>
                <w:szCs w:val="20"/>
              </w:rPr>
              <w:t xml:space="preserve">The ISO 3166-1-alpha-2 code of the country of incorporation of the counterparty. This includes pseudo-ISO codes for international organisations, available in the last edition of the Eurostat`s “Balance of Payments Vademecum”. </w:t>
            </w:r>
          </w:p>
          <w:p w:rsidRPr="00D43D39" w:rsidR="00627D51" w:rsidP="00E821AB" w:rsidRDefault="00E821AB" w14:paraId="625B7502" w14:textId="417E4696">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The country is determined by reference to counterparty’s registered office. For groups of connected clients, the country of incorporation of the parent company.</w:t>
            </w:r>
          </w:p>
        </w:tc>
      </w:tr>
      <w:tr w:rsidRPr="00D43D39" w:rsidR="00D22EB0" w:rsidTr="4ABF549B" w14:paraId="22453A86" w14:textId="77777777">
        <w:tc>
          <w:tcPr>
            <w:tcW w:w="909" w:type="dxa"/>
            <w:tcBorders>
              <w:top w:val="single" w:color="1A171C" w:sz="4" w:space="0"/>
              <w:left w:val="nil"/>
              <w:bottom w:val="single" w:color="1A171C" w:sz="4" w:space="0"/>
              <w:right w:val="single" w:color="1A171C" w:sz="4" w:space="0"/>
            </w:tcBorders>
            <w:vAlign w:val="center"/>
          </w:tcPr>
          <w:p w:rsidRPr="00D43D39" w:rsidR="00627D51" w:rsidP="00AE7D80" w:rsidRDefault="00627D51" w14:paraId="6C9AB8E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C2719D">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5</w:t>
            </w:r>
            <w:r w:rsidRPr="00D43D39">
              <w:rPr>
                <w:rFonts w:ascii="Times New Roman" w:hAnsi="Times New Roman" w:eastAsia="Cambria" w:cs="Times New Roman"/>
                <w:color w:val="000000" w:themeColor="text1"/>
                <w:spacing w:val="-2"/>
                <w:w w:val="95"/>
                <w:sz w:val="20"/>
                <w:szCs w:val="20"/>
                <w:lang w:val="en-GB"/>
              </w:rPr>
              <w:t>0</w:t>
            </w:r>
          </w:p>
        </w:tc>
        <w:tc>
          <w:tcPr>
            <w:tcW w:w="8174" w:type="dxa"/>
            <w:tcBorders>
              <w:top w:val="single" w:color="1A171C" w:sz="4" w:space="0"/>
              <w:left w:val="single" w:color="1A171C" w:sz="4" w:space="0"/>
              <w:bottom w:val="single" w:color="1A171C" w:sz="4" w:space="0"/>
              <w:right w:val="nil"/>
            </w:tcBorders>
            <w:vAlign w:val="center"/>
          </w:tcPr>
          <w:p w:rsidRPr="00D43D39" w:rsidR="00627D51" w:rsidP="00627D51" w:rsidRDefault="00627D51" w14:paraId="06B4340A"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Sector</w:t>
            </w:r>
          </w:p>
          <w:p w:rsidRPr="00BC38B6" w:rsidR="00E821AB" w:rsidP="00E821AB" w:rsidRDefault="00E821AB" w14:paraId="5BD1383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One sector shall be allocated to every counterparty on the basis of FINREP economic sector classes (FINREP, Annex V, Part 1, chapter 6):</w:t>
            </w:r>
          </w:p>
          <w:p w:rsidRPr="00BC38B6" w:rsidR="00E821AB" w:rsidP="00E821AB" w:rsidRDefault="00E821AB" w14:paraId="0466C28B"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Central Banks</w:t>
            </w:r>
          </w:p>
          <w:p w:rsidRPr="00BC38B6" w:rsidR="00E821AB" w:rsidP="00E821AB" w:rsidRDefault="00E821AB" w14:paraId="75420E2F"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General Governments</w:t>
            </w:r>
          </w:p>
          <w:p w:rsidRPr="00BC38B6" w:rsidR="00E821AB" w:rsidP="00E821AB" w:rsidRDefault="00E821AB" w14:paraId="02270A0E"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 xml:space="preserve">Credit institutions: </w:t>
            </w:r>
          </w:p>
          <w:p w:rsidRPr="00BC38B6" w:rsidR="00E821AB" w:rsidP="00E821AB" w:rsidRDefault="00E821AB" w14:paraId="2EB95AA2"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Other financial corporations</w:t>
            </w:r>
          </w:p>
          <w:p w:rsidRPr="00BC38B6" w:rsidR="00E821AB" w:rsidP="00E821AB" w:rsidRDefault="00E821AB" w14:paraId="17D6BE64"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Non-financial corporations</w:t>
            </w:r>
          </w:p>
          <w:p w:rsidRPr="00BC38B6" w:rsidR="00E821AB" w:rsidP="00E821AB" w:rsidRDefault="00E821AB" w14:paraId="2452BC06" w14:textId="77777777">
            <w:pPr>
              <w:pStyle w:val="List1"/>
              <w:numPr>
                <w:ilvl w:val="0"/>
                <w:numId w:val="64"/>
              </w:numPr>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Households</w:t>
            </w:r>
          </w:p>
          <w:p w:rsidRPr="00D43D39" w:rsidR="00627D51" w:rsidP="00E821AB" w:rsidRDefault="00E821AB" w14:paraId="4A3D0713" w14:textId="098BCF2E">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BC38B6">
              <w:rPr>
                <w:rFonts w:ascii="Times New Roman" w:hAnsi="Times New Roman" w:eastAsia="Cambria" w:cs="Times New Roman"/>
                <w:color w:val="000000" w:themeColor="text1"/>
                <w:spacing w:val="-2"/>
                <w:w w:val="95"/>
                <w:sz w:val="20"/>
                <w:szCs w:val="20"/>
                <w:lang w:val="en-GB"/>
              </w:rPr>
              <w:t>For groups of connected clients, no sector shall be reported.</w:t>
            </w:r>
          </w:p>
        </w:tc>
      </w:tr>
      <w:tr w:rsidRPr="00D43D39" w:rsidR="00D22EB0" w:rsidTr="4ABF549B" w14:paraId="49280F5A" w14:textId="77777777">
        <w:tc>
          <w:tcPr>
            <w:tcW w:w="909" w:type="dxa"/>
            <w:tcBorders>
              <w:top w:val="single" w:color="1A171C" w:sz="4" w:space="0"/>
              <w:left w:val="nil"/>
              <w:bottom w:val="single" w:color="1A171C" w:sz="4" w:space="0"/>
              <w:right w:val="single" w:color="1A171C" w:sz="4" w:space="0"/>
            </w:tcBorders>
            <w:vAlign w:val="center"/>
          </w:tcPr>
          <w:p w:rsidRPr="00D43D39" w:rsidR="00627D51" w:rsidP="00AE7D80" w:rsidRDefault="00627D51" w14:paraId="54E2D94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C2719D">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6</w:t>
            </w:r>
            <w:r w:rsidRPr="00D43D39">
              <w:rPr>
                <w:rFonts w:ascii="Times New Roman" w:hAnsi="Times New Roman" w:eastAsia="Cambria" w:cs="Times New Roman"/>
                <w:color w:val="000000" w:themeColor="text1"/>
                <w:spacing w:val="-2"/>
                <w:w w:val="95"/>
                <w:sz w:val="20"/>
                <w:szCs w:val="20"/>
                <w:lang w:val="en-GB"/>
              </w:rPr>
              <w:t>0</w:t>
            </w:r>
          </w:p>
        </w:tc>
        <w:tc>
          <w:tcPr>
            <w:tcW w:w="8174" w:type="dxa"/>
            <w:tcBorders>
              <w:top w:val="single" w:color="1A171C" w:sz="4" w:space="0"/>
              <w:left w:val="single" w:color="1A171C" w:sz="4" w:space="0"/>
              <w:bottom w:val="single" w:color="1A171C" w:sz="4" w:space="0"/>
              <w:right w:val="nil"/>
            </w:tcBorders>
            <w:vAlign w:val="center"/>
          </w:tcPr>
          <w:p w:rsidRPr="00D43D39" w:rsidR="00627D51" w:rsidP="00627D51" w:rsidRDefault="00627D51" w14:paraId="1DB583C2"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w:t>
            </w:r>
          </w:p>
          <w:p w:rsidRPr="00D43D39" w:rsidR="00627D51" w:rsidP="00532D56" w:rsidRDefault="00627D51" w14:paraId="578C6797"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type of off-balance sheet exposure shall be </w:t>
            </w:r>
            <w:r w:rsidRPr="00D43D39" w:rsidR="00532D56">
              <w:rPr>
                <w:rFonts w:ascii="Times New Roman" w:hAnsi="Times New Roman" w:eastAsia="Cambria" w:cs="Times New Roman"/>
                <w:color w:val="000000" w:themeColor="text1"/>
                <w:spacing w:val="-2"/>
                <w:w w:val="95"/>
                <w:sz w:val="20"/>
                <w:szCs w:val="20"/>
                <w:lang w:val="en-GB"/>
              </w:rPr>
              <w:t>one of the following</w:t>
            </w:r>
            <w:r w:rsidRPr="00D43D39">
              <w:rPr>
                <w:rFonts w:ascii="Times New Roman" w:hAnsi="Times New Roman" w:eastAsia="Cambria" w:cs="Times New Roman"/>
                <w:color w:val="000000" w:themeColor="text1"/>
                <w:spacing w:val="-2"/>
                <w:w w:val="95"/>
                <w:sz w:val="20"/>
                <w:szCs w:val="20"/>
                <w:lang w:val="en-GB"/>
              </w:rPr>
              <w:t xml:space="preserve"> </w:t>
            </w:r>
            <w:r w:rsidRPr="00D43D39" w:rsidR="00532D56">
              <w:rPr>
                <w:rFonts w:ascii="Times New Roman" w:hAnsi="Times New Roman" w:eastAsia="Cambria" w:cs="Times New Roman"/>
                <w:color w:val="000000" w:themeColor="text1"/>
                <w:spacing w:val="-2"/>
                <w:w w:val="95"/>
                <w:sz w:val="20"/>
                <w:szCs w:val="20"/>
                <w:lang w:val="en-GB"/>
              </w:rPr>
              <w:t>as defined in</w:t>
            </w:r>
            <w:r w:rsidRPr="00D43D39">
              <w:rPr>
                <w:rFonts w:ascii="Times New Roman" w:hAnsi="Times New Roman" w:eastAsia="Cambria" w:cs="Times New Roman"/>
                <w:color w:val="000000" w:themeColor="text1"/>
                <w:spacing w:val="-2"/>
                <w:w w:val="95"/>
                <w:sz w:val="20"/>
                <w:szCs w:val="20"/>
                <w:lang w:val="en-GB"/>
              </w:rPr>
              <w:t xml:space="preserve"> FINREP</w:t>
            </w:r>
            <w:r w:rsidRPr="00D43D39" w:rsidR="00532D56">
              <w:rPr>
                <w:rFonts w:ascii="Times New Roman" w:hAnsi="Times New Roman" w:eastAsia="Cambria" w:cs="Times New Roman"/>
                <w:color w:val="000000" w:themeColor="text1"/>
                <w:spacing w:val="-2"/>
                <w:w w:val="95"/>
                <w:sz w:val="20"/>
                <w:szCs w:val="20"/>
                <w:lang w:val="en-GB"/>
              </w:rPr>
              <w:t>, template</w:t>
            </w:r>
            <w:r w:rsidRPr="00D43D39">
              <w:rPr>
                <w:rFonts w:ascii="Times New Roman" w:hAnsi="Times New Roman" w:eastAsia="Cambria" w:cs="Times New Roman"/>
                <w:color w:val="000000" w:themeColor="text1"/>
                <w:spacing w:val="-2"/>
                <w:w w:val="95"/>
                <w:sz w:val="20"/>
                <w:szCs w:val="20"/>
                <w:lang w:val="en-GB"/>
              </w:rPr>
              <w:t xml:space="preserve"> F</w:t>
            </w:r>
            <w:r w:rsidRPr="00D43D39" w:rsidR="00532D56">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09.02:</w:t>
            </w:r>
          </w:p>
          <w:p w:rsidRPr="00D43D39" w:rsidR="00532D56" w:rsidP="00532D56" w:rsidRDefault="00532D56" w14:paraId="406EFBF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OBS.1</w:t>
            </w:r>
            <w:r w:rsidRPr="00D43D39">
              <w:rPr>
                <w:rFonts w:ascii="Times New Roman" w:hAnsi="Times New Roman" w:eastAsia="Cambria" w:cs="Times New Roman"/>
                <w:color w:val="000000" w:themeColor="text1"/>
                <w:spacing w:val="-2"/>
                <w:w w:val="95"/>
                <w:sz w:val="20"/>
                <w:szCs w:val="20"/>
                <w:lang w:val="en-GB"/>
              </w:rPr>
              <w:tab/>
            </w:r>
            <w:r w:rsidRPr="00D43D39" w:rsidR="00627D51">
              <w:rPr>
                <w:rFonts w:ascii="Times New Roman" w:hAnsi="Times New Roman" w:eastAsia="Cambria" w:cs="Times New Roman"/>
                <w:color w:val="000000" w:themeColor="text1"/>
                <w:spacing w:val="-2"/>
                <w:w w:val="95"/>
                <w:sz w:val="20"/>
                <w:szCs w:val="20"/>
                <w:lang w:val="en-GB"/>
              </w:rPr>
              <w:t>Loan commitments received</w:t>
            </w:r>
          </w:p>
          <w:p w:rsidRPr="00D43D39" w:rsidR="00532D56" w:rsidP="00532D56" w:rsidRDefault="00532D56" w14:paraId="7CC468E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OBS.2</w:t>
            </w:r>
            <w:r w:rsidRPr="00D43D39">
              <w:rPr>
                <w:rFonts w:ascii="Times New Roman" w:hAnsi="Times New Roman" w:eastAsia="Cambria" w:cs="Times New Roman"/>
                <w:color w:val="000000" w:themeColor="text1"/>
                <w:spacing w:val="-2"/>
                <w:w w:val="95"/>
                <w:sz w:val="20"/>
                <w:szCs w:val="20"/>
                <w:lang w:val="en-GB"/>
              </w:rPr>
              <w:tab/>
            </w:r>
            <w:r w:rsidRPr="00D43D39" w:rsidR="00627D51">
              <w:rPr>
                <w:rFonts w:ascii="Times New Roman" w:hAnsi="Times New Roman" w:eastAsia="Cambria" w:cs="Times New Roman"/>
                <w:color w:val="000000" w:themeColor="text1"/>
                <w:spacing w:val="-2"/>
                <w:w w:val="95"/>
                <w:sz w:val="20"/>
                <w:szCs w:val="20"/>
                <w:lang w:val="en-GB"/>
              </w:rPr>
              <w:t>Financial guarantees received</w:t>
            </w:r>
          </w:p>
          <w:p w:rsidRPr="00D43D39" w:rsidR="00627D51" w:rsidP="00532D56" w:rsidRDefault="1A61EFA4" w14:paraId="15FA292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OBS.3</w:t>
            </w:r>
            <w:r w:rsidRPr="00D43D39" w:rsidR="00532D56">
              <w:rPr>
                <w:rFonts w:ascii="Times New Roman" w:hAnsi="Times New Roman" w:eastAsia="Cambria" w:cs="Times New Roman"/>
                <w:color w:val="000000" w:themeColor="text1"/>
                <w:spacing w:val="-2"/>
                <w:w w:val="95"/>
                <w:sz w:val="20"/>
                <w:szCs w:val="20"/>
                <w:lang w:val="en-GB"/>
              </w:rPr>
              <w:tab/>
            </w:r>
            <w:r w:rsidRPr="00D43D39" w:rsidR="3899C783">
              <w:rPr>
                <w:rFonts w:ascii="Times New Roman" w:hAnsi="Times New Roman" w:eastAsia="Cambria" w:cs="Times New Roman"/>
                <w:color w:val="000000" w:themeColor="text1"/>
                <w:spacing w:val="-2"/>
                <w:w w:val="95"/>
                <w:sz w:val="20"/>
                <w:szCs w:val="20"/>
                <w:lang w:val="en-GB"/>
              </w:rPr>
              <w:t>Other commitments received</w:t>
            </w:r>
          </w:p>
          <w:p w:rsidRPr="00D43D39" w:rsidR="2CA57CCE" w:rsidP="5E2F2DB1" w:rsidRDefault="2CA57CCE" w14:paraId="71A99328" w14:textId="7741224E">
            <w:pPr>
              <w:pStyle w:val="TableParagraph"/>
              <w:spacing w:before="108"/>
              <w:ind w:left="85"/>
              <w:jc w:val="both"/>
              <w:rPr>
                <w:rFonts w:ascii="Times New Roman" w:hAnsi="Times New Roman" w:eastAsia="Cambria"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[SRB] OBS.4  Derivatives</w:t>
            </w:r>
          </w:p>
          <w:p w:rsidRPr="00D43D39" w:rsidR="007514EE" w:rsidP="001F7600" w:rsidRDefault="007514EE" w14:paraId="3909D47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If the off-balance sheet items re</w:t>
            </w:r>
            <w:r w:rsidRPr="00D43D39" w:rsidR="001F7600">
              <w:rPr>
                <w:rFonts w:ascii="Times New Roman" w:hAnsi="Times New Roman" w:eastAsia="Cambria" w:cs="Times New Roman"/>
                <w:color w:val="000000" w:themeColor="text1"/>
                <w:spacing w:val="-2"/>
                <w:w w:val="95"/>
                <w:sz w:val="20"/>
                <w:szCs w:val="20"/>
                <w:lang w:val="en-GB"/>
              </w:rPr>
              <w:t xml:space="preserve">ceived from a major </w:t>
            </w:r>
            <w:r w:rsidRPr="00D43D39" w:rsidR="00C2719D">
              <w:rPr>
                <w:rFonts w:ascii="Times New Roman" w:hAnsi="Times New Roman" w:eastAsia="Cambria" w:cs="Times New Roman"/>
                <w:color w:val="000000" w:themeColor="text1"/>
                <w:spacing w:val="-2"/>
                <w:w w:val="95"/>
                <w:sz w:val="20"/>
                <w:szCs w:val="20"/>
                <w:lang w:val="en-GB"/>
              </w:rPr>
              <w:t>counterparty c</w:t>
            </w:r>
            <w:r w:rsidRPr="00D43D39">
              <w:rPr>
                <w:rFonts w:ascii="Times New Roman" w:hAnsi="Times New Roman" w:eastAsia="Cambria" w:cs="Times New Roman"/>
                <w:color w:val="000000" w:themeColor="text1"/>
                <w:spacing w:val="-2"/>
                <w:w w:val="95"/>
                <w:sz w:val="20"/>
                <w:szCs w:val="20"/>
                <w:lang w:val="en-GB"/>
              </w:rPr>
              <w:t xml:space="preserve">onsist of more than one of the types mentioned above, </w:t>
            </w:r>
            <w:r w:rsidRPr="00D43D39" w:rsidR="00FB1FB9">
              <w:rPr>
                <w:rFonts w:ascii="Times New Roman" w:hAnsi="Times New Roman" w:eastAsia="Cambria" w:cs="Times New Roman"/>
                <w:color w:val="000000" w:themeColor="text1"/>
                <w:spacing w:val="-2"/>
                <w:w w:val="95"/>
                <w:sz w:val="20"/>
                <w:szCs w:val="20"/>
                <w:lang w:val="en-GB"/>
              </w:rPr>
              <w:t xml:space="preserve">each type of </w:t>
            </w:r>
            <w:r w:rsidRPr="00D43D39">
              <w:rPr>
                <w:rFonts w:ascii="Times New Roman" w:hAnsi="Times New Roman" w:eastAsia="Cambria" w:cs="Times New Roman"/>
                <w:color w:val="000000" w:themeColor="text1"/>
                <w:spacing w:val="-2"/>
                <w:w w:val="95"/>
                <w:sz w:val="20"/>
                <w:szCs w:val="20"/>
                <w:lang w:val="en-GB"/>
              </w:rPr>
              <w:t>off-balance sheet</w:t>
            </w:r>
            <w:r w:rsidRPr="00D43D39" w:rsidR="00FB1FB9">
              <w:rPr>
                <w:rFonts w:ascii="Times New Roman" w:hAnsi="Times New Roman" w:eastAsia="Cambria" w:cs="Times New Roman"/>
                <w:color w:val="000000" w:themeColor="text1"/>
                <w:spacing w:val="-2"/>
                <w:w w:val="95"/>
                <w:sz w:val="20"/>
                <w:szCs w:val="20"/>
                <w:lang w:val="en-GB"/>
              </w:rPr>
              <w:t xml:space="preserve"> item shall be </w:t>
            </w:r>
            <w:r w:rsidRPr="00D43D39">
              <w:rPr>
                <w:rFonts w:ascii="Times New Roman" w:hAnsi="Times New Roman" w:eastAsia="Cambria" w:cs="Times New Roman"/>
                <w:color w:val="000000" w:themeColor="text1"/>
                <w:spacing w:val="-2"/>
                <w:w w:val="95"/>
                <w:sz w:val="20"/>
                <w:szCs w:val="20"/>
                <w:lang w:val="en-GB"/>
              </w:rPr>
              <w:t>reported</w:t>
            </w:r>
            <w:r w:rsidRPr="00D43D39" w:rsidR="00FB1FB9">
              <w:rPr>
                <w:rFonts w:ascii="Times New Roman" w:hAnsi="Times New Roman" w:eastAsia="Cambria" w:cs="Times New Roman"/>
                <w:color w:val="000000" w:themeColor="text1"/>
                <w:spacing w:val="-2"/>
                <w:w w:val="95"/>
                <w:sz w:val="20"/>
                <w:szCs w:val="20"/>
                <w:lang w:val="en-GB"/>
              </w:rPr>
              <w:t xml:space="preserve"> in a separate row</w:t>
            </w:r>
            <w:r w:rsidRPr="00D43D39">
              <w:rPr>
                <w:rFonts w:ascii="Times New Roman" w:hAnsi="Times New Roman" w:eastAsia="Cambria" w:cs="Times New Roman"/>
                <w:color w:val="000000" w:themeColor="text1"/>
                <w:spacing w:val="-2"/>
                <w:w w:val="95"/>
                <w:sz w:val="20"/>
                <w:szCs w:val="20"/>
                <w:lang w:val="en-GB"/>
              </w:rPr>
              <w:t>.</w:t>
            </w:r>
          </w:p>
        </w:tc>
      </w:tr>
      <w:tr w:rsidRPr="00D43D39" w:rsidR="00D22EB0" w:rsidTr="4ABF549B" w14:paraId="595C3FE8" w14:textId="77777777">
        <w:tc>
          <w:tcPr>
            <w:tcW w:w="909" w:type="dxa"/>
            <w:tcBorders>
              <w:top w:val="single" w:color="1A171C" w:sz="4" w:space="0"/>
              <w:left w:val="nil"/>
              <w:bottom w:val="single" w:color="1A171C" w:sz="4" w:space="0"/>
              <w:right w:val="single" w:color="1A171C" w:sz="4" w:space="0"/>
            </w:tcBorders>
            <w:vAlign w:val="center"/>
          </w:tcPr>
          <w:p w:rsidRPr="00D43D39" w:rsidR="00627D51" w:rsidP="00AE7D80" w:rsidRDefault="004672BA" w14:paraId="20E1C5CA"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627D51">
              <w:rPr>
                <w:rFonts w:ascii="Times New Roman" w:hAnsi="Times New Roman" w:eastAsia="Cambria" w:cs="Times New Roman"/>
                <w:color w:val="000000" w:themeColor="text1"/>
                <w:spacing w:val="-2"/>
                <w:w w:val="95"/>
                <w:sz w:val="20"/>
                <w:szCs w:val="20"/>
                <w:lang w:val="en-GB"/>
              </w:rPr>
              <w:t>0</w:t>
            </w:r>
            <w:r w:rsidRPr="00D43D39" w:rsidR="00FB1FB9">
              <w:rPr>
                <w:rFonts w:ascii="Times New Roman" w:hAnsi="Times New Roman" w:eastAsia="Cambria" w:cs="Times New Roman"/>
                <w:color w:val="000000" w:themeColor="text1"/>
                <w:spacing w:val="-2"/>
                <w:w w:val="95"/>
                <w:sz w:val="20"/>
                <w:szCs w:val="20"/>
                <w:lang w:val="en-GB"/>
              </w:rPr>
              <w:t>7</w:t>
            </w:r>
            <w:r w:rsidRPr="00D43D39" w:rsidR="00627D51">
              <w:rPr>
                <w:rFonts w:ascii="Times New Roman" w:hAnsi="Times New Roman" w:eastAsia="Cambria" w:cs="Times New Roman"/>
                <w:color w:val="000000" w:themeColor="text1"/>
                <w:spacing w:val="-2"/>
                <w:w w:val="95"/>
                <w:sz w:val="20"/>
                <w:szCs w:val="20"/>
                <w:lang w:val="en-GB"/>
              </w:rPr>
              <w:t>0</w:t>
            </w:r>
          </w:p>
        </w:tc>
        <w:tc>
          <w:tcPr>
            <w:tcW w:w="8174" w:type="dxa"/>
            <w:tcBorders>
              <w:top w:val="single" w:color="1A171C" w:sz="4" w:space="0"/>
              <w:left w:val="single" w:color="1A171C" w:sz="4" w:space="0"/>
              <w:bottom w:val="single" w:color="1A171C" w:sz="4" w:space="0"/>
              <w:right w:val="nil"/>
            </w:tcBorders>
            <w:vAlign w:val="center"/>
          </w:tcPr>
          <w:p w:rsidR="00486C71" w:rsidP="00486C71" w:rsidRDefault="00627D51" w14:paraId="2160A5F1"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Amount </w:t>
            </w:r>
          </w:p>
          <w:p w:rsidRPr="00D43D39" w:rsidR="00E821AB" w:rsidP="00486C71" w:rsidRDefault="00E821AB" w14:paraId="106DA4E9" w14:textId="13CAD9C8">
            <w:pPr>
              <w:pStyle w:val="TableParagraph"/>
              <w:spacing w:before="108"/>
              <w:ind w:left="85"/>
              <w:jc w:val="both"/>
              <w:rPr>
                <w:rFonts w:ascii="Times New Roman" w:hAnsi="Times New Roman" w:cs="Times New Roman"/>
                <w:bCs/>
                <w:color w:val="000000" w:themeColor="text1"/>
                <w:sz w:val="20"/>
                <w:szCs w:val="20"/>
                <w:lang w:val="en-GB"/>
              </w:rPr>
            </w:pPr>
            <w:r w:rsidRPr="00BC38B6">
              <w:rPr>
                <w:rFonts w:ascii="Times New Roman" w:hAnsi="Times New Roman" w:eastAsia="Cambria" w:cs="Times New Roman"/>
                <w:color w:val="000000" w:themeColor="text1"/>
                <w:spacing w:val="-2"/>
                <w:w w:val="95"/>
                <w:sz w:val="20"/>
                <w:szCs w:val="20"/>
                <w:lang w:val="en-GB"/>
              </w:rPr>
              <w:t>The amount shall be equivalent to the definition of an ‘outstanding amount’ as prescribed for in template Z 02.00 - Liability Structure. In case of liabilities arising from derivatives (type L.3), the close-out amounts as defined for the purposes of row 0333 template Z 02.00 shall be reported.</w:t>
            </w:r>
          </w:p>
        </w:tc>
      </w:tr>
    </w:tbl>
    <w:p w:rsidRPr="00D43D39" w:rsidR="00241763" w:rsidP="0056559D" w:rsidRDefault="00241763" w14:paraId="430C8923" w14:textId="77777777">
      <w:pPr>
        <w:rPr>
          <w:rFonts w:ascii="Times New Roman" w:hAnsi="Times New Roman" w:cs="Times New Roman"/>
          <w:color w:val="000000" w:themeColor="text1"/>
          <w:sz w:val="20"/>
          <w:szCs w:val="20"/>
          <w:lang w:val="en-GB"/>
        </w:rPr>
      </w:pPr>
    </w:p>
    <w:p w:rsidRPr="005F5507" w:rsidR="38B87F28" w:rsidP="38B87F28" w:rsidRDefault="38B87F28" w14:paraId="1EAACA14" w14:textId="0946AAB3">
      <w:pPr>
        <w:rPr>
          <w:rFonts w:ascii="Times New Roman" w:hAnsi="Times New Roman" w:eastAsia="MS Mincho" w:cs="Times New Roman"/>
          <w:color w:val="000000" w:themeColor="text1"/>
          <w:sz w:val="20"/>
          <w:szCs w:val="20"/>
          <w:lang w:val="en-GB"/>
        </w:rPr>
      </w:pPr>
    </w:p>
    <w:p w:rsidRPr="00D43D39" w:rsidR="00E13CE3" w:rsidP="0A1E4F91" w:rsidRDefault="00F7117F" w14:paraId="52F5E618" w14:textId="11B77785">
      <w:pPr>
        <w:pStyle w:val="Instructionsberschrift2"/>
        <w:numPr>
          <w:ilvl w:val="1"/>
          <w:numId w:val="49"/>
        </w:numPr>
        <w:ind w:left="357" w:hanging="357"/>
        <w:rPr>
          <w:rFonts w:ascii="Times New Roman" w:hAnsi="Times New Roman" w:cs="Times New Roman"/>
        </w:rPr>
      </w:pPr>
      <w:bookmarkStart w:name="_Toc164271339" w:id="71"/>
      <w:bookmarkStart w:name="_Toc164271391" w:id="72"/>
      <w:bookmarkStart w:name="_Toc167799457" w:id="73"/>
      <w:bookmarkStart w:name="_Toc172723013" w:id="74"/>
      <w:bookmarkStart w:name="_Toc172723111" w:id="75"/>
      <w:bookmarkStart w:name="_Toc172723205" w:id="76"/>
      <w:bookmarkStart w:name="_Toc172723349" w:id="77"/>
      <w:bookmarkStart w:name="_Toc172723401" w:id="78"/>
      <w:bookmarkStart w:name="_Toc172723459" w:id="79"/>
      <w:bookmarkStart w:name="_Toc172723526" w:id="80"/>
      <w:bookmarkStart w:name="_Toc164271340" w:id="81"/>
      <w:bookmarkStart w:name="_Toc164271392" w:id="82"/>
      <w:bookmarkStart w:name="_Toc167799458" w:id="83"/>
      <w:bookmarkStart w:name="_Toc172723014" w:id="84"/>
      <w:bookmarkStart w:name="_Toc172723112" w:id="85"/>
      <w:bookmarkStart w:name="_Toc172723206" w:id="86"/>
      <w:bookmarkStart w:name="_Toc172723350" w:id="87"/>
      <w:bookmarkStart w:name="_Toc172723402" w:id="88"/>
      <w:bookmarkStart w:name="_Toc172723460" w:id="89"/>
      <w:bookmarkStart w:name="_Toc172723527" w:id="90"/>
      <w:bookmarkStart w:name="_Toc492542326" w:id="91"/>
      <w:bookmarkStart w:name="_Toc160027685" w:id="92"/>
      <w:bookmarkStart w:name="_Toc160027756" w:id="93"/>
      <w:bookmarkStart w:name="_Toc160027839" w:id="94"/>
      <w:bookmarkStart w:name="_Toc172732230" w:id="9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D43D39">
        <w:rPr>
          <w:rFonts w:ascii="Times New Roman" w:hAnsi="Times New Roman" w:cs="Times New Roman"/>
        </w:rPr>
        <w:t>Z 06.00 - D</w:t>
      </w:r>
      <w:r w:rsidRPr="00B94029">
        <w:rPr>
          <w:rFonts w:ascii="Times New Roman" w:hAnsi="Times New Roman" w:cs="Times New Roman"/>
        </w:rPr>
        <w:t>eposit insurance (</w:t>
      </w:r>
      <w:r w:rsidR="00C02CEB">
        <w:rPr>
          <w:rFonts w:ascii="Times New Roman" w:hAnsi="Times New Roman" w:cs="Times New Roman"/>
        </w:rPr>
        <w:t>LIAB 7</w:t>
      </w:r>
      <w:r w:rsidRPr="00B94029">
        <w:rPr>
          <w:rFonts w:ascii="Times New Roman" w:hAnsi="Times New Roman" w:cs="Times New Roman"/>
        </w:rPr>
        <w:t>)</w:t>
      </w:r>
      <w:bookmarkEnd w:id="91"/>
      <w:bookmarkEnd w:id="92"/>
      <w:bookmarkEnd w:id="93"/>
      <w:bookmarkEnd w:id="94"/>
      <w:bookmarkEnd w:id="95"/>
    </w:p>
    <w:p w:rsidRPr="00D43D39" w:rsidR="008F7980" w:rsidP="00715DAB" w:rsidRDefault="006A7DCF" w14:paraId="3E891384" w14:textId="77777777">
      <w:pPr>
        <w:pStyle w:val="Instructionsberschrift3"/>
        <w:rPr>
          <w:lang w:val="en-GB"/>
        </w:rPr>
      </w:pPr>
      <w:r w:rsidRPr="00D43D39">
        <w:rPr>
          <w:lang w:val="en-GB"/>
        </w:rPr>
        <w:t>General remarks</w:t>
      </w:r>
    </w:p>
    <w:p w:rsidRPr="00D43D39" w:rsidR="0076289A" w:rsidP="00715DAB" w:rsidRDefault="00DF64E1" w14:paraId="2BBE7EE7" w14:textId="77777777">
      <w:pPr>
        <w:pStyle w:val="InstructionsText2"/>
        <w:numPr>
          <w:ilvl w:val="0"/>
          <w:numId w:val="71"/>
        </w:numPr>
        <w:spacing w:before="0"/>
        <w:ind w:left="714" w:hanging="357"/>
        <w:rPr>
          <w:rFonts w:ascii="Times New Roman" w:hAnsi="Times New Roman" w:cs="Times New Roman"/>
          <w:sz w:val="20"/>
          <w:szCs w:val="20"/>
          <w:lang w:val="en-GB"/>
        </w:rPr>
      </w:pPr>
      <w:r w:rsidRPr="00D43D39">
        <w:rPr>
          <w:rFonts w:ascii="Times New Roman" w:hAnsi="Times New Roman" w:cs="Times New Roman"/>
          <w:sz w:val="20"/>
          <w:szCs w:val="20"/>
          <w:lang w:val="en-GB"/>
        </w:rPr>
        <w:t>This template provides an overview of deposits insurance within a group and the Deposit Guarantee Schemes of which credit institutions which are relevant legal entities are a member.</w:t>
      </w:r>
    </w:p>
    <w:p w:rsidRPr="00D43D39" w:rsidR="000C2D75" w:rsidP="00715DAB" w:rsidRDefault="0057049E" w14:paraId="4617367D" w14:textId="77777777">
      <w:pPr>
        <w:pStyle w:val="InstructionsText2"/>
        <w:numPr>
          <w:ilvl w:val="0"/>
          <w:numId w:val="71"/>
        </w:numPr>
        <w:spacing w:before="0"/>
        <w:ind w:left="714" w:hanging="357"/>
        <w:rPr>
          <w:rFonts w:ascii="Times New Roman" w:hAnsi="Times New Roman" w:cs="Times New Roman"/>
          <w:sz w:val="20"/>
          <w:szCs w:val="20"/>
          <w:lang w:val="en-GB"/>
        </w:rPr>
      </w:pPr>
      <w:r w:rsidRPr="00D43D39">
        <w:rPr>
          <w:rFonts w:ascii="Times New Roman" w:hAnsi="Times New Roman" w:cs="Times New Roman"/>
          <w:sz w:val="20"/>
          <w:szCs w:val="20"/>
          <w:lang w:val="en-GB"/>
        </w:rPr>
        <w:t>Every credit institution belonging to the group shall be reported in a separate row.</w:t>
      </w:r>
    </w:p>
    <w:p w:rsidRPr="00D43D39" w:rsidR="006A7DCF" w:rsidP="005F5507" w:rsidRDefault="006A7DCF" w14:paraId="039239B2" w14:textId="77777777">
      <w:pPr>
        <w:pStyle w:val="Instructionsberschrift3"/>
        <w:numPr>
          <w:ilvl w:val="0"/>
          <w:numId w:val="0"/>
        </w:numPr>
        <w:ind w:left="720"/>
        <w:rPr>
          <w:lang w:val="en-GB"/>
        </w:rPr>
      </w:pPr>
      <w:r w:rsidRPr="00D43D39">
        <w:rPr>
          <w:lang w:val="en-GB"/>
        </w:rPr>
        <w:t>Instructions concerning specific positions</w:t>
      </w: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Pr="00D43D39" w:rsidR="00D22EB0" w:rsidTr="1B49DE8E" w14:paraId="79752D49" w14:textId="77777777">
        <w:tc>
          <w:tcPr>
            <w:tcW w:w="1191" w:type="dxa"/>
            <w:tcBorders>
              <w:top w:val="single" w:color="1A171C" w:sz="4" w:space="0"/>
              <w:left w:val="nil"/>
              <w:bottom w:val="single" w:color="1A171C" w:sz="4" w:space="0"/>
              <w:right w:val="single" w:color="1A171C" w:sz="4" w:space="0"/>
            </w:tcBorders>
            <w:shd w:val="clear" w:color="auto" w:fill="E4E5E5"/>
          </w:tcPr>
          <w:p w:rsidRPr="00D43D39" w:rsidR="0057049E" w:rsidP="00AE7D80" w:rsidRDefault="0057049E" w14:paraId="1BBC24CD"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Columns</w:t>
            </w:r>
          </w:p>
        </w:tc>
        <w:tc>
          <w:tcPr>
            <w:tcW w:w="7892" w:type="dxa"/>
            <w:tcBorders>
              <w:top w:val="single" w:color="1A171C" w:sz="4" w:space="0"/>
              <w:left w:val="single" w:color="1A171C" w:sz="4" w:space="0"/>
              <w:bottom w:val="single" w:color="1A171C" w:sz="4" w:space="0"/>
              <w:right w:val="nil"/>
            </w:tcBorders>
            <w:shd w:val="clear" w:color="auto" w:fill="E4E5E5"/>
          </w:tcPr>
          <w:p w:rsidRPr="00D43D39" w:rsidR="0057049E" w:rsidP="00AE7D80" w:rsidRDefault="0057049E" w14:paraId="1BDC9CB9"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D22EB0" w:rsidTr="1B49DE8E" w14:paraId="47F976A6" w14:textId="77777777">
        <w:tc>
          <w:tcPr>
            <w:tcW w:w="1191" w:type="dxa"/>
            <w:tcBorders>
              <w:top w:val="single" w:color="1A171C" w:sz="4" w:space="0"/>
              <w:left w:val="nil"/>
              <w:bottom w:val="single" w:color="1A171C" w:sz="4" w:space="0"/>
              <w:right w:val="single" w:color="1A171C" w:sz="4" w:space="0"/>
            </w:tcBorders>
          </w:tcPr>
          <w:p w:rsidRPr="00D43D39" w:rsidR="0057049E" w:rsidP="0057049E" w:rsidRDefault="0057049E" w14:paraId="1F573FA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193452">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10-</w:t>
            </w:r>
            <w:r w:rsidRPr="00D43D39" w:rsidR="00193452">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020</w:t>
            </w:r>
          </w:p>
        </w:tc>
        <w:tc>
          <w:tcPr>
            <w:tcW w:w="7892" w:type="dxa"/>
            <w:tcBorders>
              <w:top w:val="single" w:color="1A171C" w:sz="4" w:space="0"/>
              <w:left w:val="single" w:color="1A171C" w:sz="4" w:space="0"/>
              <w:bottom w:val="single" w:color="1A171C" w:sz="4" w:space="0"/>
              <w:right w:val="nil"/>
            </w:tcBorders>
          </w:tcPr>
          <w:p w:rsidRPr="00D43D39" w:rsidR="0057049E" w:rsidP="00167158" w:rsidRDefault="00167158" w14:paraId="7132E148" w14:textId="02657D79">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Legal e</w:t>
            </w:r>
            <w:r w:rsidRPr="00D43D39" w:rsidR="0057049E">
              <w:rPr>
                <w:rFonts w:ascii="Times New Roman" w:hAnsi="Times New Roman" w:cs="Times New Roman"/>
                <w:b/>
                <w:bCs/>
                <w:color w:val="000000" w:themeColor="text1"/>
                <w:sz w:val="20"/>
                <w:szCs w:val="20"/>
                <w:lang w:val="en-GB"/>
              </w:rPr>
              <w:t>ntity</w:t>
            </w:r>
          </w:p>
        </w:tc>
      </w:tr>
      <w:tr w:rsidRPr="00D43D39" w:rsidR="00D22EB0" w:rsidTr="1B49DE8E" w14:paraId="3BE63986" w14:textId="77777777">
        <w:tc>
          <w:tcPr>
            <w:tcW w:w="1191" w:type="dxa"/>
            <w:tcBorders>
              <w:top w:val="single" w:color="1A171C" w:sz="4" w:space="0"/>
              <w:left w:val="nil"/>
              <w:bottom w:val="single" w:color="1A171C" w:sz="4" w:space="0"/>
              <w:right w:val="single" w:color="1A171C" w:sz="4" w:space="0"/>
            </w:tcBorders>
          </w:tcPr>
          <w:p w:rsidRPr="00D43D39" w:rsidR="0057049E" w:rsidP="00AE7D80" w:rsidRDefault="0057049E" w14:paraId="4849A2E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193452">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10</w:t>
            </w:r>
          </w:p>
        </w:tc>
        <w:tc>
          <w:tcPr>
            <w:tcW w:w="7892" w:type="dxa"/>
            <w:tcBorders>
              <w:top w:val="single" w:color="1A171C" w:sz="4" w:space="0"/>
              <w:left w:val="single" w:color="1A171C" w:sz="4" w:space="0"/>
              <w:bottom w:val="single" w:color="1A171C" w:sz="4" w:space="0"/>
              <w:right w:val="nil"/>
            </w:tcBorders>
          </w:tcPr>
          <w:p w:rsidRPr="00D43D39" w:rsidR="0057049E" w:rsidP="0057049E" w:rsidRDefault="0057049E" w14:paraId="4BFC827D"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Entity Name</w:t>
            </w:r>
          </w:p>
          <w:p w:rsidRPr="00D43D39" w:rsidR="0057049E" w:rsidP="004F4694" w:rsidRDefault="0057049E" w14:paraId="3126E32E" w14:textId="49D61D3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name of the entity as reported in </w:t>
            </w:r>
            <w:r w:rsidRPr="00D43D39" w:rsidR="000A4140">
              <w:rPr>
                <w:rFonts w:ascii="Times New Roman" w:hAnsi="Times New Roman" w:eastAsia="Cambria" w:cs="Times New Roman"/>
                <w:color w:val="000000" w:themeColor="text1"/>
                <w:spacing w:val="-2"/>
                <w:w w:val="95"/>
                <w:sz w:val="20"/>
                <w:szCs w:val="20"/>
                <w:lang w:val="en-GB"/>
              </w:rPr>
              <w:t>Z 01.01</w:t>
            </w:r>
            <w:r w:rsidRPr="00D43D39">
              <w:rPr>
                <w:rFonts w:ascii="Times New Roman" w:hAnsi="Times New Roman" w:eastAsia="Cambria" w:cs="Times New Roman"/>
                <w:color w:val="000000" w:themeColor="text1"/>
                <w:spacing w:val="-2"/>
                <w:w w:val="95"/>
                <w:sz w:val="20"/>
                <w:szCs w:val="20"/>
                <w:lang w:val="en-GB"/>
              </w:rPr>
              <w:t xml:space="preserve"> - Organisational structure </w:t>
            </w:r>
            <w:r w:rsidRPr="00D43D39" w:rsidR="000A4140">
              <w:rPr>
                <w:rFonts w:ascii="Times New Roman" w:hAnsi="Times New Roman" w:eastAsia="Cambria" w:cs="Times New Roman"/>
                <w:color w:val="000000" w:themeColor="text1"/>
                <w:spacing w:val="-2"/>
                <w:w w:val="95"/>
                <w:sz w:val="20"/>
                <w:szCs w:val="20"/>
                <w:lang w:val="en-GB"/>
              </w:rPr>
              <w:t>(ORG 1)</w:t>
            </w:r>
            <w:r w:rsidRPr="00D43D39">
              <w:rPr>
                <w:rFonts w:ascii="Times New Roman" w:hAnsi="Times New Roman" w:eastAsia="Cambria" w:cs="Times New Roman"/>
                <w:color w:val="000000" w:themeColor="text1"/>
                <w:spacing w:val="-2"/>
                <w:w w:val="95"/>
                <w:sz w:val="20"/>
                <w:szCs w:val="20"/>
                <w:lang w:val="en-GB"/>
              </w:rPr>
              <w:t>.</w:t>
            </w:r>
            <w:r w:rsidRPr="00D43D39" w:rsidR="00967620">
              <w:rPr>
                <w:rFonts w:ascii="Times New Roman" w:hAnsi="Times New Roman" w:eastAsia="Cambria" w:cs="Times New Roman"/>
                <w:color w:val="000000" w:themeColor="text1"/>
                <w:spacing w:val="-2"/>
                <w:w w:val="95"/>
                <w:sz w:val="20"/>
                <w:szCs w:val="20"/>
                <w:lang w:val="en-GB"/>
              </w:rPr>
              <w:t xml:space="preserve"> </w:t>
            </w:r>
          </w:p>
        </w:tc>
      </w:tr>
      <w:tr w:rsidRPr="00D43D39" w:rsidR="00D22EB0" w:rsidTr="1B49DE8E" w14:paraId="10D0EE96" w14:textId="77777777">
        <w:tc>
          <w:tcPr>
            <w:tcW w:w="1191" w:type="dxa"/>
            <w:tcBorders>
              <w:top w:val="single" w:color="1A171C" w:sz="4" w:space="0"/>
              <w:left w:val="nil"/>
              <w:bottom w:val="single" w:color="1A171C" w:sz="4" w:space="0"/>
              <w:right w:val="single" w:color="1A171C" w:sz="4" w:space="0"/>
            </w:tcBorders>
          </w:tcPr>
          <w:p w:rsidRPr="00D43D39" w:rsidR="0057049E" w:rsidP="00AE7D80" w:rsidRDefault="0057049E" w14:paraId="0A398D0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193452">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20</w:t>
            </w:r>
          </w:p>
        </w:tc>
        <w:tc>
          <w:tcPr>
            <w:tcW w:w="7892" w:type="dxa"/>
            <w:tcBorders>
              <w:top w:val="single" w:color="1A171C" w:sz="4" w:space="0"/>
              <w:left w:val="single" w:color="1A171C" w:sz="4" w:space="0"/>
              <w:bottom w:val="single" w:color="1A171C" w:sz="4" w:space="0"/>
              <w:right w:val="nil"/>
            </w:tcBorders>
          </w:tcPr>
          <w:p w:rsidRPr="00D43D39" w:rsidR="0057049E" w:rsidP="00AE7D80" w:rsidRDefault="0057049E" w14:paraId="5CE49DC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Code </w:t>
            </w:r>
          </w:p>
          <w:p w:rsidRPr="00D43D39" w:rsidR="0057049E" w:rsidP="00AE7D80" w:rsidRDefault="0057049E" w14:paraId="49860A1A" w14:textId="62EED32A">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Code of the entity, as reported in </w:t>
            </w:r>
            <w:r w:rsidRPr="00D43D39" w:rsidR="000A4140">
              <w:rPr>
                <w:rFonts w:ascii="Times New Roman" w:hAnsi="Times New Roman" w:eastAsia="Cambria" w:cs="Times New Roman"/>
                <w:color w:val="000000" w:themeColor="text1"/>
                <w:spacing w:val="-2"/>
                <w:w w:val="95"/>
                <w:sz w:val="20"/>
                <w:szCs w:val="20"/>
                <w:lang w:val="en-GB"/>
              </w:rPr>
              <w:t>Z 01.01</w:t>
            </w:r>
            <w:r w:rsidRPr="00D43D39">
              <w:rPr>
                <w:rFonts w:ascii="Times New Roman" w:hAnsi="Times New Roman" w:eastAsia="Cambria" w:cs="Times New Roman"/>
                <w:color w:val="000000" w:themeColor="text1"/>
                <w:spacing w:val="-2"/>
                <w:w w:val="95"/>
                <w:sz w:val="20"/>
                <w:szCs w:val="20"/>
                <w:lang w:val="en-GB"/>
              </w:rPr>
              <w:t xml:space="preserve"> - Organisational structure </w:t>
            </w:r>
            <w:r w:rsidRPr="00D43D39" w:rsidR="000A4140">
              <w:rPr>
                <w:rFonts w:ascii="Times New Roman" w:hAnsi="Times New Roman" w:eastAsia="Cambria" w:cs="Times New Roman"/>
                <w:color w:val="000000" w:themeColor="text1"/>
                <w:spacing w:val="-2"/>
                <w:w w:val="95"/>
                <w:sz w:val="20"/>
                <w:szCs w:val="20"/>
                <w:lang w:val="en-GB"/>
              </w:rPr>
              <w:t>(ORG 1)</w:t>
            </w:r>
            <w:r w:rsidRPr="00D43D39">
              <w:rPr>
                <w:rFonts w:ascii="Times New Roman" w:hAnsi="Times New Roman" w:eastAsia="Cambria" w:cs="Times New Roman"/>
                <w:color w:val="000000" w:themeColor="text1"/>
                <w:spacing w:val="-2"/>
                <w:w w:val="95"/>
                <w:sz w:val="20"/>
                <w:szCs w:val="20"/>
                <w:lang w:val="en-GB"/>
              </w:rPr>
              <w:t>.</w:t>
            </w:r>
          </w:p>
          <w:p w:rsidRPr="00D43D39" w:rsidR="0057049E" w:rsidP="00AE7D80" w:rsidRDefault="0057049E" w14:paraId="363E585E"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This is a row identifier and has to be unique for each row in the template.</w:t>
            </w:r>
          </w:p>
        </w:tc>
      </w:tr>
      <w:tr w:rsidRPr="00D43D39" w:rsidR="00167158" w:rsidTr="1B49DE8E" w14:paraId="1341FD63" w14:textId="77777777">
        <w:tc>
          <w:tcPr>
            <w:tcW w:w="1191" w:type="dxa"/>
            <w:tcBorders>
              <w:top w:val="single" w:color="1A171C" w:sz="4" w:space="0"/>
              <w:left w:val="nil"/>
              <w:bottom w:val="single" w:color="1A171C" w:sz="4" w:space="0"/>
              <w:right w:val="single" w:color="1A171C" w:sz="4" w:space="0"/>
            </w:tcBorders>
          </w:tcPr>
          <w:p w:rsidRPr="00D43D39" w:rsidR="00167158" w:rsidP="00167158" w:rsidRDefault="00167158" w14:paraId="3A5D9B34"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0030 – 0040</w:t>
            </w:r>
          </w:p>
        </w:tc>
        <w:tc>
          <w:tcPr>
            <w:tcW w:w="7892" w:type="dxa"/>
            <w:tcBorders>
              <w:top w:val="single" w:color="1A171C" w:sz="4" w:space="0"/>
              <w:left w:val="single" w:color="1A171C" w:sz="4" w:space="0"/>
              <w:bottom w:val="single" w:color="1A171C" w:sz="4" w:space="0"/>
              <w:right w:val="nil"/>
            </w:tcBorders>
          </w:tcPr>
          <w:p w:rsidRPr="00B94029" w:rsidR="00167158" w:rsidP="00AE7D80" w:rsidRDefault="00167158" w14:paraId="3417E1E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DGS Membership</w:t>
            </w:r>
          </w:p>
        </w:tc>
      </w:tr>
      <w:tr w:rsidRPr="00D43D39" w:rsidR="00D22EB0" w:rsidTr="1B49DE8E" w14:paraId="653239DC" w14:textId="77777777">
        <w:tc>
          <w:tcPr>
            <w:tcW w:w="1191" w:type="dxa"/>
            <w:tcBorders>
              <w:top w:val="single" w:color="1A171C" w:sz="4" w:space="0"/>
              <w:left w:val="nil"/>
              <w:bottom w:val="single" w:color="1A171C" w:sz="4" w:space="0"/>
              <w:right w:val="single" w:color="1A171C" w:sz="4" w:space="0"/>
            </w:tcBorders>
          </w:tcPr>
          <w:p w:rsidRPr="00D43D39" w:rsidR="0057049E" w:rsidP="00AE7D80" w:rsidRDefault="0057049E" w14:paraId="65A287B8"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193452">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30</w:t>
            </w:r>
          </w:p>
        </w:tc>
        <w:tc>
          <w:tcPr>
            <w:tcW w:w="7892" w:type="dxa"/>
            <w:tcBorders>
              <w:top w:val="single" w:color="1A171C" w:sz="4" w:space="0"/>
              <w:left w:val="single" w:color="1A171C" w:sz="4" w:space="0"/>
              <w:bottom w:val="single" w:color="1A171C" w:sz="4" w:space="0"/>
              <w:right w:val="nil"/>
            </w:tcBorders>
          </w:tcPr>
          <w:p w:rsidRPr="00D43D39" w:rsidR="0057049E" w:rsidP="00AE7D80" w:rsidRDefault="0057049E" w14:paraId="273D85FF"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DGS</w:t>
            </w:r>
          </w:p>
          <w:p w:rsidRPr="00D43D39" w:rsidR="0057049E" w:rsidP="00AE7D80" w:rsidRDefault="0057049E" w14:paraId="7E4A4D8B" w14:textId="7F27E5F2">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Article 4(3) of </w:t>
            </w:r>
            <w:r w:rsidRPr="00D43D39" w:rsidR="00D6309A">
              <w:rPr>
                <w:rFonts w:ascii="Times New Roman" w:hAnsi="Times New Roman" w:eastAsia="Cambria" w:cs="Times New Roman"/>
                <w:color w:val="000000" w:themeColor="text1"/>
                <w:spacing w:val="-2"/>
                <w:w w:val="95"/>
                <w:sz w:val="20"/>
                <w:szCs w:val="20"/>
                <w:lang w:val="en-GB"/>
              </w:rPr>
              <w:t>Directive 2014/49/EU</w:t>
            </w:r>
          </w:p>
          <w:p w:rsidRPr="00D43D39" w:rsidR="0057049E" w:rsidP="00091EE3" w:rsidRDefault="0057049E" w14:paraId="038DB96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w:t>
            </w:r>
            <w:r w:rsidRPr="00D43D39" w:rsidR="00091EE3">
              <w:rPr>
                <w:rFonts w:ascii="Times New Roman" w:hAnsi="Times New Roman" w:eastAsia="Cambria" w:cs="Times New Roman"/>
                <w:color w:val="000000" w:themeColor="text1"/>
                <w:spacing w:val="-2"/>
                <w:w w:val="95"/>
                <w:sz w:val="20"/>
                <w:szCs w:val="20"/>
                <w:lang w:val="en-GB"/>
              </w:rPr>
              <w:t xml:space="preserve">name of the </w:t>
            </w:r>
            <w:r w:rsidRPr="00D43D39" w:rsidR="000A2228">
              <w:rPr>
                <w:rFonts w:ascii="Times New Roman" w:hAnsi="Times New Roman" w:eastAsia="Cambria" w:cs="Times New Roman"/>
                <w:color w:val="000000" w:themeColor="text1"/>
                <w:spacing w:val="-2"/>
                <w:w w:val="95"/>
                <w:sz w:val="20"/>
                <w:szCs w:val="20"/>
                <w:lang w:val="en-GB"/>
              </w:rPr>
              <w:t xml:space="preserve">officially recognised </w:t>
            </w:r>
            <w:r w:rsidRPr="00D43D39">
              <w:rPr>
                <w:rFonts w:ascii="Times New Roman" w:hAnsi="Times New Roman" w:eastAsia="Cambria" w:cs="Times New Roman"/>
                <w:color w:val="000000" w:themeColor="text1"/>
                <w:spacing w:val="-2"/>
                <w:w w:val="95"/>
                <w:sz w:val="20"/>
                <w:szCs w:val="20"/>
                <w:lang w:val="en-GB"/>
              </w:rPr>
              <w:t xml:space="preserve">DGS </w:t>
            </w:r>
            <w:r w:rsidRPr="00D43D39" w:rsidR="008977B6">
              <w:rPr>
                <w:rFonts w:ascii="Times New Roman" w:hAnsi="Times New Roman" w:eastAsia="Cambria" w:cs="Times New Roman"/>
                <w:color w:val="000000" w:themeColor="text1"/>
                <w:spacing w:val="-2"/>
                <w:w w:val="95"/>
                <w:sz w:val="20"/>
                <w:szCs w:val="20"/>
                <w:lang w:val="en-GB"/>
              </w:rPr>
              <w:t xml:space="preserve">of which </w:t>
            </w:r>
            <w:r w:rsidRPr="00D43D39">
              <w:rPr>
                <w:rFonts w:ascii="Times New Roman" w:hAnsi="Times New Roman" w:eastAsia="Cambria" w:cs="Times New Roman"/>
                <w:color w:val="000000" w:themeColor="text1"/>
                <w:spacing w:val="-2"/>
                <w:w w:val="95"/>
                <w:sz w:val="20"/>
                <w:szCs w:val="20"/>
                <w:lang w:val="en-GB"/>
              </w:rPr>
              <w:t xml:space="preserve">the </w:t>
            </w:r>
            <w:r w:rsidRPr="00D43D39" w:rsidR="005E014D">
              <w:rPr>
                <w:rFonts w:ascii="Times New Roman" w:hAnsi="Times New Roman" w:eastAsia="Cambria" w:cs="Times New Roman"/>
                <w:color w:val="000000" w:themeColor="text1"/>
                <w:spacing w:val="-2"/>
                <w:w w:val="95"/>
                <w:sz w:val="20"/>
                <w:szCs w:val="20"/>
                <w:lang w:val="en-GB"/>
              </w:rPr>
              <w:t>e</w:t>
            </w:r>
            <w:r w:rsidRPr="00D43D39" w:rsidR="001C74FB">
              <w:rPr>
                <w:rFonts w:ascii="Times New Roman" w:hAnsi="Times New Roman" w:eastAsia="Cambria" w:cs="Times New Roman"/>
                <w:color w:val="000000" w:themeColor="text1"/>
                <w:spacing w:val="-2"/>
                <w:w w:val="95"/>
                <w:sz w:val="20"/>
                <w:szCs w:val="20"/>
                <w:lang w:val="en-GB"/>
              </w:rPr>
              <w:t>ntity</w:t>
            </w:r>
            <w:r w:rsidRPr="00D43D39">
              <w:rPr>
                <w:rFonts w:ascii="Times New Roman" w:hAnsi="Times New Roman" w:eastAsia="Cambria" w:cs="Times New Roman"/>
                <w:color w:val="000000" w:themeColor="text1"/>
                <w:spacing w:val="-2"/>
                <w:w w:val="95"/>
                <w:sz w:val="20"/>
                <w:szCs w:val="20"/>
                <w:lang w:val="en-GB"/>
              </w:rPr>
              <w:t xml:space="preserve"> is a member in application of the </w:t>
            </w:r>
            <w:r w:rsidRPr="00D43D39" w:rsidR="00D6309A">
              <w:rPr>
                <w:rFonts w:ascii="Times New Roman" w:hAnsi="Times New Roman" w:eastAsia="Cambria" w:cs="Times New Roman"/>
                <w:color w:val="000000" w:themeColor="text1"/>
                <w:spacing w:val="-2"/>
                <w:w w:val="95"/>
                <w:sz w:val="20"/>
                <w:szCs w:val="20"/>
                <w:lang w:val="en-GB"/>
              </w:rPr>
              <w:t>Directive 2014/49/EU</w:t>
            </w:r>
            <w:r w:rsidRPr="00D43D39">
              <w:rPr>
                <w:rFonts w:ascii="Times New Roman" w:hAnsi="Times New Roman" w:eastAsia="Cambria" w:cs="Times New Roman"/>
                <w:color w:val="000000" w:themeColor="text1"/>
                <w:spacing w:val="-2"/>
                <w:w w:val="95"/>
                <w:sz w:val="20"/>
                <w:szCs w:val="20"/>
                <w:lang w:val="en-GB"/>
              </w:rPr>
              <w:t xml:space="preserve">. This shall be the DGS in the Member State of incorporation of the </w:t>
            </w:r>
            <w:r w:rsidRPr="00D43D39" w:rsidR="001E60E0">
              <w:rPr>
                <w:rFonts w:ascii="Times New Roman" w:hAnsi="Times New Roman" w:eastAsia="Cambria" w:cs="Times New Roman"/>
                <w:color w:val="000000" w:themeColor="text1"/>
                <w:spacing w:val="-2"/>
                <w:w w:val="95"/>
                <w:sz w:val="20"/>
                <w:szCs w:val="20"/>
                <w:lang w:val="en-GB"/>
              </w:rPr>
              <w:t>e</w:t>
            </w:r>
            <w:r w:rsidRPr="00D43D39" w:rsidR="001C74FB">
              <w:rPr>
                <w:rFonts w:ascii="Times New Roman" w:hAnsi="Times New Roman" w:eastAsia="Cambria" w:cs="Times New Roman"/>
                <w:color w:val="000000" w:themeColor="text1"/>
                <w:spacing w:val="-2"/>
                <w:w w:val="95"/>
                <w:sz w:val="20"/>
                <w:szCs w:val="20"/>
                <w:lang w:val="en-GB"/>
              </w:rPr>
              <w:t>ntity</w:t>
            </w:r>
            <w:r w:rsidRPr="00D43D39">
              <w:rPr>
                <w:rFonts w:ascii="Times New Roman" w:hAnsi="Times New Roman" w:eastAsia="Cambria" w:cs="Times New Roman"/>
                <w:color w:val="000000" w:themeColor="text1"/>
                <w:spacing w:val="-2"/>
                <w:w w:val="95"/>
                <w:sz w:val="20"/>
                <w:szCs w:val="20"/>
                <w:lang w:val="en-GB"/>
              </w:rPr>
              <w:t xml:space="preserve">, at the exclusion of other DGSs which, in other Member States, might provide additional protection (‘top up’) to customers of the </w:t>
            </w:r>
            <w:r w:rsidRPr="00D43D39" w:rsidR="001C74FB">
              <w:rPr>
                <w:rFonts w:ascii="Times New Roman" w:hAnsi="Times New Roman" w:eastAsia="Cambria" w:cs="Times New Roman"/>
                <w:color w:val="000000" w:themeColor="text1"/>
                <w:spacing w:val="-2"/>
                <w:w w:val="95"/>
                <w:sz w:val="20"/>
                <w:szCs w:val="20"/>
                <w:lang w:val="en-GB"/>
              </w:rPr>
              <w:t>Entity</w:t>
            </w:r>
            <w:r w:rsidRPr="00D43D39">
              <w:rPr>
                <w:rFonts w:ascii="Times New Roman" w:hAnsi="Times New Roman" w:eastAsia="Cambria" w:cs="Times New Roman"/>
                <w:color w:val="000000" w:themeColor="text1"/>
                <w:spacing w:val="-2"/>
                <w:w w:val="95"/>
                <w:sz w:val="20"/>
                <w:szCs w:val="20"/>
                <w:lang w:val="en-GB"/>
              </w:rPr>
              <w:t xml:space="preserve"> at a branch in that Member State.</w:t>
            </w:r>
            <w:r w:rsidRPr="00D43D39" w:rsidR="00150664">
              <w:rPr>
                <w:rFonts w:ascii="Times New Roman" w:hAnsi="Times New Roman" w:eastAsia="Cambria" w:cs="Times New Roman"/>
                <w:color w:val="000000" w:themeColor="text1"/>
                <w:spacing w:val="-2"/>
                <w:w w:val="95"/>
                <w:sz w:val="20"/>
                <w:szCs w:val="20"/>
                <w:lang w:val="en-GB"/>
              </w:rPr>
              <w:t xml:space="preserve"> Where an institution is member of an IPS which is also official recognised as a DGS pursuant to Article 4(2) of the </w:t>
            </w:r>
            <w:r w:rsidRPr="00D43D39" w:rsidR="00D6309A">
              <w:rPr>
                <w:rFonts w:ascii="Times New Roman" w:hAnsi="Times New Roman" w:eastAsia="Cambria" w:cs="Times New Roman"/>
                <w:color w:val="000000" w:themeColor="text1"/>
                <w:spacing w:val="-2"/>
                <w:w w:val="95"/>
                <w:sz w:val="20"/>
                <w:szCs w:val="20"/>
                <w:lang w:val="en-GB"/>
              </w:rPr>
              <w:t>Directive 2014/49/EU</w:t>
            </w:r>
            <w:r w:rsidRPr="00D43D39" w:rsidR="00091EE3">
              <w:rPr>
                <w:rFonts w:ascii="Times New Roman" w:hAnsi="Times New Roman" w:eastAsia="Cambria" w:cs="Times New Roman"/>
                <w:color w:val="000000" w:themeColor="text1"/>
                <w:spacing w:val="-2"/>
                <w:w w:val="95"/>
                <w:sz w:val="20"/>
                <w:szCs w:val="20"/>
                <w:lang w:val="en-GB"/>
              </w:rPr>
              <w:t xml:space="preserve">, the name of the DGS </w:t>
            </w:r>
            <w:r w:rsidRPr="00D43D39" w:rsidR="00330F00">
              <w:rPr>
                <w:rFonts w:ascii="Times New Roman" w:hAnsi="Times New Roman" w:eastAsia="Cambria" w:cs="Times New Roman"/>
                <w:color w:val="000000" w:themeColor="text1"/>
                <w:spacing w:val="-2"/>
                <w:w w:val="95"/>
                <w:sz w:val="20"/>
                <w:szCs w:val="20"/>
                <w:lang w:val="en-GB"/>
              </w:rPr>
              <w:t xml:space="preserve">shall be identical as the name of the </w:t>
            </w:r>
            <w:r w:rsidRPr="00D43D39" w:rsidR="00091EE3">
              <w:rPr>
                <w:rFonts w:ascii="Times New Roman" w:hAnsi="Times New Roman" w:eastAsia="Cambria" w:cs="Times New Roman"/>
                <w:color w:val="000000" w:themeColor="text1"/>
                <w:spacing w:val="-2"/>
                <w:w w:val="95"/>
                <w:sz w:val="20"/>
                <w:szCs w:val="20"/>
                <w:lang w:val="en-GB"/>
              </w:rPr>
              <w:t>IPS</w:t>
            </w:r>
            <w:r w:rsidRPr="00D43D39" w:rsidR="001F0927">
              <w:rPr>
                <w:rFonts w:ascii="Times New Roman" w:hAnsi="Times New Roman" w:eastAsia="Cambria" w:cs="Times New Roman"/>
                <w:color w:val="000000" w:themeColor="text1"/>
                <w:spacing w:val="-2"/>
                <w:w w:val="95"/>
                <w:sz w:val="20"/>
                <w:szCs w:val="20"/>
                <w:lang w:val="en-GB"/>
              </w:rPr>
              <w:t xml:space="preserve"> in row 050</w:t>
            </w:r>
            <w:r w:rsidRPr="00D43D39" w:rsidR="00091EE3">
              <w:rPr>
                <w:rFonts w:ascii="Times New Roman" w:hAnsi="Times New Roman" w:eastAsia="Cambria" w:cs="Times New Roman"/>
                <w:color w:val="000000" w:themeColor="text1"/>
                <w:spacing w:val="-2"/>
                <w:w w:val="95"/>
                <w:sz w:val="20"/>
                <w:szCs w:val="20"/>
                <w:lang w:val="en-GB"/>
              </w:rPr>
              <w:t>.</w:t>
            </w:r>
          </w:p>
          <w:p w:rsidRPr="00D43D39" w:rsidR="00607BC1" w:rsidP="00091EE3" w:rsidRDefault="004842F3" w14:paraId="6F0E20BE"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DGS shall be chosen, for each country of incorporation of the entity, among the following:</w:t>
            </w:r>
          </w:p>
          <w:p w:rsidRPr="00D43D39" w:rsidR="004842F3" w:rsidP="004842F3" w:rsidRDefault="008B4886" w14:paraId="0C0B1D0D"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For </w:t>
            </w:r>
            <w:r w:rsidRPr="00D43D39" w:rsidR="004842F3">
              <w:rPr>
                <w:rFonts w:ascii="Times New Roman" w:hAnsi="Times New Roman" w:eastAsia="Cambria" w:cs="Times New Roman"/>
                <w:b/>
                <w:color w:val="000000" w:themeColor="text1"/>
                <w:spacing w:val="-2"/>
                <w:w w:val="95"/>
                <w:sz w:val="20"/>
                <w:szCs w:val="20"/>
                <w:u w:val="single"/>
                <w:lang w:val="en-GB"/>
              </w:rPr>
              <w:t>Austria</w:t>
            </w:r>
          </w:p>
          <w:p w:rsidRPr="00D43D39" w:rsidR="006049D9" w:rsidP="006049D9" w:rsidRDefault="00B40AFB" w14:paraId="2166314C" w14:textId="38AD6023">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de-DE"/>
              </w:rPr>
            </w:pPr>
            <w:r>
              <w:rPr>
                <w:rFonts w:ascii="Times New Roman" w:hAnsi="Times New Roman" w:eastAsia="Cambria" w:cs="Times New Roman"/>
                <w:color w:val="000000" w:themeColor="text1"/>
                <w:spacing w:val="-2"/>
                <w:w w:val="95"/>
                <w:sz w:val="20"/>
                <w:szCs w:val="20"/>
                <w:lang w:val="de-DE"/>
              </w:rPr>
              <w:t>‚</w:t>
            </w:r>
            <w:r w:rsidRPr="00D43D39" w:rsidR="22115F2E">
              <w:rPr>
                <w:rFonts w:ascii="Times New Roman" w:hAnsi="Times New Roman" w:eastAsia="Cambria" w:cs="Times New Roman"/>
                <w:color w:val="000000" w:themeColor="text1"/>
                <w:spacing w:val="-2"/>
                <w:w w:val="95"/>
                <w:sz w:val="20"/>
                <w:szCs w:val="20"/>
                <w:lang w:val="de-DE"/>
              </w:rPr>
              <w:t>Einlagensicherung AUSTRIA Ges.m.b.H</w:t>
            </w:r>
            <w:r>
              <w:rPr>
                <w:rFonts w:ascii="Times New Roman" w:hAnsi="Times New Roman" w:eastAsia="Cambria" w:cs="Times New Roman"/>
                <w:color w:val="000000" w:themeColor="text1"/>
                <w:spacing w:val="-2"/>
                <w:w w:val="95"/>
                <w:sz w:val="20"/>
                <w:szCs w:val="20"/>
                <w:lang w:val="de-DE"/>
              </w:rPr>
              <w:t>. ‚</w:t>
            </w:r>
            <w:r w:rsidRPr="00D43D39" w:rsidDel="006049D9" w:rsidR="22115F2E">
              <w:rPr>
                <w:rFonts w:ascii="Times New Roman" w:hAnsi="Times New Roman" w:eastAsia="Cambria" w:cs="Times New Roman"/>
                <w:color w:val="000000" w:themeColor="text1"/>
                <w:spacing w:val="-2"/>
                <w:w w:val="95"/>
                <w:sz w:val="20"/>
                <w:szCs w:val="20"/>
                <w:lang w:val="de-DE"/>
              </w:rPr>
              <w:t xml:space="preserve"> </w:t>
            </w:r>
          </w:p>
          <w:p w:rsidR="006049D9" w:rsidP="006049D9" w:rsidRDefault="71A53D55" w14:paraId="45A8D7DB" w14:textId="695F1681">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 xml:space="preserve">Sparkassen-Haftungs </w:t>
            </w:r>
            <w:r w:rsidRPr="00D43D39" w:rsidR="22115F2E">
              <w:rPr>
                <w:rFonts w:ascii="Times New Roman" w:hAnsi="Times New Roman" w:eastAsia="Cambria" w:cs="Times New Roman"/>
                <w:color w:val="000000" w:themeColor="text1"/>
                <w:spacing w:val="-2"/>
                <w:w w:val="95"/>
                <w:sz w:val="20"/>
                <w:szCs w:val="20"/>
                <w:lang w:val="en-GB"/>
              </w:rPr>
              <w:t>GmbH</w:t>
            </w:r>
            <w:r w:rsidRPr="00D43D39">
              <w:rPr>
                <w:rFonts w:ascii="Times New Roman" w:hAnsi="Times New Roman" w:eastAsia="Cambria" w:cs="Times New Roman"/>
                <w:color w:val="000000" w:themeColor="text1"/>
                <w:spacing w:val="-2"/>
                <w:w w:val="95"/>
                <w:sz w:val="20"/>
                <w:szCs w:val="20"/>
                <w:lang w:val="en-GB"/>
              </w:rPr>
              <w:t>’</w:t>
            </w:r>
          </w:p>
          <w:p w:rsidRPr="00B40AFB" w:rsidR="00B40AFB" w:rsidP="006049D9" w:rsidRDefault="00B40AFB" w14:paraId="7FEF3AB6" w14:textId="7DCEDD53">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w:t>
            </w:r>
            <w:r w:rsidRPr="00B40AFB">
              <w:rPr>
                <w:rFonts w:ascii="Times New Roman" w:hAnsi="Times New Roman" w:eastAsia="Cambria" w:cs="Times New Roman"/>
                <w:color w:val="000000" w:themeColor="text1"/>
                <w:spacing w:val="-2"/>
                <w:w w:val="95"/>
                <w:sz w:val="20"/>
                <w:szCs w:val="20"/>
                <w:lang w:val="en-GB"/>
              </w:rPr>
              <w:t>Österreichische Raiffeisen-Sicherungseinrichtung eGen</w:t>
            </w:r>
            <w:r>
              <w:rPr>
                <w:rFonts w:ascii="Times New Roman" w:hAnsi="Times New Roman" w:eastAsia="Cambria" w:cs="Times New Roman"/>
                <w:color w:val="000000" w:themeColor="text1"/>
                <w:spacing w:val="-2"/>
                <w:w w:val="95"/>
                <w:sz w:val="20"/>
                <w:szCs w:val="20"/>
                <w:lang w:val="en-GB"/>
              </w:rPr>
              <w:t>’</w:t>
            </w:r>
          </w:p>
          <w:p w:rsidRPr="00D43D39" w:rsidR="004842F3" w:rsidP="004842F3" w:rsidRDefault="004842F3" w14:paraId="14EDF86D"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Belgium</w:t>
            </w:r>
          </w:p>
          <w:p w:rsidRPr="00D43D39" w:rsidR="004842F3" w:rsidP="00715DAB" w:rsidRDefault="71A53D55" w14:paraId="08603455"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fr-FR"/>
              </w:rPr>
            </w:pPr>
            <w:r w:rsidRPr="00D43D39">
              <w:rPr>
                <w:rFonts w:ascii="Times New Roman" w:hAnsi="Times New Roman" w:eastAsia="Cambria" w:cs="Times New Roman"/>
                <w:color w:val="000000" w:themeColor="text1"/>
                <w:spacing w:val="-2"/>
                <w:w w:val="95"/>
                <w:sz w:val="20"/>
                <w:szCs w:val="20"/>
                <w:lang w:val="fr-FR"/>
              </w:rPr>
              <w:t>‘</w:t>
            </w:r>
            <w:r w:rsidRPr="00D43D39" w:rsidR="651B723F">
              <w:rPr>
                <w:rFonts w:ascii="Times New Roman" w:hAnsi="Times New Roman" w:eastAsia="Cambria" w:cs="Times New Roman"/>
                <w:color w:val="000000" w:themeColor="text1"/>
                <w:spacing w:val="-2"/>
                <w:w w:val="95"/>
                <w:sz w:val="20"/>
                <w:szCs w:val="20"/>
                <w:lang w:val="fr-FR"/>
              </w:rPr>
              <w:t>Garantiefonds voor financiële diensten / Fonds de garantie pour les services financiers</w:t>
            </w:r>
            <w:r w:rsidRPr="00D43D39">
              <w:rPr>
                <w:rFonts w:ascii="Times New Roman" w:hAnsi="Times New Roman" w:eastAsia="Cambria" w:cs="Times New Roman"/>
                <w:color w:val="000000" w:themeColor="text1"/>
                <w:spacing w:val="-2"/>
                <w:w w:val="95"/>
                <w:sz w:val="20"/>
                <w:szCs w:val="20"/>
                <w:lang w:val="fr-FR"/>
              </w:rPr>
              <w:t>’</w:t>
            </w:r>
          </w:p>
          <w:p w:rsidRPr="00D43D39" w:rsidR="004842F3" w:rsidP="00743CD3" w:rsidRDefault="004842F3" w14:paraId="6DC46656"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Bulgaria</w:t>
            </w:r>
          </w:p>
          <w:p w:rsidRPr="00D43D39" w:rsidR="004842F3" w:rsidP="00715DAB" w:rsidRDefault="71A53D55" w14:paraId="2296D9B2"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Фондът за гарантиране на влоговете в банките</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102A3D3C"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Croatia</w:t>
            </w:r>
          </w:p>
          <w:p w:rsidRPr="00D43D39" w:rsidR="004842F3" w:rsidP="00715DAB" w:rsidRDefault="71A53D55" w14:paraId="3F7BE9C8" w14:textId="22CFCAC9">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pt-PT"/>
              </w:rPr>
            </w:pPr>
            <w:r w:rsidRPr="00D43D39">
              <w:rPr>
                <w:rFonts w:ascii="Times New Roman" w:hAnsi="Times New Roman" w:eastAsia="Cambria" w:cs="Times New Roman"/>
                <w:color w:val="000000" w:themeColor="text1"/>
                <w:spacing w:val="-2"/>
                <w:w w:val="95"/>
                <w:sz w:val="20"/>
                <w:szCs w:val="20"/>
                <w:lang w:val="pt-PT"/>
              </w:rPr>
              <w:t>‘</w:t>
            </w:r>
            <w:r w:rsidRPr="00B05A6C" w:rsidR="00B05A6C">
              <w:rPr>
                <w:rFonts w:ascii="Times New Roman" w:hAnsi="Times New Roman" w:eastAsia="Cambria" w:cs="Times New Roman"/>
                <w:color w:val="000000" w:themeColor="text1"/>
                <w:spacing w:val="-2"/>
                <w:w w:val="95"/>
                <w:sz w:val="20"/>
                <w:szCs w:val="20"/>
                <w:lang w:val="pt-PT"/>
              </w:rPr>
              <w:t>Hrvatska agencija za osiguranje depozita</w:t>
            </w:r>
            <w:r w:rsidRPr="00D43D39">
              <w:rPr>
                <w:rFonts w:ascii="Times New Roman" w:hAnsi="Times New Roman" w:eastAsia="Cambria" w:cs="Times New Roman"/>
                <w:color w:val="000000" w:themeColor="text1"/>
                <w:spacing w:val="-2"/>
                <w:w w:val="95"/>
                <w:sz w:val="20"/>
                <w:szCs w:val="20"/>
                <w:lang w:val="pt-PT"/>
              </w:rPr>
              <w:t>’</w:t>
            </w:r>
          </w:p>
          <w:p w:rsidRPr="00D43D39" w:rsidR="004842F3" w:rsidP="00743CD3" w:rsidRDefault="004842F3" w14:paraId="0FC48656"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Cyprus</w:t>
            </w:r>
          </w:p>
          <w:p w:rsidRPr="00D43D39" w:rsidR="004842F3" w:rsidP="00715DAB" w:rsidRDefault="71A53D55" w14:paraId="01623B35"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l-GR"/>
              </w:rPr>
            </w:pPr>
            <w:r w:rsidRPr="00D43D39">
              <w:rPr>
                <w:rFonts w:ascii="Times New Roman" w:hAnsi="Times New Roman" w:eastAsia="Cambria" w:cs="Times New Roman"/>
                <w:color w:val="000000" w:themeColor="text1"/>
                <w:spacing w:val="-2"/>
                <w:w w:val="95"/>
                <w:sz w:val="20"/>
                <w:szCs w:val="20"/>
                <w:lang w:val="el-GR"/>
              </w:rPr>
              <w:t>‘</w:t>
            </w:r>
            <w:r w:rsidRPr="00D43D39" w:rsidR="651B723F">
              <w:rPr>
                <w:rFonts w:ascii="Times New Roman" w:hAnsi="Times New Roman" w:eastAsia="Cambria" w:cs="Times New Roman"/>
                <w:color w:val="000000" w:themeColor="text1"/>
                <w:spacing w:val="-2"/>
                <w:w w:val="95"/>
                <w:sz w:val="20"/>
                <w:szCs w:val="20"/>
                <w:lang w:val="el-GR"/>
              </w:rPr>
              <w:t>Σύστημα Εγγύησης των Καταθέσεων και Εξυγίανσης Πιστωτικών και Άλλων Ιδρυμάτων</w:t>
            </w:r>
            <w:r w:rsidRPr="00D43D39">
              <w:rPr>
                <w:rFonts w:ascii="Times New Roman" w:hAnsi="Times New Roman" w:eastAsia="Cambria" w:cs="Times New Roman"/>
                <w:color w:val="000000" w:themeColor="text1"/>
                <w:spacing w:val="-2"/>
                <w:w w:val="95"/>
                <w:sz w:val="20"/>
                <w:szCs w:val="20"/>
                <w:lang w:val="el-GR"/>
              </w:rPr>
              <w:t>’</w:t>
            </w:r>
          </w:p>
          <w:p w:rsidRPr="00D43D39" w:rsidR="004842F3" w:rsidP="00743CD3" w:rsidRDefault="004842F3" w14:paraId="308608F1"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Czech</w:t>
            </w:r>
          </w:p>
          <w:p w:rsidRPr="00D43D39" w:rsidR="004842F3" w:rsidP="00715DAB" w:rsidRDefault="71A53D55" w14:paraId="2111D13B"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Garanční systém finančního trhu</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439494F2"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Denmark</w:t>
            </w:r>
          </w:p>
          <w:p w:rsidRPr="00D43D39" w:rsidR="004842F3" w:rsidP="00715DAB" w:rsidRDefault="71A53D55" w14:paraId="3622D534"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Garantiformuen</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715A0068"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Estonia </w:t>
            </w:r>
          </w:p>
          <w:p w:rsidRPr="00D43D39" w:rsidR="004842F3" w:rsidP="00715DAB" w:rsidRDefault="71A53D55" w14:paraId="24CE91CA"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Tagastisfond</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23BBBD8A"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Finland </w:t>
            </w:r>
          </w:p>
          <w:p w:rsidRPr="00D43D39" w:rsidR="004842F3" w:rsidP="00715DAB" w:rsidRDefault="71A53D55" w14:paraId="746311B9"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Talletussuojarahasto</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17ABE810"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France</w:t>
            </w:r>
          </w:p>
          <w:p w:rsidRPr="00D43D39" w:rsidR="004842F3" w:rsidP="00715DAB" w:rsidRDefault="71A53D55" w14:paraId="38F2590C"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fr-FR"/>
              </w:rPr>
            </w:pPr>
            <w:r w:rsidRPr="00D43D39">
              <w:rPr>
                <w:rFonts w:ascii="Times New Roman" w:hAnsi="Times New Roman" w:eastAsia="Cambria" w:cs="Times New Roman"/>
                <w:color w:val="000000" w:themeColor="text1"/>
                <w:spacing w:val="-2"/>
                <w:w w:val="95"/>
                <w:sz w:val="20"/>
                <w:szCs w:val="20"/>
                <w:lang w:val="fr-FR"/>
              </w:rPr>
              <w:t>‘</w:t>
            </w:r>
            <w:r w:rsidRPr="00D43D39" w:rsidR="651B723F">
              <w:rPr>
                <w:rFonts w:ascii="Times New Roman" w:hAnsi="Times New Roman" w:eastAsia="Cambria" w:cs="Times New Roman"/>
                <w:color w:val="000000" w:themeColor="text1"/>
                <w:spacing w:val="-2"/>
                <w:w w:val="95"/>
                <w:sz w:val="20"/>
                <w:szCs w:val="20"/>
                <w:lang w:val="fr-FR"/>
              </w:rPr>
              <w:t>Fonds de Garantie des Dépôts et de Résolution</w:t>
            </w:r>
            <w:r w:rsidRPr="00D43D39">
              <w:rPr>
                <w:rFonts w:ascii="Times New Roman" w:hAnsi="Times New Roman" w:eastAsia="Cambria" w:cs="Times New Roman"/>
                <w:color w:val="000000" w:themeColor="text1"/>
                <w:spacing w:val="-2"/>
                <w:w w:val="95"/>
                <w:sz w:val="20"/>
                <w:szCs w:val="20"/>
                <w:lang w:val="fr-FR"/>
              </w:rPr>
              <w:t>’</w:t>
            </w:r>
          </w:p>
          <w:p w:rsidRPr="00D43D39" w:rsidR="004842F3" w:rsidP="00743CD3" w:rsidRDefault="004842F3" w14:paraId="444EF3C8"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Germany </w:t>
            </w:r>
          </w:p>
          <w:p w:rsidRPr="00D43D39" w:rsidR="004842F3" w:rsidP="00715DAB" w:rsidRDefault="71A53D55" w14:paraId="23EB1201"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Entschädigungseinrichtung deutscher Banken GmbH</w:t>
            </w:r>
            <w:r w:rsidRPr="00D43D39">
              <w:rPr>
                <w:rFonts w:ascii="Times New Roman" w:hAnsi="Times New Roman" w:eastAsia="Cambria" w:cs="Times New Roman"/>
                <w:color w:val="000000" w:themeColor="text1"/>
                <w:spacing w:val="-2"/>
                <w:w w:val="95"/>
                <w:sz w:val="20"/>
                <w:szCs w:val="20"/>
                <w:lang w:val="en-GB"/>
              </w:rPr>
              <w:t>’</w:t>
            </w:r>
          </w:p>
          <w:p w:rsidRPr="00D43D39" w:rsidR="004842F3" w:rsidP="00715DAB" w:rsidRDefault="71A53D55" w14:paraId="0C1E7BBF"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de-DE"/>
              </w:rPr>
            </w:pPr>
            <w:r w:rsidRPr="00D43D39">
              <w:rPr>
                <w:rFonts w:ascii="Times New Roman" w:hAnsi="Times New Roman" w:eastAsia="Cambria" w:cs="Times New Roman"/>
                <w:color w:val="000000" w:themeColor="text1"/>
                <w:spacing w:val="-2"/>
                <w:w w:val="95"/>
                <w:sz w:val="20"/>
                <w:szCs w:val="20"/>
                <w:lang w:val="de-DE"/>
              </w:rPr>
              <w:t>‘</w:t>
            </w:r>
            <w:r w:rsidRPr="00D43D39" w:rsidR="651B723F">
              <w:rPr>
                <w:rFonts w:ascii="Times New Roman" w:hAnsi="Times New Roman" w:eastAsia="Cambria" w:cs="Times New Roman"/>
                <w:color w:val="000000" w:themeColor="text1"/>
                <w:spacing w:val="-2"/>
                <w:w w:val="95"/>
                <w:sz w:val="20"/>
                <w:szCs w:val="20"/>
                <w:lang w:val="de-DE"/>
              </w:rPr>
              <w:t>Entschädigungseinrichtung des Bundesverbandes Öffentlicher Banken Deutschlands GmbH</w:t>
            </w:r>
            <w:r w:rsidRPr="00D43D39">
              <w:rPr>
                <w:rFonts w:ascii="Times New Roman" w:hAnsi="Times New Roman" w:eastAsia="Cambria" w:cs="Times New Roman"/>
                <w:color w:val="000000" w:themeColor="text1"/>
                <w:spacing w:val="-2"/>
                <w:w w:val="95"/>
                <w:sz w:val="20"/>
                <w:szCs w:val="20"/>
                <w:lang w:val="de-DE"/>
              </w:rPr>
              <w:t>’</w:t>
            </w:r>
          </w:p>
          <w:p w:rsidRPr="00D43D39" w:rsidR="004842F3" w:rsidP="00715DAB" w:rsidRDefault="71A53D55" w14:paraId="087DF787"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de-DE"/>
              </w:rPr>
            </w:pPr>
            <w:r w:rsidRPr="00D43D39">
              <w:rPr>
                <w:rFonts w:ascii="Times New Roman" w:hAnsi="Times New Roman" w:eastAsia="Cambria" w:cs="Times New Roman"/>
                <w:color w:val="000000" w:themeColor="text1"/>
                <w:spacing w:val="-2"/>
                <w:w w:val="95"/>
                <w:sz w:val="20"/>
                <w:szCs w:val="20"/>
                <w:lang w:val="de-DE"/>
              </w:rPr>
              <w:t>‘</w:t>
            </w:r>
            <w:r w:rsidRPr="00D43D39" w:rsidR="651B723F">
              <w:rPr>
                <w:rFonts w:ascii="Times New Roman" w:hAnsi="Times New Roman" w:eastAsia="Cambria" w:cs="Times New Roman"/>
                <w:color w:val="000000" w:themeColor="text1"/>
                <w:spacing w:val="-2"/>
                <w:w w:val="95"/>
                <w:sz w:val="20"/>
                <w:szCs w:val="20"/>
                <w:lang w:val="de-DE"/>
              </w:rPr>
              <w:t>Sicherungseinrichtung des Deutschen Sparkassen- und Giroverbandes (DSGV-Haftungsverbund)</w:t>
            </w:r>
            <w:r w:rsidRPr="00D43D39">
              <w:rPr>
                <w:rFonts w:ascii="Times New Roman" w:hAnsi="Times New Roman" w:eastAsia="Cambria" w:cs="Times New Roman"/>
                <w:color w:val="000000" w:themeColor="text1"/>
                <w:spacing w:val="-2"/>
                <w:w w:val="95"/>
                <w:sz w:val="20"/>
                <w:szCs w:val="20"/>
                <w:lang w:val="de-DE"/>
              </w:rPr>
              <w:t>’</w:t>
            </w:r>
          </w:p>
          <w:p w:rsidRPr="00D43D39" w:rsidR="004842F3" w:rsidP="00715DAB" w:rsidRDefault="71A53D55" w14:paraId="638D9ECD"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BVR Institutssicherung GmbH</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115FA635"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Greece </w:t>
            </w:r>
          </w:p>
          <w:p w:rsidRPr="00D43D39" w:rsidR="004842F3" w:rsidP="00715DAB" w:rsidRDefault="71A53D55" w14:paraId="1D77E984"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Ταμείο Εγγύησης Καταθέσεων και Επενδύσεων</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1C463184"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Hungary </w:t>
            </w:r>
          </w:p>
          <w:p w:rsidRPr="00D43D39" w:rsidR="004842F3" w:rsidP="00715DAB" w:rsidRDefault="71A53D55" w14:paraId="4BE65025"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Országos Betétbiztosítási Alap</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5D9D8850"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Iceland</w:t>
            </w:r>
          </w:p>
          <w:p w:rsidRPr="00D43D39" w:rsidR="004842F3" w:rsidP="00715DAB" w:rsidRDefault="71A53D55" w14:paraId="7F833BFA"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Tryggingarsjóður innstæðueigenda og fjárfesta</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68A0DAA2"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Ireland</w:t>
            </w:r>
          </w:p>
          <w:p w:rsidRPr="00D43D39" w:rsidR="004842F3" w:rsidP="00715DAB" w:rsidRDefault="71A53D55" w14:paraId="7DF05995"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Irish Deposit Protection Scheme</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08A99614"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Italy </w:t>
            </w:r>
          </w:p>
          <w:p w:rsidRPr="00D43D39" w:rsidR="004842F3" w:rsidP="00715DAB" w:rsidRDefault="71A53D55" w14:paraId="6CEF34EF"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it-IT"/>
              </w:rPr>
            </w:pPr>
            <w:r w:rsidRPr="00D43D39">
              <w:rPr>
                <w:rFonts w:ascii="Times New Roman" w:hAnsi="Times New Roman" w:eastAsia="Cambria" w:cs="Times New Roman"/>
                <w:color w:val="000000" w:themeColor="text1"/>
                <w:spacing w:val="-2"/>
                <w:w w:val="95"/>
                <w:sz w:val="20"/>
                <w:szCs w:val="20"/>
                <w:lang w:val="it-IT"/>
              </w:rPr>
              <w:t>‘</w:t>
            </w:r>
            <w:r w:rsidRPr="00D43D39" w:rsidR="651B723F">
              <w:rPr>
                <w:rFonts w:ascii="Times New Roman" w:hAnsi="Times New Roman" w:eastAsia="Cambria" w:cs="Times New Roman"/>
                <w:color w:val="000000" w:themeColor="text1"/>
                <w:spacing w:val="-2"/>
                <w:w w:val="95"/>
                <w:sz w:val="20"/>
                <w:szCs w:val="20"/>
                <w:lang w:val="it-IT"/>
              </w:rPr>
              <w:t>Fondo Interbancario di Tutela dei Depositi</w:t>
            </w:r>
            <w:r w:rsidRPr="00D43D39">
              <w:rPr>
                <w:rFonts w:ascii="Times New Roman" w:hAnsi="Times New Roman" w:eastAsia="Cambria" w:cs="Times New Roman"/>
                <w:color w:val="000000" w:themeColor="text1"/>
                <w:spacing w:val="-2"/>
                <w:w w:val="95"/>
                <w:sz w:val="20"/>
                <w:szCs w:val="20"/>
                <w:lang w:val="it-IT"/>
              </w:rPr>
              <w:t>’</w:t>
            </w:r>
          </w:p>
          <w:p w:rsidRPr="00D43D39" w:rsidR="004842F3" w:rsidP="00715DAB" w:rsidRDefault="71A53D55" w14:paraId="2FCEB374"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it-IT"/>
              </w:rPr>
            </w:pPr>
            <w:r w:rsidRPr="00D43D39">
              <w:rPr>
                <w:rFonts w:ascii="Times New Roman" w:hAnsi="Times New Roman" w:eastAsia="Cambria" w:cs="Times New Roman"/>
                <w:color w:val="000000" w:themeColor="text1"/>
                <w:spacing w:val="-2"/>
                <w:w w:val="95"/>
                <w:sz w:val="20"/>
                <w:szCs w:val="20"/>
                <w:lang w:val="it-IT"/>
              </w:rPr>
              <w:t>‘</w:t>
            </w:r>
            <w:r w:rsidRPr="00D43D39" w:rsidR="651B723F">
              <w:rPr>
                <w:rFonts w:ascii="Times New Roman" w:hAnsi="Times New Roman" w:eastAsia="Cambria" w:cs="Times New Roman"/>
                <w:color w:val="000000" w:themeColor="text1"/>
                <w:spacing w:val="-2"/>
                <w:w w:val="95"/>
                <w:sz w:val="20"/>
                <w:szCs w:val="20"/>
                <w:lang w:val="it-IT"/>
              </w:rPr>
              <w:t>Fondo di Garanzia dei Depositanti del Credito Cooperativo</w:t>
            </w:r>
            <w:r w:rsidRPr="00D43D39">
              <w:rPr>
                <w:rFonts w:ascii="Times New Roman" w:hAnsi="Times New Roman" w:eastAsia="Cambria" w:cs="Times New Roman"/>
                <w:color w:val="000000" w:themeColor="text1"/>
                <w:spacing w:val="-2"/>
                <w:w w:val="95"/>
                <w:sz w:val="20"/>
                <w:szCs w:val="20"/>
                <w:lang w:val="it-IT"/>
              </w:rPr>
              <w:t>’</w:t>
            </w:r>
          </w:p>
          <w:p w:rsidRPr="00D43D39" w:rsidR="004842F3" w:rsidP="00743CD3" w:rsidRDefault="004842F3" w14:paraId="27C74215"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Latvia</w:t>
            </w:r>
          </w:p>
          <w:p w:rsidRPr="00D43D39" w:rsidR="004842F3" w:rsidP="00715DAB" w:rsidRDefault="71A53D55" w14:paraId="223EEA69"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Latvijas Noguldījumu garantiju fonds</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62B37C42"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Liechtenstein </w:t>
            </w:r>
          </w:p>
          <w:p w:rsidRPr="00D43D39" w:rsidR="004842F3" w:rsidP="00715DAB" w:rsidRDefault="71A53D55" w14:paraId="1AB2E012"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Einlagensicherungs- und Anlegerentschädigungs-Stiftung SV</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5B4AE230"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Lithuania</w:t>
            </w:r>
          </w:p>
          <w:p w:rsidRPr="00D43D39" w:rsidR="004842F3" w:rsidP="00715DAB" w:rsidRDefault="71A53D55" w14:paraId="62D4287F"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Indėlių ir investicijų draudimas</w:t>
            </w:r>
            <w:r w:rsidRPr="00D43D39">
              <w:rPr>
                <w:rFonts w:ascii="Times New Roman" w:hAnsi="Times New Roman" w:eastAsia="Cambria" w:cs="Times New Roman"/>
                <w:color w:val="000000" w:themeColor="text1"/>
                <w:spacing w:val="-2"/>
                <w:w w:val="95"/>
                <w:sz w:val="20"/>
                <w:szCs w:val="20"/>
                <w:lang w:val="en-GB"/>
              </w:rPr>
              <w:t>’</w:t>
            </w:r>
          </w:p>
          <w:p w:rsidRPr="00D43D39" w:rsidR="004842F3" w:rsidP="00743CD3" w:rsidRDefault="004842F3" w14:paraId="002280E8"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Luxembourg</w:t>
            </w:r>
          </w:p>
          <w:p w:rsidRPr="00D43D39" w:rsidR="004842F3" w:rsidP="00715DAB" w:rsidRDefault="71A53D55" w14:paraId="46B805EB"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fr-FR"/>
              </w:rPr>
            </w:pPr>
            <w:r w:rsidRPr="00D43D39">
              <w:rPr>
                <w:rFonts w:ascii="Times New Roman" w:hAnsi="Times New Roman" w:eastAsia="Cambria" w:cs="Times New Roman"/>
                <w:color w:val="000000" w:themeColor="text1"/>
                <w:spacing w:val="-2"/>
                <w:w w:val="95"/>
                <w:sz w:val="20"/>
                <w:szCs w:val="20"/>
                <w:lang w:val="fr-FR"/>
              </w:rPr>
              <w:t>‘</w:t>
            </w:r>
            <w:r w:rsidRPr="00D43D39" w:rsidR="651B723F">
              <w:rPr>
                <w:rFonts w:ascii="Times New Roman" w:hAnsi="Times New Roman" w:eastAsia="Cambria" w:cs="Times New Roman"/>
                <w:color w:val="000000" w:themeColor="text1"/>
                <w:spacing w:val="-2"/>
                <w:w w:val="95"/>
                <w:sz w:val="20"/>
                <w:szCs w:val="20"/>
                <w:lang w:val="fr-FR"/>
              </w:rPr>
              <w:t>Fond de garantie des Dépôts Luxembourg</w:t>
            </w:r>
            <w:r w:rsidRPr="00D43D39">
              <w:rPr>
                <w:rFonts w:ascii="Times New Roman" w:hAnsi="Times New Roman" w:eastAsia="Cambria" w:cs="Times New Roman"/>
                <w:color w:val="000000" w:themeColor="text1"/>
                <w:spacing w:val="-2"/>
                <w:w w:val="95"/>
                <w:sz w:val="20"/>
                <w:szCs w:val="20"/>
                <w:lang w:val="fr-FR"/>
              </w:rPr>
              <w:t>’</w:t>
            </w:r>
          </w:p>
          <w:p w:rsidRPr="00D43D39" w:rsidR="004842F3" w:rsidP="00743CD3" w:rsidRDefault="004842F3" w14:paraId="1CC7E6B6"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Malta</w:t>
            </w:r>
          </w:p>
          <w:p w:rsidRPr="00D43D39" w:rsidR="004842F3" w:rsidP="00715DAB" w:rsidRDefault="71A53D55" w14:paraId="3BEA89EB"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Depositor Compensation Scheme</w:t>
            </w:r>
            <w:r w:rsidRPr="00D43D39">
              <w:rPr>
                <w:rFonts w:ascii="Times New Roman" w:hAnsi="Times New Roman" w:eastAsia="Cambria" w:cs="Times New Roman"/>
                <w:color w:val="000000" w:themeColor="text1"/>
                <w:spacing w:val="-2"/>
                <w:w w:val="95"/>
                <w:sz w:val="20"/>
                <w:szCs w:val="20"/>
                <w:lang w:val="en-GB"/>
              </w:rPr>
              <w:t>’</w:t>
            </w:r>
          </w:p>
          <w:p w:rsidRPr="00D43D39" w:rsidR="004842F3" w:rsidP="004842F3" w:rsidRDefault="004842F3" w14:paraId="2FB9BFE2"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Netherlands </w:t>
            </w:r>
          </w:p>
          <w:p w:rsidRPr="00D43D39" w:rsidR="004842F3" w:rsidP="00715DAB" w:rsidRDefault="71A53D55" w14:paraId="04030DD5"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De Nederlandsche Bank, Depositogarantiestelsel</w:t>
            </w:r>
            <w:r w:rsidRPr="00D43D39">
              <w:rPr>
                <w:rFonts w:ascii="Times New Roman" w:hAnsi="Times New Roman" w:eastAsia="Cambria" w:cs="Times New Roman"/>
                <w:color w:val="000000" w:themeColor="text1"/>
                <w:spacing w:val="-2"/>
                <w:w w:val="95"/>
                <w:sz w:val="20"/>
                <w:szCs w:val="20"/>
                <w:lang w:val="en-GB"/>
              </w:rPr>
              <w:t>’</w:t>
            </w:r>
          </w:p>
          <w:p w:rsidRPr="00D43D39" w:rsidR="004842F3" w:rsidP="004842F3" w:rsidRDefault="004842F3" w14:paraId="043657DC"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Norway</w:t>
            </w:r>
          </w:p>
          <w:p w:rsidRPr="00D43D39" w:rsidR="004842F3" w:rsidP="00715DAB" w:rsidRDefault="71A53D55" w14:paraId="33D53E3B"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Bankenes sikringsfond</w:t>
            </w:r>
            <w:r w:rsidRPr="00D43D39">
              <w:rPr>
                <w:rFonts w:ascii="Times New Roman" w:hAnsi="Times New Roman" w:eastAsia="Cambria" w:cs="Times New Roman"/>
                <w:color w:val="000000" w:themeColor="text1"/>
                <w:spacing w:val="-2"/>
                <w:w w:val="95"/>
                <w:sz w:val="20"/>
                <w:szCs w:val="20"/>
                <w:lang w:val="en-GB"/>
              </w:rPr>
              <w:t>’</w:t>
            </w:r>
          </w:p>
          <w:p w:rsidRPr="00D43D39" w:rsidR="004842F3" w:rsidP="004842F3" w:rsidRDefault="004842F3" w14:paraId="16C136D3"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Poland</w:t>
            </w:r>
          </w:p>
          <w:p w:rsidRPr="00D43D39" w:rsidR="004842F3" w:rsidP="00715DAB" w:rsidRDefault="71A53D55" w14:paraId="0D610AE2"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Bankowy Fundusz Gwarancyjny</w:t>
            </w:r>
            <w:r w:rsidRPr="00D43D39">
              <w:rPr>
                <w:rFonts w:ascii="Times New Roman" w:hAnsi="Times New Roman" w:eastAsia="Cambria" w:cs="Times New Roman"/>
                <w:color w:val="000000" w:themeColor="text1"/>
                <w:spacing w:val="-2"/>
                <w:w w:val="95"/>
                <w:sz w:val="20"/>
                <w:szCs w:val="20"/>
                <w:lang w:val="en-GB"/>
              </w:rPr>
              <w:t>’</w:t>
            </w:r>
          </w:p>
          <w:p w:rsidRPr="00D43D39" w:rsidR="004842F3" w:rsidP="004842F3" w:rsidRDefault="004842F3" w14:paraId="5EEB257D"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Portugal</w:t>
            </w:r>
          </w:p>
          <w:p w:rsidRPr="00D43D39" w:rsidR="004842F3" w:rsidP="00715DAB" w:rsidRDefault="71A53D55" w14:paraId="7E0A1EBF"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Fundo de Garantia de Depósitos</w:t>
            </w:r>
            <w:r w:rsidRPr="00D43D39">
              <w:rPr>
                <w:rFonts w:ascii="Times New Roman" w:hAnsi="Times New Roman" w:eastAsia="Cambria" w:cs="Times New Roman"/>
                <w:color w:val="000000" w:themeColor="text1"/>
                <w:spacing w:val="-2"/>
                <w:w w:val="95"/>
                <w:sz w:val="20"/>
                <w:szCs w:val="20"/>
                <w:lang w:val="en-GB"/>
              </w:rPr>
              <w:t>’</w:t>
            </w:r>
          </w:p>
          <w:p w:rsidRPr="00D43D39" w:rsidR="004842F3" w:rsidP="00715DAB" w:rsidRDefault="71A53D55" w14:paraId="654A8CA1"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pt-PT"/>
              </w:rPr>
            </w:pPr>
            <w:r w:rsidRPr="00D43D39">
              <w:rPr>
                <w:rFonts w:ascii="Times New Roman" w:hAnsi="Times New Roman" w:eastAsia="Cambria" w:cs="Times New Roman"/>
                <w:color w:val="000000" w:themeColor="text1"/>
                <w:spacing w:val="-2"/>
                <w:w w:val="95"/>
                <w:sz w:val="20"/>
                <w:szCs w:val="20"/>
                <w:lang w:val="pt-PT"/>
              </w:rPr>
              <w:t>‘</w:t>
            </w:r>
            <w:r w:rsidRPr="00D43D39" w:rsidR="651B723F">
              <w:rPr>
                <w:rFonts w:ascii="Times New Roman" w:hAnsi="Times New Roman" w:eastAsia="Cambria" w:cs="Times New Roman"/>
                <w:color w:val="000000" w:themeColor="text1"/>
                <w:spacing w:val="-2"/>
                <w:w w:val="95"/>
                <w:sz w:val="20"/>
                <w:szCs w:val="20"/>
                <w:lang w:val="pt-PT"/>
              </w:rPr>
              <w:t>Fundo de Garantia do Crédito Agrícola Mútuo</w:t>
            </w:r>
            <w:r w:rsidRPr="00D43D39">
              <w:rPr>
                <w:rFonts w:ascii="Times New Roman" w:hAnsi="Times New Roman" w:eastAsia="Cambria" w:cs="Times New Roman"/>
                <w:color w:val="000000" w:themeColor="text1"/>
                <w:spacing w:val="-2"/>
                <w:w w:val="95"/>
                <w:sz w:val="20"/>
                <w:szCs w:val="20"/>
                <w:lang w:val="pt-PT"/>
              </w:rPr>
              <w:t>’</w:t>
            </w:r>
          </w:p>
          <w:p w:rsidRPr="00D43D39" w:rsidR="004842F3" w:rsidP="004842F3" w:rsidRDefault="004842F3" w14:paraId="7801F771"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Romania</w:t>
            </w:r>
          </w:p>
          <w:p w:rsidRPr="00D43D39" w:rsidR="004842F3" w:rsidP="00715DAB" w:rsidRDefault="71A53D55" w14:paraId="7E7EAD06"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pt-PT"/>
              </w:rPr>
            </w:pPr>
            <w:r w:rsidRPr="00D43D39">
              <w:rPr>
                <w:rFonts w:ascii="Times New Roman" w:hAnsi="Times New Roman" w:eastAsia="Cambria" w:cs="Times New Roman"/>
                <w:color w:val="000000" w:themeColor="text1"/>
                <w:spacing w:val="-2"/>
                <w:w w:val="95"/>
                <w:sz w:val="20"/>
                <w:szCs w:val="20"/>
                <w:lang w:val="pt-PT"/>
              </w:rPr>
              <w:t>‘</w:t>
            </w:r>
            <w:r w:rsidRPr="00D43D39" w:rsidR="651B723F">
              <w:rPr>
                <w:rFonts w:ascii="Times New Roman" w:hAnsi="Times New Roman" w:eastAsia="Cambria" w:cs="Times New Roman"/>
                <w:color w:val="000000" w:themeColor="text1"/>
                <w:spacing w:val="-2"/>
                <w:w w:val="95"/>
                <w:sz w:val="20"/>
                <w:szCs w:val="20"/>
                <w:lang w:val="pt-PT"/>
              </w:rPr>
              <w:t>Fondul de Garantare a Depozitelor in Sistemul Bancar</w:t>
            </w:r>
            <w:r w:rsidRPr="00D43D39">
              <w:rPr>
                <w:rFonts w:ascii="Times New Roman" w:hAnsi="Times New Roman" w:eastAsia="Cambria" w:cs="Times New Roman"/>
                <w:color w:val="000000" w:themeColor="text1"/>
                <w:spacing w:val="-2"/>
                <w:w w:val="95"/>
                <w:sz w:val="20"/>
                <w:szCs w:val="20"/>
                <w:lang w:val="pt-PT"/>
              </w:rPr>
              <w:t>’</w:t>
            </w:r>
          </w:p>
          <w:p w:rsidRPr="00D43D39" w:rsidR="004842F3" w:rsidP="004842F3" w:rsidRDefault="004842F3" w14:paraId="5CC0AC80"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Slovakia</w:t>
            </w:r>
          </w:p>
          <w:p w:rsidRPr="00D43D39" w:rsidR="004842F3" w:rsidP="00715DAB" w:rsidRDefault="71A53D55" w14:paraId="66A684F0"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Fond ochrany vkladov</w:t>
            </w:r>
            <w:r w:rsidRPr="00D43D39">
              <w:rPr>
                <w:rFonts w:ascii="Times New Roman" w:hAnsi="Times New Roman" w:eastAsia="Cambria" w:cs="Times New Roman"/>
                <w:color w:val="000000" w:themeColor="text1"/>
                <w:spacing w:val="-2"/>
                <w:w w:val="95"/>
                <w:sz w:val="20"/>
                <w:szCs w:val="20"/>
                <w:lang w:val="en-GB"/>
              </w:rPr>
              <w:t>’</w:t>
            </w:r>
          </w:p>
          <w:p w:rsidRPr="00D43D39" w:rsidR="004842F3" w:rsidP="004842F3" w:rsidRDefault="004842F3" w14:paraId="1D46CE3F"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 xml:space="preserve">Slovenia </w:t>
            </w:r>
          </w:p>
          <w:p w:rsidRPr="00D43D39" w:rsidR="004842F3" w:rsidP="00715DAB" w:rsidRDefault="71A53D55" w14:paraId="4062FF4F"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Banka Slovenije</w:t>
            </w:r>
            <w:r w:rsidRPr="00D43D39">
              <w:rPr>
                <w:rFonts w:ascii="Times New Roman" w:hAnsi="Times New Roman" w:eastAsia="Cambria" w:cs="Times New Roman"/>
                <w:color w:val="000000" w:themeColor="text1"/>
                <w:spacing w:val="-2"/>
                <w:w w:val="95"/>
                <w:sz w:val="20"/>
                <w:szCs w:val="20"/>
                <w:lang w:val="en-GB"/>
              </w:rPr>
              <w:t>’</w:t>
            </w:r>
          </w:p>
          <w:p w:rsidRPr="00D43D39" w:rsidR="004842F3" w:rsidP="004842F3" w:rsidRDefault="004842F3" w14:paraId="30E94AEC"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Spain</w:t>
            </w:r>
          </w:p>
          <w:p w:rsidRPr="005F5507" w:rsidR="004842F3" w:rsidP="00715DAB" w:rsidRDefault="71A53D55" w14:paraId="00EC15AE"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s-ES"/>
              </w:rPr>
            </w:pPr>
            <w:r w:rsidRPr="005F5507">
              <w:rPr>
                <w:rFonts w:ascii="Times New Roman" w:hAnsi="Times New Roman" w:eastAsia="Cambria" w:cs="Times New Roman"/>
                <w:color w:val="000000" w:themeColor="text1"/>
                <w:spacing w:val="-2"/>
                <w:w w:val="95"/>
                <w:sz w:val="20"/>
                <w:szCs w:val="20"/>
                <w:lang w:val="es-ES"/>
              </w:rPr>
              <w:t>‘</w:t>
            </w:r>
            <w:r w:rsidRPr="005F5507" w:rsidR="651B723F">
              <w:rPr>
                <w:rFonts w:ascii="Times New Roman" w:hAnsi="Times New Roman" w:eastAsia="Cambria" w:cs="Times New Roman"/>
                <w:color w:val="000000" w:themeColor="text1"/>
                <w:spacing w:val="-2"/>
                <w:w w:val="95"/>
                <w:sz w:val="20"/>
                <w:szCs w:val="20"/>
                <w:lang w:val="es-ES"/>
              </w:rPr>
              <w:t>Fondo de Garantía de Depósitos de Entidades de Crédito</w:t>
            </w:r>
            <w:r w:rsidRPr="005F5507">
              <w:rPr>
                <w:rFonts w:ascii="Times New Roman" w:hAnsi="Times New Roman" w:eastAsia="Cambria" w:cs="Times New Roman"/>
                <w:color w:val="000000" w:themeColor="text1"/>
                <w:spacing w:val="-2"/>
                <w:w w:val="95"/>
                <w:sz w:val="20"/>
                <w:szCs w:val="20"/>
                <w:lang w:val="es-ES"/>
              </w:rPr>
              <w:t>’</w:t>
            </w:r>
          </w:p>
          <w:p w:rsidRPr="00D43D39" w:rsidR="004842F3" w:rsidP="004842F3" w:rsidRDefault="004842F3" w14:paraId="7C0874CC" w14:textId="77777777">
            <w:pPr>
              <w:pStyle w:val="TableParagraph"/>
              <w:spacing w:before="108"/>
              <w:ind w:left="85"/>
              <w:jc w:val="both"/>
              <w:rPr>
                <w:rFonts w:ascii="Times New Roman" w:hAnsi="Times New Roman" w:eastAsia="Cambria" w:cs="Times New Roman"/>
                <w:b/>
                <w:color w:val="000000" w:themeColor="text1"/>
                <w:spacing w:val="-2"/>
                <w:w w:val="95"/>
                <w:sz w:val="20"/>
                <w:szCs w:val="20"/>
                <w:u w:val="single"/>
                <w:lang w:val="en-GB"/>
              </w:rPr>
            </w:pPr>
            <w:r w:rsidRPr="00D43D39">
              <w:rPr>
                <w:rFonts w:ascii="Times New Roman" w:hAnsi="Times New Roman" w:eastAsia="Cambria" w:cs="Times New Roman"/>
                <w:b/>
                <w:color w:val="000000" w:themeColor="text1"/>
                <w:spacing w:val="-2"/>
                <w:w w:val="95"/>
                <w:sz w:val="20"/>
                <w:szCs w:val="20"/>
                <w:u w:val="single"/>
                <w:lang w:val="en-GB"/>
              </w:rPr>
              <w:t>Sweden</w:t>
            </w:r>
          </w:p>
          <w:p w:rsidRPr="00D43D39" w:rsidR="004842F3" w:rsidP="00715DAB" w:rsidRDefault="71A53D55" w14:paraId="6B75A5FA" w14:textId="77777777">
            <w:pPr>
              <w:pStyle w:val="TableParagraph"/>
              <w:numPr>
                <w:ilvl w:val="0"/>
                <w:numId w:val="70"/>
              </w:numPr>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t>
            </w:r>
            <w:r w:rsidRPr="00D43D39" w:rsidR="651B723F">
              <w:rPr>
                <w:rFonts w:ascii="Times New Roman" w:hAnsi="Times New Roman" w:eastAsia="Cambria" w:cs="Times New Roman"/>
                <w:color w:val="000000" w:themeColor="text1"/>
                <w:spacing w:val="-2"/>
                <w:w w:val="95"/>
                <w:sz w:val="20"/>
                <w:szCs w:val="20"/>
                <w:lang w:val="en-GB"/>
              </w:rPr>
              <w:t>Riksgälden</w:t>
            </w:r>
            <w:r w:rsidRPr="00D43D39">
              <w:rPr>
                <w:rFonts w:ascii="Times New Roman" w:hAnsi="Times New Roman" w:eastAsia="Cambria" w:cs="Times New Roman"/>
                <w:color w:val="000000" w:themeColor="text1"/>
                <w:spacing w:val="-2"/>
                <w:w w:val="95"/>
                <w:sz w:val="20"/>
                <w:szCs w:val="20"/>
                <w:lang w:val="en-GB"/>
              </w:rPr>
              <w:t>’</w:t>
            </w:r>
          </w:p>
          <w:p w:rsidRPr="00D43D39" w:rsidR="00EE17EF" w:rsidP="00CF6E13" w:rsidRDefault="00EE17EF" w14:paraId="5F80FBE2"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p>
          <w:p w:rsidRPr="00D43D39" w:rsidR="00F86BB3" w:rsidP="00CF6E13" w:rsidRDefault="00CF6E13" w14:paraId="724BE8E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If the officially recognised DGS of which the entity is member is not listed above, ‘other’ shall be reported.</w:t>
            </w:r>
          </w:p>
        </w:tc>
      </w:tr>
      <w:tr w:rsidRPr="00D43D39" w:rsidR="00D22EB0" w:rsidTr="1B49DE8E" w14:paraId="0830E9CD" w14:textId="77777777">
        <w:tc>
          <w:tcPr>
            <w:tcW w:w="1191" w:type="dxa"/>
            <w:tcBorders>
              <w:top w:val="single" w:color="1A171C" w:sz="4" w:space="0"/>
              <w:left w:val="nil"/>
              <w:bottom w:val="single" w:color="1A171C" w:sz="4" w:space="0"/>
              <w:right w:val="single" w:color="1A171C" w:sz="4" w:space="0"/>
            </w:tcBorders>
          </w:tcPr>
          <w:p w:rsidRPr="00D43D39" w:rsidR="0057049E" w:rsidP="00AE7D80" w:rsidRDefault="0057049E" w14:paraId="52E28E4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193452">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40</w:t>
            </w:r>
          </w:p>
        </w:tc>
        <w:tc>
          <w:tcPr>
            <w:tcW w:w="7892" w:type="dxa"/>
            <w:tcBorders>
              <w:top w:val="single" w:color="1A171C" w:sz="4" w:space="0"/>
              <w:left w:val="single" w:color="1A171C" w:sz="4" w:space="0"/>
              <w:bottom w:val="single" w:color="1A171C" w:sz="4" w:space="0"/>
              <w:right w:val="nil"/>
            </w:tcBorders>
          </w:tcPr>
          <w:p w:rsidRPr="00D43D39" w:rsidR="0057049E" w:rsidP="0057049E" w:rsidRDefault="0057049E" w14:paraId="58782B94"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Amount of covered deposits</w:t>
            </w:r>
          </w:p>
          <w:p w:rsidRPr="00D43D39" w:rsidR="0057049E" w:rsidP="000B0CAC" w:rsidRDefault="0057049E" w14:paraId="152CB00C"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Article</w:t>
            </w:r>
            <w:r w:rsidRPr="00D43D39" w:rsidR="00201640">
              <w:rPr>
                <w:rFonts w:ascii="Times New Roman" w:hAnsi="Times New Roman" w:eastAsia="Cambria" w:cs="Times New Roman"/>
                <w:color w:val="000000" w:themeColor="text1"/>
                <w:spacing w:val="-2"/>
                <w:w w:val="95"/>
                <w:sz w:val="20"/>
                <w:szCs w:val="20"/>
                <w:lang w:val="en-GB"/>
              </w:rPr>
              <w:t>s</w:t>
            </w:r>
            <w:r w:rsidRPr="00D43D39">
              <w:rPr>
                <w:rFonts w:ascii="Times New Roman" w:hAnsi="Times New Roman" w:eastAsia="Cambria" w:cs="Times New Roman"/>
                <w:color w:val="000000" w:themeColor="text1"/>
                <w:spacing w:val="-2"/>
                <w:w w:val="95"/>
                <w:sz w:val="20"/>
                <w:szCs w:val="20"/>
                <w:lang w:val="en-GB"/>
              </w:rPr>
              <w:t xml:space="preserve"> 2(1)(5)</w:t>
            </w:r>
            <w:r w:rsidRPr="00D43D39" w:rsidR="00201640">
              <w:rPr>
                <w:rFonts w:ascii="Times New Roman" w:hAnsi="Times New Roman" w:eastAsia="Cambria" w:cs="Times New Roman"/>
                <w:color w:val="000000" w:themeColor="text1"/>
                <w:spacing w:val="-2"/>
                <w:w w:val="95"/>
                <w:sz w:val="20"/>
                <w:szCs w:val="20"/>
                <w:lang w:val="en-GB"/>
              </w:rPr>
              <w:t xml:space="preserve"> and </w:t>
            </w:r>
            <w:r w:rsidRPr="00D43D39">
              <w:rPr>
                <w:rFonts w:ascii="Times New Roman" w:hAnsi="Times New Roman" w:eastAsia="Cambria" w:cs="Times New Roman"/>
                <w:color w:val="000000" w:themeColor="text1"/>
                <w:spacing w:val="-2"/>
                <w:w w:val="95"/>
                <w:sz w:val="20"/>
                <w:szCs w:val="20"/>
                <w:lang w:val="en-GB"/>
              </w:rPr>
              <w:t xml:space="preserve">6(2) of </w:t>
            </w:r>
            <w:r w:rsidRPr="00D43D39" w:rsidR="00D6309A">
              <w:rPr>
                <w:rFonts w:ascii="Times New Roman" w:hAnsi="Times New Roman" w:eastAsia="Cambria" w:cs="Times New Roman"/>
                <w:color w:val="000000" w:themeColor="text1"/>
                <w:spacing w:val="-2"/>
                <w:w w:val="95"/>
                <w:sz w:val="20"/>
                <w:szCs w:val="20"/>
                <w:lang w:val="en-GB"/>
              </w:rPr>
              <w:t>Directive 2014/49/EU</w:t>
            </w:r>
          </w:p>
          <w:p w:rsidRPr="00D43D39" w:rsidR="0057049E" w:rsidP="0071320F" w:rsidRDefault="271CBA6E" w14:paraId="6E6A89A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of covered deposits as defined in point (5) of Article 2 (1)</w:t>
            </w:r>
            <w:r w:rsidRPr="00D43D39" w:rsidR="2C3234AA">
              <w:rPr>
                <w:rFonts w:ascii="Times New Roman" w:hAnsi="Times New Roman" w:eastAsia="Cambria" w:cs="Times New Roman"/>
                <w:color w:val="000000" w:themeColor="text1"/>
                <w:spacing w:val="-2"/>
                <w:w w:val="95"/>
                <w:sz w:val="20"/>
                <w:szCs w:val="20"/>
                <w:lang w:val="en-GB"/>
              </w:rPr>
              <w:t xml:space="preserve">, </w:t>
            </w:r>
            <w:r w:rsidRPr="00D43D39" w:rsidR="000493B5">
              <w:rPr>
                <w:rFonts w:ascii="Times New Roman" w:hAnsi="Times New Roman" w:eastAsia="Cambria" w:cs="Times New Roman"/>
                <w:color w:val="000000" w:themeColor="text1"/>
                <w:spacing w:val="-2"/>
                <w:w w:val="95"/>
                <w:sz w:val="20"/>
                <w:szCs w:val="20"/>
                <w:lang w:val="en-GB"/>
              </w:rPr>
              <w:t>in conjunction with Article 6</w:t>
            </w:r>
            <w:r w:rsidRPr="00D43D39" w:rsidR="32B0D451">
              <w:rPr>
                <w:rFonts w:ascii="Times New Roman" w:hAnsi="Times New Roman" w:eastAsia="Cambria" w:cs="Times New Roman"/>
                <w:color w:val="000000" w:themeColor="text1"/>
                <w:spacing w:val="-2"/>
                <w:w w:val="95"/>
                <w:sz w:val="20"/>
                <w:szCs w:val="20"/>
                <w:lang w:val="en-GB"/>
              </w:rPr>
              <w:t>,</w:t>
            </w:r>
            <w:r w:rsidRPr="00D43D39" w:rsidR="000493B5">
              <w:rPr>
                <w:rFonts w:ascii="Times New Roman" w:hAnsi="Times New Roman" w:eastAsia="Cambria" w:cs="Times New Roman"/>
                <w:color w:val="000000" w:themeColor="text1"/>
                <w:spacing w:val="-2"/>
                <w:w w:val="95"/>
                <w:sz w:val="20"/>
                <w:szCs w:val="20"/>
                <w:lang w:val="en-GB"/>
              </w:rPr>
              <w:t xml:space="preserve"> of the </w:t>
            </w:r>
            <w:r w:rsidRPr="00D43D39" w:rsidR="61F54A21">
              <w:rPr>
                <w:rFonts w:ascii="Times New Roman" w:hAnsi="Times New Roman" w:eastAsia="Cambria" w:cs="Times New Roman"/>
                <w:color w:val="000000" w:themeColor="text1"/>
                <w:spacing w:val="-2"/>
                <w:w w:val="95"/>
                <w:sz w:val="20"/>
                <w:szCs w:val="20"/>
                <w:lang w:val="en-GB"/>
              </w:rPr>
              <w:t>Directive 2014/49/EU</w:t>
            </w:r>
            <w:r w:rsidRPr="00D43D39" w:rsidR="000493B5">
              <w:rPr>
                <w:rFonts w:ascii="Times New Roman" w:hAnsi="Times New Roman" w:eastAsia="Cambria" w:cs="Times New Roman"/>
                <w:color w:val="000000" w:themeColor="text1"/>
                <w:spacing w:val="-2"/>
                <w:w w:val="95"/>
                <w:sz w:val="20"/>
                <w:szCs w:val="20"/>
                <w:lang w:val="en-GB"/>
              </w:rPr>
              <w:t xml:space="preserve">, </w:t>
            </w:r>
            <w:r w:rsidRPr="00D43D39" w:rsidR="2C3234AA">
              <w:rPr>
                <w:rFonts w:ascii="Times New Roman" w:hAnsi="Times New Roman" w:eastAsia="Cambria" w:cs="Times New Roman"/>
                <w:color w:val="000000" w:themeColor="text1"/>
                <w:spacing w:val="-2"/>
                <w:w w:val="95"/>
                <w:sz w:val="20"/>
                <w:szCs w:val="20"/>
                <w:lang w:val="en-GB"/>
              </w:rPr>
              <w:t>as covered by the DGS in row 0</w:t>
            </w:r>
            <w:r w:rsidRPr="00D43D39" w:rsidR="18555833">
              <w:rPr>
                <w:rFonts w:ascii="Times New Roman" w:hAnsi="Times New Roman" w:eastAsia="Cambria" w:cs="Times New Roman"/>
                <w:color w:val="000000" w:themeColor="text1"/>
                <w:spacing w:val="-2"/>
                <w:w w:val="95"/>
                <w:sz w:val="20"/>
                <w:szCs w:val="20"/>
                <w:lang w:val="en-GB"/>
              </w:rPr>
              <w:t>0</w:t>
            </w:r>
            <w:r w:rsidRPr="00D43D39" w:rsidR="161EF649">
              <w:rPr>
                <w:rFonts w:ascii="Times New Roman" w:hAnsi="Times New Roman" w:eastAsia="Cambria" w:cs="Times New Roman"/>
                <w:color w:val="000000" w:themeColor="text1"/>
                <w:spacing w:val="-2"/>
                <w:w w:val="95"/>
                <w:sz w:val="20"/>
                <w:szCs w:val="20"/>
                <w:lang w:val="en-GB"/>
              </w:rPr>
              <w:t>0</w:t>
            </w:r>
            <w:r w:rsidRPr="00D43D39" w:rsidR="2C3234AA">
              <w:rPr>
                <w:rFonts w:ascii="Times New Roman" w:hAnsi="Times New Roman" w:eastAsia="Cambria" w:cs="Times New Roman"/>
                <w:color w:val="000000" w:themeColor="text1"/>
                <w:spacing w:val="-2"/>
                <w:w w:val="95"/>
                <w:sz w:val="20"/>
                <w:szCs w:val="20"/>
                <w:lang w:val="en-GB"/>
              </w:rPr>
              <w:t>30</w:t>
            </w:r>
            <w:r w:rsidRPr="00D43D39" w:rsidR="4A952A54">
              <w:rPr>
                <w:rFonts w:ascii="Times New Roman" w:hAnsi="Times New Roman" w:eastAsia="Cambria" w:cs="Times New Roman"/>
                <w:color w:val="000000" w:themeColor="text1"/>
                <w:spacing w:val="-2"/>
                <w:w w:val="95"/>
                <w:sz w:val="20"/>
                <w:szCs w:val="20"/>
                <w:lang w:val="en-GB"/>
              </w:rPr>
              <w:t xml:space="preserve">, with the exclusion of </w:t>
            </w:r>
            <w:r w:rsidRPr="00D43D39">
              <w:rPr>
                <w:rFonts w:ascii="Times New Roman" w:hAnsi="Times New Roman" w:eastAsia="Cambria" w:cs="Times New Roman"/>
                <w:color w:val="000000" w:themeColor="text1"/>
                <w:spacing w:val="-2"/>
                <w:w w:val="95"/>
                <w:sz w:val="20"/>
                <w:szCs w:val="20"/>
                <w:lang w:val="en-GB"/>
              </w:rPr>
              <w:t xml:space="preserve">temporary high balances as defined in Article 6(2) of </w:t>
            </w:r>
            <w:r w:rsidRPr="00D43D39" w:rsidR="61F54A21">
              <w:rPr>
                <w:rFonts w:ascii="Times New Roman" w:hAnsi="Times New Roman" w:eastAsia="Cambria" w:cs="Times New Roman"/>
                <w:color w:val="000000" w:themeColor="text1"/>
                <w:spacing w:val="-2"/>
                <w:w w:val="95"/>
                <w:sz w:val="20"/>
                <w:szCs w:val="20"/>
                <w:lang w:val="en-GB"/>
              </w:rPr>
              <w:t>Directive 2014/49/EU</w:t>
            </w:r>
            <w:r w:rsidRPr="00D43D39">
              <w:rPr>
                <w:rFonts w:ascii="Times New Roman" w:hAnsi="Times New Roman" w:eastAsia="Cambria" w:cs="Times New Roman"/>
                <w:color w:val="000000" w:themeColor="text1"/>
                <w:spacing w:val="-2"/>
                <w:w w:val="95"/>
                <w:sz w:val="20"/>
                <w:szCs w:val="20"/>
                <w:lang w:val="en-GB"/>
              </w:rPr>
              <w:t>.</w:t>
            </w:r>
          </w:p>
        </w:tc>
      </w:tr>
      <w:tr w:rsidRPr="00D43D39" w:rsidR="00D22EB0" w:rsidTr="1B49DE8E" w14:paraId="62B4B156" w14:textId="77777777">
        <w:tc>
          <w:tcPr>
            <w:tcW w:w="1191" w:type="dxa"/>
            <w:tcBorders>
              <w:top w:val="single" w:color="1A171C" w:sz="4" w:space="0"/>
              <w:left w:val="nil"/>
              <w:bottom w:val="single" w:color="1A171C" w:sz="4" w:space="0"/>
              <w:right w:val="single" w:color="1A171C" w:sz="4" w:space="0"/>
            </w:tcBorders>
          </w:tcPr>
          <w:p w:rsidRPr="00D43D39" w:rsidR="0057049E" w:rsidP="00AE7D80" w:rsidRDefault="0057049E" w14:paraId="57860E4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193452">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50</w:t>
            </w:r>
          </w:p>
        </w:tc>
        <w:tc>
          <w:tcPr>
            <w:tcW w:w="7892" w:type="dxa"/>
            <w:tcBorders>
              <w:top w:val="single" w:color="1A171C" w:sz="4" w:space="0"/>
              <w:left w:val="single" w:color="1A171C" w:sz="4" w:space="0"/>
              <w:bottom w:val="single" w:color="1A171C" w:sz="4" w:space="0"/>
              <w:right w:val="nil"/>
            </w:tcBorders>
          </w:tcPr>
          <w:p w:rsidRPr="00D43D39" w:rsidR="0057049E" w:rsidP="0057049E" w:rsidRDefault="0057049E" w14:paraId="4CDD909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I</w:t>
            </w:r>
            <w:r w:rsidRPr="00D43D39" w:rsidR="00201640">
              <w:rPr>
                <w:rFonts w:ascii="Times New Roman" w:hAnsi="Times New Roman" w:cs="Times New Roman"/>
                <w:b/>
                <w:bCs/>
                <w:color w:val="000000" w:themeColor="text1"/>
                <w:sz w:val="20"/>
                <w:szCs w:val="20"/>
                <w:lang w:val="en-GB"/>
              </w:rPr>
              <w:t xml:space="preserve">nstitutional </w:t>
            </w:r>
            <w:r w:rsidRPr="00D43D39">
              <w:rPr>
                <w:rFonts w:ascii="Times New Roman" w:hAnsi="Times New Roman" w:cs="Times New Roman"/>
                <w:b/>
                <w:bCs/>
                <w:color w:val="000000" w:themeColor="text1"/>
                <w:sz w:val="20"/>
                <w:szCs w:val="20"/>
                <w:lang w:val="en-GB"/>
              </w:rPr>
              <w:t>P</w:t>
            </w:r>
            <w:r w:rsidRPr="00D43D39" w:rsidR="00201640">
              <w:rPr>
                <w:rFonts w:ascii="Times New Roman" w:hAnsi="Times New Roman" w:cs="Times New Roman"/>
                <w:b/>
                <w:bCs/>
                <w:color w:val="000000" w:themeColor="text1"/>
                <w:sz w:val="20"/>
                <w:szCs w:val="20"/>
                <w:lang w:val="en-GB"/>
              </w:rPr>
              <w:t xml:space="preserve">rotection </w:t>
            </w:r>
            <w:r w:rsidRPr="00D43D39">
              <w:rPr>
                <w:rFonts w:ascii="Times New Roman" w:hAnsi="Times New Roman" w:cs="Times New Roman"/>
                <w:b/>
                <w:bCs/>
                <w:color w:val="000000" w:themeColor="text1"/>
                <w:sz w:val="20"/>
                <w:szCs w:val="20"/>
                <w:lang w:val="en-GB"/>
              </w:rPr>
              <w:t>S</w:t>
            </w:r>
            <w:r w:rsidRPr="00D43D39" w:rsidR="00201640">
              <w:rPr>
                <w:rFonts w:ascii="Times New Roman" w:hAnsi="Times New Roman" w:cs="Times New Roman"/>
                <w:b/>
                <w:bCs/>
                <w:color w:val="000000" w:themeColor="text1"/>
                <w:sz w:val="20"/>
                <w:szCs w:val="20"/>
                <w:lang w:val="en-GB"/>
              </w:rPr>
              <w:t>cheme</w:t>
            </w:r>
          </w:p>
          <w:p w:rsidRPr="00D43D39" w:rsidR="0057049E" w:rsidP="00AE7D80" w:rsidRDefault="0057049E" w14:paraId="6B015E9A"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Article 113(7) of </w:t>
            </w:r>
            <w:r w:rsidRPr="00D43D39" w:rsidR="00063EEC">
              <w:rPr>
                <w:rFonts w:ascii="Times New Roman" w:hAnsi="Times New Roman" w:eastAsia="Cambria" w:cs="Times New Roman"/>
                <w:color w:val="000000" w:themeColor="text1"/>
                <w:spacing w:val="-2"/>
                <w:w w:val="95"/>
                <w:sz w:val="20"/>
                <w:szCs w:val="20"/>
                <w:lang w:val="en-GB"/>
              </w:rPr>
              <w:t>Regulation (EU) No 575/2013</w:t>
            </w:r>
          </w:p>
          <w:p w:rsidRPr="00D43D39" w:rsidR="006550E5" w:rsidP="006550E5" w:rsidRDefault="0057049E" w14:paraId="2E97210C" w14:textId="2EA00555">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Name of the Institutional Protection Scheme, as referred to in Article 113(7) </w:t>
            </w:r>
            <w:r w:rsidRPr="00D43D39" w:rsidR="00063EEC">
              <w:rPr>
                <w:rFonts w:ascii="Times New Roman" w:hAnsi="Times New Roman" w:eastAsia="Cambria" w:cs="Times New Roman"/>
                <w:color w:val="000000" w:themeColor="text1"/>
                <w:spacing w:val="-2"/>
                <w:w w:val="95"/>
                <w:sz w:val="20"/>
                <w:szCs w:val="20"/>
                <w:lang w:val="en-GB"/>
              </w:rPr>
              <w:t>Regulation (EU) No 575/2013</w:t>
            </w:r>
            <w:r w:rsidRPr="00D43D39">
              <w:rPr>
                <w:rFonts w:ascii="Times New Roman" w:hAnsi="Times New Roman" w:eastAsia="Cambria" w:cs="Times New Roman"/>
                <w:color w:val="000000" w:themeColor="text1"/>
                <w:spacing w:val="-2"/>
                <w:w w:val="95"/>
                <w:sz w:val="20"/>
                <w:szCs w:val="20"/>
                <w:lang w:val="en-GB"/>
              </w:rPr>
              <w:t xml:space="preserve">, of which the </w:t>
            </w:r>
            <w:r w:rsidRPr="00D43D39" w:rsidR="00FC3C38">
              <w:rPr>
                <w:rFonts w:ascii="Times New Roman" w:hAnsi="Times New Roman" w:eastAsia="Cambria" w:cs="Times New Roman"/>
                <w:color w:val="000000" w:themeColor="text1"/>
                <w:spacing w:val="-2"/>
                <w:w w:val="95"/>
                <w:sz w:val="20"/>
                <w:szCs w:val="20"/>
                <w:lang w:val="en-GB"/>
              </w:rPr>
              <w:t>e</w:t>
            </w:r>
            <w:r w:rsidRPr="00D43D39" w:rsidR="001C74FB">
              <w:rPr>
                <w:rFonts w:ascii="Times New Roman" w:hAnsi="Times New Roman" w:eastAsia="Cambria" w:cs="Times New Roman"/>
                <w:color w:val="000000" w:themeColor="text1"/>
                <w:spacing w:val="-2"/>
                <w:w w:val="95"/>
                <w:sz w:val="20"/>
                <w:szCs w:val="20"/>
                <w:lang w:val="en-GB"/>
              </w:rPr>
              <w:t>ntity</w:t>
            </w:r>
            <w:r w:rsidRPr="00D43D39">
              <w:rPr>
                <w:rFonts w:ascii="Times New Roman" w:hAnsi="Times New Roman" w:eastAsia="Cambria" w:cs="Times New Roman"/>
                <w:color w:val="000000" w:themeColor="text1"/>
                <w:spacing w:val="-2"/>
                <w:w w:val="95"/>
                <w:sz w:val="20"/>
                <w:szCs w:val="20"/>
                <w:lang w:val="en-GB"/>
              </w:rPr>
              <w:t xml:space="preserve"> is a member</w:t>
            </w:r>
            <w:r w:rsidRPr="00D43D39" w:rsidR="006550E5">
              <w:rPr>
                <w:rFonts w:ascii="Times New Roman" w:hAnsi="Times New Roman" w:eastAsia="Cambria" w:cs="Times New Roman"/>
                <w:color w:val="000000" w:themeColor="text1"/>
                <w:spacing w:val="-2"/>
                <w:w w:val="95"/>
                <w:sz w:val="20"/>
                <w:szCs w:val="20"/>
                <w:lang w:val="en-GB"/>
              </w:rPr>
              <w:t xml:space="preserve">. </w:t>
            </w:r>
            <w:r w:rsidRPr="00D43D39" w:rsidR="00E17817">
              <w:rPr>
                <w:rFonts w:ascii="Times New Roman" w:hAnsi="Times New Roman" w:eastAsia="Cambria" w:cs="Times New Roman"/>
                <w:color w:val="000000" w:themeColor="text1"/>
                <w:spacing w:val="-2"/>
                <w:w w:val="95"/>
                <w:sz w:val="20"/>
                <w:szCs w:val="20"/>
                <w:lang w:val="en-GB"/>
              </w:rPr>
              <w:t xml:space="preserve">Do not report anything </w:t>
            </w:r>
            <w:r w:rsidRPr="00D43D39">
              <w:rPr>
                <w:rFonts w:ascii="Times New Roman" w:hAnsi="Times New Roman" w:eastAsia="Cambria" w:cs="Times New Roman"/>
                <w:color w:val="000000" w:themeColor="text1"/>
                <w:spacing w:val="-2"/>
                <w:w w:val="95"/>
                <w:sz w:val="20"/>
                <w:szCs w:val="20"/>
                <w:lang w:val="en-GB"/>
              </w:rPr>
              <w:t xml:space="preserve">if the </w:t>
            </w:r>
            <w:r w:rsidRPr="00D43D39" w:rsidR="00FC3C38">
              <w:rPr>
                <w:rFonts w:ascii="Times New Roman" w:hAnsi="Times New Roman" w:eastAsia="Cambria" w:cs="Times New Roman"/>
                <w:color w:val="000000" w:themeColor="text1"/>
                <w:spacing w:val="-2"/>
                <w:w w:val="95"/>
                <w:sz w:val="20"/>
                <w:szCs w:val="20"/>
                <w:lang w:val="en-GB"/>
              </w:rPr>
              <w:t>e</w:t>
            </w:r>
            <w:r w:rsidRPr="00D43D39" w:rsidR="001C74FB">
              <w:rPr>
                <w:rFonts w:ascii="Times New Roman" w:hAnsi="Times New Roman" w:eastAsia="Cambria" w:cs="Times New Roman"/>
                <w:color w:val="000000" w:themeColor="text1"/>
                <w:spacing w:val="-2"/>
                <w:w w:val="95"/>
                <w:sz w:val="20"/>
                <w:szCs w:val="20"/>
                <w:lang w:val="en-GB"/>
              </w:rPr>
              <w:t>ntity</w:t>
            </w:r>
            <w:r w:rsidRPr="00D43D39">
              <w:rPr>
                <w:rFonts w:ascii="Times New Roman" w:hAnsi="Times New Roman" w:eastAsia="Cambria" w:cs="Times New Roman"/>
                <w:color w:val="000000" w:themeColor="text1"/>
                <w:spacing w:val="-2"/>
                <w:w w:val="95"/>
                <w:sz w:val="20"/>
                <w:szCs w:val="20"/>
                <w:lang w:val="en-GB"/>
              </w:rPr>
              <w:t xml:space="preserve"> is not a member of an IPS.</w:t>
            </w:r>
            <w:r w:rsidRPr="00D43D39" w:rsidR="006550E5">
              <w:rPr>
                <w:rFonts w:ascii="Times New Roman" w:hAnsi="Times New Roman" w:eastAsia="Cambria" w:cs="Times New Roman"/>
                <w:color w:val="000000" w:themeColor="text1"/>
                <w:spacing w:val="-2"/>
                <w:w w:val="95"/>
                <w:sz w:val="20"/>
                <w:szCs w:val="20"/>
                <w:lang w:val="en-GB"/>
              </w:rPr>
              <w:t xml:space="preserve"> If the entity is member of an IPS which is also officially recognised as a DGS pursuant to Article 4(2) of </w:t>
            </w:r>
            <w:r w:rsidRPr="00D43D39" w:rsidR="00D6309A">
              <w:rPr>
                <w:rFonts w:ascii="Times New Roman" w:hAnsi="Times New Roman" w:eastAsia="Cambria" w:cs="Times New Roman"/>
                <w:color w:val="000000" w:themeColor="text1"/>
                <w:spacing w:val="-2"/>
                <w:w w:val="95"/>
                <w:sz w:val="20"/>
                <w:szCs w:val="20"/>
                <w:lang w:val="en-GB"/>
              </w:rPr>
              <w:t>Directive 2014/49/EU</w:t>
            </w:r>
            <w:r w:rsidRPr="00D43D39" w:rsidR="006550E5">
              <w:rPr>
                <w:rFonts w:ascii="Times New Roman" w:hAnsi="Times New Roman" w:eastAsia="Cambria" w:cs="Times New Roman"/>
                <w:color w:val="000000" w:themeColor="text1"/>
                <w:spacing w:val="-2"/>
                <w:w w:val="95"/>
                <w:sz w:val="20"/>
                <w:szCs w:val="20"/>
                <w:lang w:val="en-GB"/>
              </w:rPr>
              <w:t xml:space="preserve">, the name of the IPS shall be identical </w:t>
            </w:r>
            <w:r w:rsidRPr="00D43D39" w:rsidR="00FC3C38">
              <w:rPr>
                <w:rFonts w:ascii="Times New Roman" w:hAnsi="Times New Roman" w:eastAsia="Cambria" w:cs="Times New Roman"/>
                <w:color w:val="000000" w:themeColor="text1"/>
                <w:spacing w:val="-2"/>
                <w:w w:val="95"/>
                <w:sz w:val="20"/>
                <w:szCs w:val="20"/>
                <w:lang w:val="en-GB"/>
              </w:rPr>
              <w:t xml:space="preserve">to </w:t>
            </w:r>
            <w:r w:rsidRPr="00D43D39" w:rsidR="006550E5">
              <w:rPr>
                <w:rFonts w:ascii="Times New Roman" w:hAnsi="Times New Roman" w:eastAsia="Cambria" w:cs="Times New Roman"/>
                <w:color w:val="000000" w:themeColor="text1"/>
                <w:spacing w:val="-2"/>
                <w:w w:val="95"/>
                <w:sz w:val="20"/>
                <w:szCs w:val="20"/>
                <w:lang w:val="en-GB"/>
              </w:rPr>
              <w:t>the name of the DGS in row 0</w:t>
            </w:r>
            <w:r w:rsidR="006B4B45">
              <w:rPr>
                <w:rFonts w:ascii="Times New Roman" w:hAnsi="Times New Roman" w:eastAsia="Cambria" w:cs="Times New Roman"/>
                <w:color w:val="000000" w:themeColor="text1"/>
                <w:spacing w:val="-2"/>
                <w:w w:val="95"/>
                <w:sz w:val="20"/>
                <w:szCs w:val="20"/>
                <w:lang w:val="en-GB"/>
              </w:rPr>
              <w:t>0</w:t>
            </w:r>
            <w:r w:rsidRPr="00D43D39" w:rsidR="006550E5">
              <w:rPr>
                <w:rFonts w:ascii="Times New Roman" w:hAnsi="Times New Roman" w:eastAsia="Cambria" w:cs="Times New Roman"/>
                <w:color w:val="000000" w:themeColor="text1"/>
                <w:spacing w:val="-2"/>
                <w:w w:val="95"/>
                <w:sz w:val="20"/>
                <w:szCs w:val="20"/>
                <w:lang w:val="en-GB"/>
              </w:rPr>
              <w:t>30.</w:t>
            </w:r>
          </w:p>
          <w:p w:rsidRPr="00D43D39" w:rsidR="0057049E" w:rsidP="006550E5" w:rsidRDefault="0057049E" w14:paraId="76DBA0C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p>
        </w:tc>
      </w:tr>
      <w:tr w:rsidRPr="00D43D39" w:rsidR="0057049E" w:rsidTr="1B49DE8E" w14:paraId="54081205" w14:textId="77777777">
        <w:tc>
          <w:tcPr>
            <w:tcW w:w="1191" w:type="dxa"/>
            <w:tcBorders>
              <w:top w:val="single" w:color="1A171C" w:sz="4" w:space="0"/>
              <w:left w:val="nil"/>
              <w:bottom w:val="single" w:color="1A171C" w:sz="4" w:space="0"/>
              <w:right w:val="single" w:color="1A171C" w:sz="4" w:space="0"/>
            </w:tcBorders>
          </w:tcPr>
          <w:p w:rsidRPr="00D43D39" w:rsidR="0057049E" w:rsidP="00AE7D80" w:rsidRDefault="0057049E" w14:paraId="49041A9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193452">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60</w:t>
            </w:r>
          </w:p>
        </w:tc>
        <w:tc>
          <w:tcPr>
            <w:tcW w:w="7892" w:type="dxa"/>
            <w:tcBorders>
              <w:top w:val="single" w:color="1A171C" w:sz="4" w:space="0"/>
              <w:left w:val="single" w:color="1A171C" w:sz="4" w:space="0"/>
              <w:bottom w:val="single" w:color="1A171C" w:sz="4" w:space="0"/>
              <w:right w:val="nil"/>
            </w:tcBorders>
          </w:tcPr>
          <w:p w:rsidRPr="00D43D39" w:rsidR="0057049E" w:rsidP="0057049E" w:rsidRDefault="0057049E" w14:paraId="3D7BFCD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Additional protection under contractual scheme</w:t>
            </w:r>
          </w:p>
          <w:p w:rsidRPr="00D43D39" w:rsidR="0057049E" w:rsidP="00AE7D80" w:rsidRDefault="0057049E" w14:paraId="589FF84F"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Article 1(</w:t>
            </w:r>
            <w:r w:rsidRPr="00D43D39" w:rsidR="00FC3C38">
              <w:rPr>
                <w:rFonts w:ascii="Times New Roman" w:hAnsi="Times New Roman" w:eastAsia="Cambria" w:cs="Times New Roman"/>
                <w:color w:val="000000" w:themeColor="text1"/>
                <w:spacing w:val="-2"/>
                <w:w w:val="95"/>
                <w:sz w:val="20"/>
                <w:szCs w:val="20"/>
                <w:lang w:val="en-GB"/>
              </w:rPr>
              <w:t>3</w:t>
            </w:r>
            <w:r w:rsidRPr="00D43D39">
              <w:rPr>
                <w:rFonts w:ascii="Times New Roman" w:hAnsi="Times New Roman" w:eastAsia="Cambria" w:cs="Times New Roman"/>
                <w:color w:val="000000" w:themeColor="text1"/>
                <w:spacing w:val="-2"/>
                <w:w w:val="95"/>
                <w:sz w:val="20"/>
                <w:szCs w:val="20"/>
                <w:lang w:val="en-GB"/>
              </w:rPr>
              <w:t>)</w:t>
            </w:r>
            <w:r w:rsidRPr="00D43D39" w:rsidR="00FC3C38">
              <w:rPr>
                <w:rFonts w:ascii="Times New Roman" w:hAnsi="Times New Roman" w:eastAsia="Cambria" w:cs="Times New Roman"/>
                <w:color w:val="000000" w:themeColor="text1"/>
                <w:spacing w:val="-2"/>
                <w:w w:val="95"/>
                <w:sz w:val="20"/>
                <w:szCs w:val="20"/>
                <w:lang w:val="en-GB"/>
              </w:rPr>
              <w:t xml:space="preserve"> (a)</w:t>
            </w:r>
            <w:r w:rsidRPr="00D43D39">
              <w:rPr>
                <w:rFonts w:ascii="Times New Roman" w:hAnsi="Times New Roman" w:eastAsia="Cambria" w:cs="Times New Roman"/>
                <w:color w:val="000000" w:themeColor="text1"/>
                <w:spacing w:val="-2"/>
                <w:w w:val="95"/>
                <w:sz w:val="20"/>
                <w:szCs w:val="20"/>
                <w:lang w:val="en-GB"/>
              </w:rPr>
              <w:t xml:space="preserve"> of </w:t>
            </w:r>
            <w:r w:rsidRPr="00D43D39" w:rsidR="00D6309A">
              <w:rPr>
                <w:rFonts w:ascii="Times New Roman" w:hAnsi="Times New Roman" w:eastAsia="Cambria" w:cs="Times New Roman"/>
                <w:color w:val="000000" w:themeColor="text1"/>
                <w:spacing w:val="-2"/>
                <w:w w:val="95"/>
                <w:sz w:val="20"/>
                <w:szCs w:val="20"/>
                <w:lang w:val="en-GB"/>
              </w:rPr>
              <w:t>Directive 2014/49/EU</w:t>
            </w:r>
          </w:p>
          <w:p w:rsidRPr="00D43D39" w:rsidR="0057049E" w:rsidP="00D4315A" w:rsidRDefault="0057049E" w14:paraId="0C05C29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Amount of deposits covered by a contractual scheme at the </w:t>
            </w:r>
            <w:r w:rsidRPr="00D43D39" w:rsidR="001C74FB">
              <w:rPr>
                <w:rFonts w:ascii="Times New Roman" w:hAnsi="Times New Roman" w:eastAsia="Cambria" w:cs="Times New Roman"/>
                <w:color w:val="000000" w:themeColor="text1"/>
                <w:spacing w:val="-2"/>
                <w:w w:val="95"/>
                <w:sz w:val="20"/>
                <w:szCs w:val="20"/>
                <w:lang w:val="en-GB"/>
              </w:rPr>
              <w:t>Entity</w:t>
            </w:r>
            <w:r w:rsidRPr="00D43D39">
              <w:rPr>
                <w:rFonts w:ascii="Times New Roman" w:hAnsi="Times New Roman" w:eastAsia="Cambria" w:cs="Times New Roman"/>
                <w:color w:val="000000" w:themeColor="text1"/>
                <w:spacing w:val="-2"/>
                <w:w w:val="95"/>
                <w:sz w:val="20"/>
                <w:szCs w:val="20"/>
                <w:lang w:val="en-GB"/>
              </w:rPr>
              <w:t>.</w:t>
            </w:r>
          </w:p>
        </w:tc>
      </w:tr>
    </w:tbl>
    <w:p w:rsidRPr="00D43D39" w:rsidR="0057049E" w:rsidP="008F7980" w:rsidRDefault="0057049E" w14:paraId="54A835DD" w14:textId="77777777">
      <w:pPr>
        <w:rPr>
          <w:rFonts w:ascii="Times New Roman" w:hAnsi="Times New Roman" w:cs="Times New Roman"/>
          <w:b/>
          <w:color w:val="000000" w:themeColor="text1"/>
          <w:sz w:val="20"/>
          <w:szCs w:val="20"/>
          <w:u w:val="single"/>
          <w:lang w:val="en-GB"/>
        </w:rPr>
      </w:pPr>
    </w:p>
    <w:p w:rsidR="00E13CE3" w:rsidP="25FE6027" w:rsidRDefault="00E13CE3" w14:paraId="54273647" w14:textId="691F0645">
      <w:pPr>
        <w:pStyle w:val="Instructionsberschrift2"/>
        <w:numPr>
          <w:ilvl w:val="1"/>
          <w:numId w:val="49"/>
        </w:numPr>
        <w:ind w:left="357" w:hanging="357"/>
        <w:rPr>
          <w:rFonts w:ascii="Times New Roman" w:hAnsi="Times New Roman" w:cs="Times New Roman"/>
        </w:rPr>
      </w:pPr>
      <w:bookmarkStart w:name="_Toc492542327" w:id="96"/>
      <w:bookmarkStart w:name="_Toc81454186" w:id="97"/>
      <w:bookmarkStart w:name="_Toc172732231" w:id="98"/>
      <w:r w:rsidRPr="00D43D39">
        <w:rPr>
          <w:rFonts w:ascii="Times New Roman" w:hAnsi="Times New Roman" w:cs="Times New Roman"/>
        </w:rPr>
        <w:t>Critical functions and core business lines</w:t>
      </w:r>
      <w:bookmarkEnd w:id="96"/>
      <w:bookmarkEnd w:id="97"/>
      <w:bookmarkEnd w:id="98"/>
    </w:p>
    <w:p w:rsidRPr="00D43D39" w:rsidR="00AA4026" w:rsidP="00715DAB" w:rsidRDefault="00AA4026" w14:paraId="7F5A1735" w14:textId="77777777">
      <w:pPr>
        <w:pStyle w:val="Instructionsberschrift3"/>
        <w:rPr>
          <w:lang w:val="en-GB"/>
        </w:rPr>
      </w:pPr>
      <w:r w:rsidRPr="00D43D39">
        <w:rPr>
          <w:lang w:val="en-GB"/>
        </w:rPr>
        <w:t>General remarks</w:t>
      </w:r>
    </w:p>
    <w:p w:rsidRPr="00D43D39" w:rsidR="001D72E4" w:rsidP="005F5507" w:rsidRDefault="2EFB4F56" w14:paraId="3E394F27" w14:textId="6747F7AD">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The four templates of this section provide key data and qualitative assessments of the impact, substitutability and criticality of economic function</w:t>
      </w:r>
      <w:r w:rsidRPr="00D43D39" w:rsidR="4B86EC3F">
        <w:rPr>
          <w:rFonts w:ascii="Times New Roman" w:hAnsi="Times New Roman" w:cs="Times New Roman"/>
          <w:sz w:val="20"/>
          <w:szCs w:val="20"/>
          <w:lang w:val="en-GB"/>
        </w:rPr>
        <w:t>s the group is providing, supplemented by a</w:t>
      </w:r>
      <w:r w:rsidRPr="00D43D39">
        <w:rPr>
          <w:rFonts w:ascii="Times New Roman" w:hAnsi="Times New Roman" w:cs="Times New Roman"/>
          <w:sz w:val="20"/>
          <w:szCs w:val="20"/>
          <w:lang w:val="en-GB"/>
        </w:rPr>
        <w:t xml:space="preserve"> mapping of</w:t>
      </w:r>
      <w:r w:rsidRPr="00D43D39" w:rsidR="4B86EC3F">
        <w:rPr>
          <w:rFonts w:ascii="Times New Roman" w:hAnsi="Times New Roman" w:cs="Times New Roman"/>
          <w:sz w:val="20"/>
          <w:szCs w:val="20"/>
          <w:lang w:val="en-GB"/>
        </w:rPr>
        <w:t xml:space="preserve"> those critical functions to</w:t>
      </w:r>
      <w:r w:rsidRPr="00D43D39">
        <w:rPr>
          <w:rFonts w:ascii="Times New Roman" w:hAnsi="Times New Roman" w:cs="Times New Roman"/>
          <w:sz w:val="20"/>
          <w:szCs w:val="20"/>
          <w:lang w:val="en-GB"/>
        </w:rPr>
        <w:t xml:space="preserve"> core business lines </w:t>
      </w:r>
      <w:r w:rsidRPr="00D43D39" w:rsidR="4B86EC3F">
        <w:rPr>
          <w:rFonts w:ascii="Times New Roman" w:hAnsi="Times New Roman" w:cs="Times New Roman"/>
          <w:sz w:val="20"/>
          <w:szCs w:val="20"/>
          <w:lang w:val="en-GB"/>
        </w:rPr>
        <w:t>and</w:t>
      </w:r>
      <w:r w:rsidRPr="00D43D39">
        <w:rPr>
          <w:rFonts w:ascii="Times New Roman" w:hAnsi="Times New Roman" w:cs="Times New Roman"/>
          <w:sz w:val="20"/>
          <w:szCs w:val="20"/>
          <w:lang w:val="en-GB"/>
        </w:rPr>
        <w:t xml:space="preserve"> legal entities</w:t>
      </w:r>
      <w:r w:rsidRPr="00D43D39" w:rsidR="45C6C0B8">
        <w:rPr>
          <w:rFonts w:ascii="Times New Roman" w:hAnsi="Times New Roman" w:cs="Times New Roman"/>
          <w:sz w:val="20"/>
          <w:szCs w:val="20"/>
          <w:lang w:val="en-GB"/>
        </w:rPr>
        <w:t xml:space="preserve"> and by a mapping of core business lines to the legal entities.</w:t>
      </w:r>
    </w:p>
    <w:p w:rsidRPr="00D43D39" w:rsidR="005B5989" w:rsidP="005F5507" w:rsidRDefault="4B86EC3F" w14:paraId="379E7199"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More specifically, the </w:t>
      </w:r>
      <w:r w:rsidRPr="00D43D39" w:rsidR="2BB50809">
        <w:rPr>
          <w:rFonts w:ascii="Times New Roman" w:hAnsi="Times New Roman" w:cs="Times New Roman"/>
          <w:sz w:val="20"/>
          <w:szCs w:val="20"/>
          <w:lang w:val="en-GB"/>
        </w:rPr>
        <w:t xml:space="preserve">templates </w:t>
      </w:r>
      <w:r w:rsidRPr="00D43D39">
        <w:rPr>
          <w:rFonts w:ascii="Times New Roman" w:hAnsi="Times New Roman" w:cs="Times New Roman"/>
          <w:sz w:val="20"/>
          <w:szCs w:val="20"/>
          <w:lang w:val="en-GB"/>
        </w:rPr>
        <w:t>are dedicated to the following topics</w:t>
      </w:r>
      <w:r w:rsidRPr="00D43D39" w:rsidR="2BB50809">
        <w:rPr>
          <w:rFonts w:ascii="Times New Roman" w:hAnsi="Times New Roman" w:cs="Times New Roman"/>
          <w:sz w:val="20"/>
          <w:szCs w:val="20"/>
          <w:lang w:val="en-GB"/>
        </w:rPr>
        <w:t>:</w:t>
      </w:r>
    </w:p>
    <w:p w:rsidRPr="00D43D39" w:rsidR="004D12A4" w:rsidP="001C34E8" w:rsidRDefault="0EB09A9A" w14:paraId="5478B9AC" w14:textId="462E4FC5">
      <w:pPr>
        <w:pStyle w:val="InstructionsText2"/>
        <w:numPr>
          <w:ilvl w:val="0"/>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Template </w:t>
      </w:r>
      <w:r w:rsidRPr="00D43D39" w:rsidR="73B94CD9">
        <w:rPr>
          <w:rFonts w:ascii="Times New Roman" w:hAnsi="Times New Roman" w:cs="Times New Roman"/>
          <w:sz w:val="20"/>
          <w:szCs w:val="20"/>
          <w:lang w:val="en-GB"/>
        </w:rPr>
        <w:t>Z 0</w:t>
      </w:r>
      <w:r w:rsidRPr="00D43D39" w:rsidR="55EAF4BF">
        <w:rPr>
          <w:rFonts w:ascii="Times New Roman" w:hAnsi="Times New Roman" w:cs="Times New Roman"/>
          <w:sz w:val="20"/>
          <w:szCs w:val="20"/>
          <w:lang w:val="en-GB"/>
        </w:rPr>
        <w:t>7.01 - Criticality assessment of economic functions (FUNC 1)</w:t>
      </w:r>
      <w:r w:rsidRPr="00D43D39" w:rsidR="7D4171FC">
        <w:rPr>
          <w:rFonts w:ascii="Times New Roman" w:hAnsi="Times New Roman" w:cs="Times New Roman"/>
          <w:sz w:val="20"/>
          <w:szCs w:val="20"/>
          <w:lang w:val="en-GB"/>
        </w:rPr>
        <w:t xml:space="preserve"> </w:t>
      </w:r>
      <w:r w:rsidRPr="00D43D39" w:rsidR="65708D63">
        <w:rPr>
          <w:rFonts w:ascii="Times New Roman" w:hAnsi="Times New Roman" w:cs="Times New Roman"/>
          <w:sz w:val="20"/>
          <w:szCs w:val="20"/>
          <w:lang w:val="en-GB"/>
        </w:rPr>
        <w:t>provides the results of the criticality assessment of the economic functions performed by the group</w:t>
      </w:r>
      <w:r w:rsidRPr="00D43D39" w:rsidR="0166CCCB">
        <w:rPr>
          <w:rFonts w:ascii="Times New Roman" w:hAnsi="Times New Roman" w:cs="Times New Roman"/>
          <w:sz w:val="20"/>
          <w:szCs w:val="20"/>
          <w:lang w:val="en-GB"/>
        </w:rPr>
        <w:t>, based on quantitative and qualitative indicators,</w:t>
      </w:r>
      <w:r w:rsidRPr="00D43D39" w:rsidR="7D4171FC">
        <w:rPr>
          <w:rFonts w:ascii="Times New Roman" w:hAnsi="Times New Roman" w:cs="Times New Roman"/>
          <w:sz w:val="20"/>
          <w:szCs w:val="20"/>
          <w:lang w:val="en-GB"/>
        </w:rPr>
        <w:t xml:space="preserve"> the </w:t>
      </w:r>
      <w:r w:rsidRPr="00D43D39" w:rsidR="4B86EC3F">
        <w:rPr>
          <w:rFonts w:ascii="Times New Roman" w:hAnsi="Times New Roman" w:cs="Times New Roman"/>
          <w:sz w:val="20"/>
          <w:szCs w:val="20"/>
          <w:lang w:val="en-GB"/>
        </w:rPr>
        <w:t xml:space="preserve">non-critical and </w:t>
      </w:r>
      <w:r w:rsidRPr="00D43D39" w:rsidR="7D4171FC">
        <w:rPr>
          <w:rFonts w:ascii="Times New Roman" w:hAnsi="Times New Roman" w:cs="Times New Roman"/>
          <w:sz w:val="20"/>
          <w:szCs w:val="20"/>
          <w:lang w:val="en-GB"/>
        </w:rPr>
        <w:t xml:space="preserve">critical functions </w:t>
      </w:r>
      <w:r w:rsidRPr="00D43D39" w:rsidR="0652A6C5">
        <w:rPr>
          <w:rFonts w:ascii="Times New Roman" w:hAnsi="Times New Roman" w:cs="Times New Roman"/>
          <w:sz w:val="20"/>
          <w:szCs w:val="20"/>
          <w:lang w:val="en-GB"/>
        </w:rPr>
        <w:t>performed</w:t>
      </w:r>
      <w:r w:rsidRPr="00D43D39" w:rsidR="3AB94C03">
        <w:rPr>
          <w:rFonts w:ascii="Times New Roman" w:hAnsi="Times New Roman" w:cs="Times New Roman"/>
          <w:sz w:val="20"/>
          <w:szCs w:val="20"/>
          <w:lang w:val="en-GB"/>
        </w:rPr>
        <w:t xml:space="preserve">. </w:t>
      </w:r>
      <w:r w:rsidR="009A172F">
        <w:rPr>
          <w:rFonts w:ascii="Times New Roman" w:hAnsi="Times New Roman" w:cs="Times New Roman"/>
          <w:sz w:val="20"/>
          <w:szCs w:val="20"/>
          <w:lang w:val="en-GB"/>
        </w:rPr>
        <w:t xml:space="preserve">A separate </w:t>
      </w:r>
      <w:r w:rsidRPr="00D43D39" w:rsidR="3AB94C03">
        <w:rPr>
          <w:rFonts w:ascii="Times New Roman" w:hAnsi="Times New Roman" w:cs="Times New Roman"/>
          <w:sz w:val="20"/>
          <w:szCs w:val="20"/>
          <w:lang w:val="en-GB"/>
        </w:rPr>
        <w:t>template</w:t>
      </w:r>
      <w:r w:rsidR="009A172F">
        <w:rPr>
          <w:rFonts w:ascii="Times New Roman" w:hAnsi="Times New Roman" w:cs="Times New Roman"/>
          <w:sz w:val="20"/>
          <w:szCs w:val="20"/>
          <w:lang w:val="en-GB"/>
        </w:rPr>
        <w:t xml:space="preserve"> is expected from</w:t>
      </w:r>
      <w:r w:rsidRPr="00D43D39" w:rsidR="0652A6C5">
        <w:rPr>
          <w:rFonts w:ascii="Times New Roman" w:hAnsi="Times New Roman" w:cs="Times New Roman"/>
          <w:sz w:val="20"/>
          <w:szCs w:val="20"/>
          <w:lang w:val="en-GB"/>
        </w:rPr>
        <w:t xml:space="preserve"> the </w:t>
      </w:r>
      <w:r w:rsidRPr="00D43D39" w:rsidR="7D4171FC">
        <w:rPr>
          <w:rFonts w:ascii="Times New Roman" w:hAnsi="Times New Roman" w:cs="Times New Roman"/>
          <w:sz w:val="20"/>
          <w:szCs w:val="20"/>
          <w:lang w:val="en-GB"/>
        </w:rPr>
        <w:t>group</w:t>
      </w:r>
      <w:r w:rsidRPr="00D43D39" w:rsidR="4B86EC3F">
        <w:rPr>
          <w:rFonts w:ascii="Times New Roman" w:hAnsi="Times New Roman" w:cs="Times New Roman"/>
          <w:sz w:val="20"/>
          <w:szCs w:val="20"/>
          <w:lang w:val="en-GB"/>
        </w:rPr>
        <w:t xml:space="preserve"> for each </w:t>
      </w:r>
      <w:r w:rsidRPr="00D43D39" w:rsidR="1CCFB498">
        <w:rPr>
          <w:rFonts w:ascii="Times New Roman" w:hAnsi="Times New Roman" w:cs="Times New Roman"/>
          <w:sz w:val="20"/>
          <w:szCs w:val="20"/>
          <w:lang w:val="en-GB"/>
        </w:rPr>
        <w:t xml:space="preserve">Member State </w:t>
      </w:r>
      <w:r w:rsidRPr="00D43D39" w:rsidR="4B86EC3F">
        <w:rPr>
          <w:rFonts w:ascii="Times New Roman" w:hAnsi="Times New Roman" w:cs="Times New Roman"/>
          <w:sz w:val="20"/>
          <w:szCs w:val="20"/>
          <w:lang w:val="en-GB"/>
        </w:rPr>
        <w:t>in which the group is active</w:t>
      </w:r>
      <w:r w:rsidRPr="00D43D39" w:rsidR="00A924B6">
        <w:rPr>
          <w:rFonts w:ascii="Times New Roman" w:hAnsi="Times New Roman" w:cs="Times New Roman"/>
          <w:sz w:val="20"/>
          <w:szCs w:val="20"/>
          <w:lang w:val="en-GB"/>
        </w:rPr>
        <w:t>. The following categories of economic functions have been identified for reporting:</w:t>
      </w:r>
    </w:p>
    <w:p w:rsidRPr="00D43D39" w:rsidR="00A924B6" w:rsidP="00A924B6" w:rsidRDefault="00A924B6" w14:paraId="345A01B2" w14:textId="6DDAE839">
      <w:pPr>
        <w:pStyle w:val="InstructionsText2"/>
        <w:numPr>
          <w:ilvl w:val="1"/>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Deposits</w:t>
      </w:r>
    </w:p>
    <w:p w:rsidRPr="00D43D39" w:rsidR="00A924B6" w:rsidP="00A924B6" w:rsidRDefault="00A924B6" w14:paraId="093C9499" w14:textId="24EEF529">
      <w:pPr>
        <w:pStyle w:val="InstructionsText2"/>
        <w:numPr>
          <w:ilvl w:val="1"/>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Lending</w:t>
      </w:r>
    </w:p>
    <w:p w:rsidRPr="00D43D39" w:rsidR="00A924B6" w:rsidP="00A924B6" w:rsidRDefault="00A924B6" w14:paraId="5AEA2CE4" w14:textId="14F51E13">
      <w:pPr>
        <w:pStyle w:val="InstructionsText2"/>
        <w:numPr>
          <w:ilvl w:val="1"/>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Payments, Cash, Settlement, Clearing, Custody services</w:t>
      </w:r>
    </w:p>
    <w:p w:rsidRPr="00D43D39" w:rsidR="00A924B6" w:rsidP="00A924B6" w:rsidRDefault="00A924B6" w14:paraId="4FFB1698" w14:textId="6D1792D3">
      <w:pPr>
        <w:pStyle w:val="InstructionsText2"/>
        <w:numPr>
          <w:ilvl w:val="1"/>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Capital Markets</w:t>
      </w:r>
    </w:p>
    <w:p w:rsidRPr="00D43D39" w:rsidR="00A924B6" w:rsidP="005F5507" w:rsidRDefault="00A924B6" w14:paraId="2E32FFD0" w14:textId="145C60A0">
      <w:pPr>
        <w:pStyle w:val="InstructionsText2"/>
        <w:numPr>
          <w:ilvl w:val="1"/>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Wholesale Funding</w:t>
      </w:r>
    </w:p>
    <w:p w:rsidRPr="00D43D39" w:rsidR="00DF4780" w:rsidP="001C34E8" w:rsidRDefault="1ED7AE4B" w14:paraId="3677D314" w14:textId="7C4E73E1">
      <w:pPr>
        <w:pStyle w:val="InstructionsText2"/>
        <w:numPr>
          <w:ilvl w:val="0"/>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Template </w:t>
      </w:r>
      <w:r w:rsidRPr="00D43D39" w:rsidR="73B94CD9">
        <w:rPr>
          <w:rFonts w:ascii="Times New Roman" w:hAnsi="Times New Roman" w:cs="Times New Roman"/>
          <w:sz w:val="20"/>
          <w:szCs w:val="20"/>
          <w:lang w:val="en-GB"/>
        </w:rPr>
        <w:t>Z 0</w:t>
      </w:r>
      <w:r w:rsidRPr="00D43D39" w:rsidR="55EAF4BF">
        <w:rPr>
          <w:rFonts w:ascii="Times New Roman" w:hAnsi="Times New Roman" w:cs="Times New Roman"/>
          <w:sz w:val="20"/>
          <w:szCs w:val="20"/>
          <w:lang w:val="en-GB"/>
        </w:rPr>
        <w:t xml:space="preserve">7.02 - Mapping of </w:t>
      </w:r>
      <w:r w:rsidRPr="00D43D39" w:rsidR="00712184">
        <w:rPr>
          <w:rFonts w:ascii="Times New Roman" w:hAnsi="Times New Roman" w:cs="Times New Roman"/>
          <w:sz w:val="20"/>
          <w:szCs w:val="20"/>
          <w:lang w:val="en-GB"/>
        </w:rPr>
        <w:t xml:space="preserve">economic </w:t>
      </w:r>
      <w:r w:rsidRPr="00D43D39" w:rsidR="55EAF4BF">
        <w:rPr>
          <w:rFonts w:ascii="Times New Roman" w:hAnsi="Times New Roman" w:cs="Times New Roman"/>
          <w:sz w:val="20"/>
          <w:szCs w:val="20"/>
          <w:lang w:val="en-GB"/>
        </w:rPr>
        <w:t xml:space="preserve">functions </w:t>
      </w:r>
      <w:r w:rsidRPr="00D43D39" w:rsidR="74F87497">
        <w:rPr>
          <w:rFonts w:ascii="Times New Roman" w:hAnsi="Times New Roman" w:cs="Times New Roman"/>
          <w:sz w:val="20"/>
          <w:szCs w:val="20"/>
          <w:lang w:val="en-GB"/>
        </w:rPr>
        <w:t>to</w:t>
      </w:r>
      <w:r w:rsidRPr="00D43D39" w:rsidR="55EAF4BF">
        <w:rPr>
          <w:rFonts w:ascii="Times New Roman" w:hAnsi="Times New Roman" w:cs="Times New Roman"/>
          <w:sz w:val="20"/>
          <w:szCs w:val="20"/>
          <w:lang w:val="en-GB"/>
        </w:rPr>
        <w:t xml:space="preserve"> legal entit</w:t>
      </w:r>
      <w:r w:rsidRPr="00D43D39" w:rsidR="6111A633">
        <w:rPr>
          <w:rFonts w:ascii="Times New Roman" w:hAnsi="Times New Roman" w:cs="Times New Roman"/>
          <w:sz w:val="20"/>
          <w:szCs w:val="20"/>
          <w:lang w:val="en-GB"/>
        </w:rPr>
        <w:t>ies</w:t>
      </w:r>
      <w:r w:rsidRPr="00D43D39" w:rsidR="55EAF4BF">
        <w:rPr>
          <w:rFonts w:ascii="Times New Roman" w:hAnsi="Times New Roman" w:cs="Times New Roman"/>
          <w:sz w:val="20"/>
          <w:szCs w:val="20"/>
          <w:lang w:val="en-GB"/>
        </w:rPr>
        <w:t xml:space="preserve"> (FUNC 2)</w:t>
      </w:r>
      <w:r w:rsidRPr="00D43D39" w:rsidR="7D4171FC">
        <w:rPr>
          <w:rFonts w:ascii="Times New Roman" w:hAnsi="Times New Roman" w:cs="Times New Roman"/>
          <w:sz w:val="20"/>
          <w:szCs w:val="20"/>
          <w:lang w:val="en-GB"/>
        </w:rPr>
        <w:t xml:space="preserve"> </w:t>
      </w:r>
      <w:r w:rsidRPr="00D43D39" w:rsidR="57245AC6">
        <w:rPr>
          <w:rFonts w:ascii="Times New Roman" w:hAnsi="Times New Roman" w:cs="Times New Roman"/>
          <w:sz w:val="20"/>
          <w:szCs w:val="20"/>
          <w:lang w:val="en-GB"/>
        </w:rPr>
        <w:t xml:space="preserve">maps </w:t>
      </w:r>
      <w:r w:rsidRPr="00D43D39" w:rsidR="0652A6C5">
        <w:rPr>
          <w:rFonts w:ascii="Times New Roman" w:hAnsi="Times New Roman" w:cs="Times New Roman"/>
          <w:sz w:val="20"/>
          <w:szCs w:val="20"/>
          <w:lang w:val="en-GB"/>
        </w:rPr>
        <w:t xml:space="preserve">the </w:t>
      </w:r>
      <w:r w:rsidRPr="00D43D39" w:rsidR="00712184">
        <w:rPr>
          <w:rFonts w:ascii="Times New Roman" w:hAnsi="Times New Roman" w:cs="Times New Roman"/>
          <w:sz w:val="20"/>
          <w:szCs w:val="20"/>
          <w:lang w:val="en-GB"/>
        </w:rPr>
        <w:t xml:space="preserve">economic </w:t>
      </w:r>
      <w:r w:rsidRPr="00D43D39" w:rsidR="7D4171FC">
        <w:rPr>
          <w:rFonts w:ascii="Times New Roman" w:hAnsi="Times New Roman" w:cs="Times New Roman"/>
          <w:sz w:val="20"/>
          <w:szCs w:val="20"/>
          <w:lang w:val="en-GB"/>
        </w:rPr>
        <w:t>functions</w:t>
      </w:r>
      <w:r w:rsidRPr="00D43D39" w:rsidR="00E46990">
        <w:rPr>
          <w:rFonts w:ascii="Times New Roman" w:hAnsi="Times New Roman" w:cs="Times New Roman"/>
          <w:sz w:val="20"/>
          <w:szCs w:val="20"/>
          <w:lang w:val="en-GB"/>
        </w:rPr>
        <w:t xml:space="preserve">, assessed in Z 07.01, </w:t>
      </w:r>
      <w:r w:rsidRPr="00D43D39" w:rsidR="00712184">
        <w:rPr>
          <w:rFonts w:ascii="Times New Roman" w:hAnsi="Times New Roman" w:cs="Times New Roman"/>
          <w:sz w:val="20"/>
          <w:szCs w:val="20"/>
          <w:lang w:val="en-GB"/>
        </w:rPr>
        <w:t xml:space="preserve">with </w:t>
      </w:r>
      <w:r w:rsidRPr="00D43D39" w:rsidR="7D4171FC">
        <w:rPr>
          <w:rFonts w:ascii="Times New Roman" w:hAnsi="Times New Roman" w:cs="Times New Roman"/>
          <w:sz w:val="20"/>
          <w:szCs w:val="20"/>
          <w:lang w:val="en-GB"/>
        </w:rPr>
        <w:t>legal entities</w:t>
      </w:r>
      <w:r w:rsidRPr="00D43D39" w:rsidR="00E46990">
        <w:rPr>
          <w:rFonts w:ascii="Times New Roman" w:hAnsi="Times New Roman" w:cs="Times New Roman"/>
          <w:sz w:val="20"/>
          <w:szCs w:val="20"/>
          <w:lang w:val="en-GB"/>
        </w:rPr>
        <w:t xml:space="preserve"> or international branches, as identified in Z 01.01</w:t>
      </w:r>
      <w:r w:rsidRPr="00D43D39" w:rsidR="496442F4">
        <w:rPr>
          <w:rFonts w:ascii="Times New Roman" w:hAnsi="Times New Roman" w:cs="Times New Roman"/>
          <w:sz w:val="20"/>
          <w:szCs w:val="20"/>
          <w:lang w:val="en-GB"/>
        </w:rPr>
        <w:t>.</w:t>
      </w:r>
    </w:p>
    <w:p w:rsidRPr="00D43D39" w:rsidR="00DF4780" w:rsidP="001C34E8" w:rsidRDefault="304946A6" w14:paraId="2DE966B5" w14:textId="6B52943C">
      <w:pPr>
        <w:pStyle w:val="InstructionsText2"/>
        <w:numPr>
          <w:ilvl w:val="0"/>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Template </w:t>
      </w:r>
      <w:r w:rsidRPr="00D43D39" w:rsidR="73B94CD9">
        <w:rPr>
          <w:rFonts w:ascii="Times New Roman" w:hAnsi="Times New Roman" w:cs="Times New Roman"/>
          <w:sz w:val="20"/>
          <w:szCs w:val="20"/>
          <w:lang w:val="en-GB"/>
        </w:rPr>
        <w:t>Z 0</w:t>
      </w:r>
      <w:r w:rsidRPr="00D43D39" w:rsidR="55EAF4BF">
        <w:rPr>
          <w:rFonts w:ascii="Times New Roman" w:hAnsi="Times New Roman" w:cs="Times New Roman"/>
          <w:sz w:val="20"/>
          <w:szCs w:val="20"/>
          <w:lang w:val="en-GB"/>
        </w:rPr>
        <w:t xml:space="preserve">7.03 - Mapping of </w:t>
      </w:r>
      <w:r w:rsidRPr="00D43D39" w:rsidR="009D2F18">
        <w:rPr>
          <w:rFonts w:ascii="Times New Roman" w:hAnsi="Times New Roman" w:cs="Times New Roman"/>
          <w:sz w:val="20"/>
          <w:szCs w:val="20"/>
          <w:lang w:val="en-GB"/>
        </w:rPr>
        <w:t xml:space="preserve">Core </w:t>
      </w:r>
      <w:r w:rsidRPr="00D43D39" w:rsidR="004112AE">
        <w:rPr>
          <w:rFonts w:ascii="Times New Roman" w:hAnsi="Times New Roman" w:cs="Times New Roman"/>
          <w:sz w:val="20"/>
          <w:szCs w:val="20"/>
          <w:lang w:val="en-GB"/>
        </w:rPr>
        <w:t>B</w:t>
      </w:r>
      <w:r w:rsidRPr="00D43D39" w:rsidR="55EAF4BF">
        <w:rPr>
          <w:rFonts w:ascii="Times New Roman" w:hAnsi="Times New Roman" w:cs="Times New Roman"/>
          <w:sz w:val="20"/>
          <w:szCs w:val="20"/>
          <w:lang w:val="en-GB"/>
        </w:rPr>
        <w:t xml:space="preserve">usiness </w:t>
      </w:r>
      <w:r w:rsidRPr="00D43D39" w:rsidR="004112AE">
        <w:rPr>
          <w:rFonts w:ascii="Times New Roman" w:hAnsi="Times New Roman" w:cs="Times New Roman"/>
          <w:sz w:val="20"/>
          <w:szCs w:val="20"/>
          <w:lang w:val="en-GB"/>
        </w:rPr>
        <w:t>L</w:t>
      </w:r>
      <w:r w:rsidRPr="00D43D39" w:rsidR="55EAF4BF">
        <w:rPr>
          <w:rFonts w:ascii="Times New Roman" w:hAnsi="Times New Roman" w:cs="Times New Roman"/>
          <w:sz w:val="20"/>
          <w:szCs w:val="20"/>
          <w:lang w:val="en-GB"/>
        </w:rPr>
        <w:t>ines by legal entit</w:t>
      </w:r>
      <w:r w:rsidRPr="00D43D39" w:rsidR="00E46990">
        <w:rPr>
          <w:rFonts w:ascii="Times New Roman" w:hAnsi="Times New Roman" w:cs="Times New Roman"/>
          <w:sz w:val="20"/>
          <w:szCs w:val="20"/>
          <w:lang w:val="en-GB"/>
        </w:rPr>
        <w:t>ies</w:t>
      </w:r>
      <w:r w:rsidRPr="00D43D39" w:rsidR="55EAF4BF">
        <w:rPr>
          <w:rFonts w:ascii="Times New Roman" w:hAnsi="Times New Roman" w:cs="Times New Roman"/>
          <w:sz w:val="20"/>
          <w:szCs w:val="20"/>
          <w:lang w:val="en-GB"/>
        </w:rPr>
        <w:t xml:space="preserve"> (FUNC 3)</w:t>
      </w:r>
      <w:r w:rsidRPr="00D43D39" w:rsidR="4B86EC3F">
        <w:rPr>
          <w:rFonts w:ascii="Times New Roman" w:hAnsi="Times New Roman" w:cs="Times New Roman"/>
          <w:sz w:val="20"/>
          <w:szCs w:val="20"/>
          <w:lang w:val="en-GB"/>
        </w:rPr>
        <w:t xml:space="preserve"> </w:t>
      </w:r>
      <w:r w:rsidRPr="00D43D39" w:rsidR="771CDAE9">
        <w:rPr>
          <w:rFonts w:ascii="Times New Roman" w:hAnsi="Times New Roman" w:cs="Times New Roman"/>
          <w:sz w:val="20"/>
          <w:szCs w:val="20"/>
          <w:lang w:val="en-GB"/>
        </w:rPr>
        <w:t xml:space="preserve">provides a full list of </w:t>
      </w:r>
      <w:r w:rsidRPr="00D43D39" w:rsidR="00E46990">
        <w:rPr>
          <w:rFonts w:ascii="Times New Roman" w:hAnsi="Times New Roman" w:cs="Times New Roman"/>
          <w:sz w:val="20"/>
          <w:szCs w:val="20"/>
          <w:lang w:val="en-GB"/>
        </w:rPr>
        <w:t xml:space="preserve"> </w:t>
      </w:r>
      <w:r w:rsidRPr="00D43D39" w:rsidR="004112AE">
        <w:rPr>
          <w:rFonts w:ascii="Times New Roman" w:hAnsi="Times New Roman" w:cs="Times New Roman"/>
          <w:sz w:val="20"/>
          <w:szCs w:val="20"/>
          <w:lang w:val="en-GB"/>
        </w:rPr>
        <w:t xml:space="preserve">core </w:t>
      </w:r>
      <w:r w:rsidRPr="00D43D39" w:rsidR="771CDAE9">
        <w:rPr>
          <w:rFonts w:ascii="Times New Roman" w:hAnsi="Times New Roman" w:cs="Times New Roman"/>
          <w:sz w:val="20"/>
          <w:szCs w:val="20"/>
          <w:lang w:val="en-GB"/>
        </w:rPr>
        <w:t xml:space="preserve">business lines </w:t>
      </w:r>
      <w:r w:rsidRPr="00D43D39" w:rsidR="004112AE">
        <w:rPr>
          <w:rFonts w:ascii="Times New Roman" w:hAnsi="Times New Roman" w:cs="Times New Roman"/>
          <w:sz w:val="20"/>
          <w:szCs w:val="20"/>
          <w:lang w:val="en-GB"/>
        </w:rPr>
        <w:t xml:space="preserve"> and m</w:t>
      </w:r>
      <w:r w:rsidRPr="00D43D39" w:rsidR="00542E44">
        <w:rPr>
          <w:rFonts w:ascii="Times New Roman" w:hAnsi="Times New Roman" w:cs="Times New Roman"/>
          <w:sz w:val="20"/>
          <w:szCs w:val="20"/>
          <w:lang w:val="en-GB"/>
        </w:rPr>
        <w:tab/>
      </w:r>
      <w:r w:rsidRPr="00D43D39" w:rsidR="004112AE">
        <w:rPr>
          <w:rFonts w:ascii="Times New Roman" w:hAnsi="Times New Roman" w:cs="Times New Roman"/>
          <w:sz w:val="20"/>
          <w:szCs w:val="20"/>
          <w:lang w:val="en-GB"/>
        </w:rPr>
        <w:t xml:space="preserve">aps them to </w:t>
      </w:r>
      <w:r w:rsidRPr="00D43D39" w:rsidR="771CDAE9">
        <w:rPr>
          <w:rFonts w:ascii="Times New Roman" w:hAnsi="Times New Roman" w:cs="Times New Roman"/>
          <w:sz w:val="20"/>
          <w:szCs w:val="20"/>
          <w:lang w:val="en-GB"/>
        </w:rPr>
        <w:t>legal entit</w:t>
      </w:r>
      <w:r w:rsidRPr="00D43D39" w:rsidR="2BB50809">
        <w:rPr>
          <w:rFonts w:ascii="Times New Roman" w:hAnsi="Times New Roman" w:cs="Times New Roman"/>
          <w:sz w:val="20"/>
          <w:szCs w:val="20"/>
          <w:lang w:val="en-GB"/>
        </w:rPr>
        <w:t>ies</w:t>
      </w:r>
      <w:r w:rsidRPr="00D43D39" w:rsidR="4B86EC3F">
        <w:rPr>
          <w:rFonts w:ascii="Times New Roman" w:hAnsi="Times New Roman" w:cs="Times New Roman"/>
          <w:sz w:val="20"/>
          <w:szCs w:val="20"/>
          <w:lang w:val="en-GB"/>
        </w:rPr>
        <w:t>;</w:t>
      </w:r>
    </w:p>
    <w:p w:rsidRPr="00D43D39" w:rsidR="00DF4780" w:rsidP="001C34E8" w:rsidRDefault="445AC473" w14:paraId="6E15E952" w14:textId="5F763B68">
      <w:pPr>
        <w:pStyle w:val="InstructionsText2"/>
        <w:numPr>
          <w:ilvl w:val="0"/>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Template </w:t>
      </w:r>
      <w:r w:rsidRPr="00D43D39" w:rsidR="73B94CD9">
        <w:rPr>
          <w:rFonts w:ascii="Times New Roman" w:hAnsi="Times New Roman" w:cs="Times New Roman"/>
          <w:sz w:val="20"/>
          <w:szCs w:val="20"/>
          <w:lang w:val="en-GB"/>
        </w:rPr>
        <w:t>Z 0</w:t>
      </w:r>
      <w:r w:rsidRPr="00D43D39" w:rsidR="55EAF4BF">
        <w:rPr>
          <w:rFonts w:ascii="Times New Roman" w:hAnsi="Times New Roman" w:cs="Times New Roman"/>
          <w:sz w:val="20"/>
          <w:szCs w:val="20"/>
          <w:lang w:val="en-GB"/>
        </w:rPr>
        <w:t xml:space="preserve">7.04 - Mapping of </w:t>
      </w:r>
      <w:r w:rsidRPr="00D43D39" w:rsidR="007779BD">
        <w:rPr>
          <w:rFonts w:ascii="Times New Roman" w:hAnsi="Times New Roman" w:cs="Times New Roman"/>
          <w:sz w:val="20"/>
          <w:szCs w:val="20"/>
          <w:lang w:val="en-GB"/>
        </w:rPr>
        <w:t xml:space="preserve">critical </w:t>
      </w:r>
      <w:r w:rsidRPr="00D43D39" w:rsidR="55EAF4BF">
        <w:rPr>
          <w:rFonts w:ascii="Times New Roman" w:hAnsi="Times New Roman" w:cs="Times New Roman"/>
          <w:sz w:val="20"/>
          <w:szCs w:val="20"/>
          <w:lang w:val="en-GB"/>
        </w:rPr>
        <w:t xml:space="preserve">functions to </w:t>
      </w:r>
      <w:r w:rsidRPr="00D43D39" w:rsidR="007779BD">
        <w:rPr>
          <w:rFonts w:ascii="Times New Roman" w:hAnsi="Times New Roman" w:cs="Times New Roman"/>
          <w:sz w:val="20"/>
          <w:szCs w:val="20"/>
          <w:lang w:val="en-GB"/>
        </w:rPr>
        <w:t xml:space="preserve">core </w:t>
      </w:r>
      <w:r w:rsidRPr="00D43D39" w:rsidR="55EAF4BF">
        <w:rPr>
          <w:rFonts w:ascii="Times New Roman" w:hAnsi="Times New Roman" w:cs="Times New Roman"/>
          <w:sz w:val="20"/>
          <w:szCs w:val="20"/>
          <w:lang w:val="en-GB"/>
        </w:rPr>
        <w:t>business lines (FUNC 4</w:t>
      </w:r>
      <w:r w:rsidRPr="00D43D39" w:rsidR="6E2C922A">
        <w:rPr>
          <w:rFonts w:ascii="Times New Roman" w:hAnsi="Times New Roman" w:cs="Times New Roman"/>
          <w:sz w:val="20"/>
          <w:szCs w:val="20"/>
          <w:lang w:val="en-GB"/>
        </w:rPr>
        <w:t>)</w:t>
      </w:r>
      <w:r w:rsidRPr="00D43D39" w:rsidR="4B86EC3F">
        <w:rPr>
          <w:rFonts w:ascii="Times New Roman" w:hAnsi="Times New Roman" w:cs="Times New Roman"/>
          <w:sz w:val="20"/>
          <w:szCs w:val="20"/>
          <w:lang w:val="en-GB"/>
        </w:rPr>
        <w:t xml:space="preserve"> maps the</w:t>
      </w:r>
      <w:r w:rsidRPr="00D43D39" w:rsidR="00EB4669">
        <w:rPr>
          <w:rFonts w:ascii="Times New Roman" w:hAnsi="Times New Roman" w:cs="Times New Roman"/>
          <w:sz w:val="20"/>
          <w:szCs w:val="20"/>
          <w:lang w:val="en-GB"/>
        </w:rPr>
        <w:t xml:space="preserve"> </w:t>
      </w:r>
      <w:r w:rsidRPr="00D43D39" w:rsidR="007779BD">
        <w:rPr>
          <w:rFonts w:ascii="Times New Roman" w:hAnsi="Times New Roman" w:cs="Times New Roman"/>
          <w:sz w:val="20"/>
          <w:szCs w:val="20"/>
          <w:lang w:val="en-GB"/>
        </w:rPr>
        <w:t xml:space="preserve">identified critical </w:t>
      </w:r>
      <w:r w:rsidRPr="00D43D39" w:rsidR="4B86EC3F">
        <w:rPr>
          <w:rFonts w:ascii="Times New Roman" w:hAnsi="Times New Roman" w:cs="Times New Roman"/>
          <w:sz w:val="20"/>
          <w:szCs w:val="20"/>
          <w:lang w:val="en-GB"/>
        </w:rPr>
        <w:t xml:space="preserve">functions to </w:t>
      </w:r>
      <w:r w:rsidRPr="00D43D39" w:rsidR="007779BD">
        <w:rPr>
          <w:rFonts w:ascii="Times New Roman" w:hAnsi="Times New Roman" w:cs="Times New Roman"/>
          <w:sz w:val="20"/>
          <w:szCs w:val="20"/>
          <w:lang w:val="en-GB"/>
        </w:rPr>
        <w:t xml:space="preserve">core </w:t>
      </w:r>
      <w:r w:rsidRPr="00D43D39" w:rsidR="4B86EC3F">
        <w:rPr>
          <w:rFonts w:ascii="Times New Roman" w:hAnsi="Times New Roman" w:cs="Times New Roman"/>
          <w:sz w:val="20"/>
          <w:szCs w:val="20"/>
          <w:lang w:val="en-GB"/>
        </w:rPr>
        <w:t>business lines</w:t>
      </w:r>
      <w:r w:rsidRPr="00D43D39" w:rsidR="00EB4669">
        <w:rPr>
          <w:rFonts w:ascii="Times New Roman" w:hAnsi="Times New Roman" w:cs="Times New Roman"/>
          <w:sz w:val="20"/>
          <w:szCs w:val="20"/>
          <w:lang w:val="en-GB"/>
        </w:rPr>
        <w:t xml:space="preserve"> </w:t>
      </w:r>
    </w:p>
    <w:p w:rsidRPr="00D43D39" w:rsidR="003A344F" w:rsidP="005F5507" w:rsidRDefault="6FBECE8B" w14:paraId="59A4D823" w14:textId="55D1F852">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Pursuant to </w:t>
      </w:r>
      <w:r w:rsidRPr="00D43D39" w:rsidR="69A3A743">
        <w:rPr>
          <w:rFonts w:ascii="Times New Roman" w:hAnsi="Times New Roman" w:cs="Times New Roman"/>
          <w:sz w:val="20"/>
          <w:szCs w:val="20"/>
          <w:lang w:val="en-GB"/>
        </w:rPr>
        <w:t xml:space="preserve">Article 2(1) </w:t>
      </w:r>
      <w:r w:rsidRPr="00D43D39" w:rsidR="4B86EC3F">
        <w:rPr>
          <w:rFonts w:ascii="Times New Roman" w:hAnsi="Times New Roman" w:cs="Times New Roman"/>
          <w:sz w:val="20"/>
          <w:szCs w:val="20"/>
          <w:lang w:val="en-GB"/>
        </w:rPr>
        <w:t xml:space="preserve">point </w:t>
      </w:r>
      <w:r w:rsidRPr="00D43D39" w:rsidR="69A3A743">
        <w:rPr>
          <w:rFonts w:ascii="Times New Roman" w:hAnsi="Times New Roman" w:cs="Times New Roman"/>
          <w:sz w:val="20"/>
          <w:szCs w:val="20"/>
          <w:lang w:val="en-GB"/>
        </w:rPr>
        <w:t>35</w:t>
      </w:r>
      <w:r w:rsidRPr="00D43D39" w:rsidR="4B86EC3F">
        <w:rPr>
          <w:rFonts w:ascii="Times New Roman" w:hAnsi="Times New Roman" w:cs="Times New Roman"/>
          <w:sz w:val="20"/>
          <w:szCs w:val="20"/>
          <w:lang w:val="en-GB"/>
        </w:rPr>
        <w:t xml:space="preserve"> of the</w:t>
      </w:r>
      <w:r w:rsidRPr="00D43D39" w:rsidR="69A3A743">
        <w:rPr>
          <w:rFonts w:ascii="Times New Roman" w:hAnsi="Times New Roman" w:cs="Times New Roman"/>
          <w:sz w:val="20"/>
          <w:szCs w:val="20"/>
          <w:lang w:val="en-GB"/>
        </w:rPr>
        <w:t xml:space="preserve"> </w:t>
      </w:r>
      <w:r w:rsidRPr="00D43D39" w:rsidR="190C7892">
        <w:rPr>
          <w:rFonts w:ascii="Times New Roman" w:hAnsi="Times New Roman" w:cs="Times New Roman"/>
          <w:sz w:val="20"/>
          <w:szCs w:val="20"/>
          <w:lang w:val="en-GB"/>
        </w:rPr>
        <w:t>Directive 2014/59/EU</w:t>
      </w:r>
      <w:r w:rsidRPr="00D43D39" w:rsidR="69A3A743">
        <w:rPr>
          <w:rFonts w:ascii="Times New Roman" w:hAnsi="Times New Roman" w:cs="Times New Roman"/>
          <w:sz w:val="20"/>
          <w:szCs w:val="20"/>
          <w:lang w:val="en-GB"/>
        </w:rPr>
        <w:t xml:space="preserve">, critical functions means </w:t>
      </w:r>
      <w:r w:rsidRPr="00D43D39" w:rsidR="3DDAE45C">
        <w:rPr>
          <w:rFonts w:ascii="Times New Roman" w:hAnsi="Times New Roman" w:cs="Times New Roman"/>
          <w:sz w:val="20"/>
          <w:szCs w:val="20"/>
          <w:lang w:val="en-GB"/>
        </w:rPr>
        <w:t xml:space="preserve">activities, services or operations the discontinuance of which is likely in one or more Member States, to lead to the disruption of services that are essential to the real economy or to disrupt financial stability due to the size, market share, external and internal interconnectedness, complexity or cross-border activities of an institution or group, with particular regard to the substitutability of those activities, services or operations. </w:t>
      </w:r>
    </w:p>
    <w:p w:rsidRPr="00D43D39" w:rsidR="0056559D" w:rsidP="005F5507" w:rsidRDefault="69A3A743" w14:paraId="24049F8B"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Pursuant to Article 6</w:t>
      </w:r>
      <w:r w:rsidRPr="00D43D39" w:rsidR="12C2CE51">
        <w:rPr>
          <w:rFonts w:ascii="Times New Roman" w:hAnsi="Times New Roman" w:cs="Times New Roman"/>
          <w:sz w:val="20"/>
          <w:szCs w:val="20"/>
          <w:lang w:val="en-GB"/>
        </w:rPr>
        <w:t>(1)</w:t>
      </w:r>
      <w:r w:rsidRPr="00D43D39">
        <w:rPr>
          <w:rFonts w:ascii="Times New Roman" w:hAnsi="Times New Roman" w:cs="Times New Roman"/>
          <w:sz w:val="20"/>
          <w:szCs w:val="20"/>
          <w:lang w:val="en-GB"/>
        </w:rPr>
        <w:t xml:space="preserve"> of </w:t>
      </w:r>
      <w:r w:rsidRPr="00D43D39" w:rsidR="1AFC3730">
        <w:rPr>
          <w:rFonts w:ascii="Times New Roman" w:hAnsi="Times New Roman" w:cs="Times New Roman"/>
          <w:sz w:val="20"/>
          <w:szCs w:val="20"/>
          <w:lang w:val="en-GB"/>
        </w:rPr>
        <w:t xml:space="preserve">Commission </w:t>
      </w:r>
      <w:r w:rsidRPr="00D43D39">
        <w:rPr>
          <w:rFonts w:ascii="Times New Roman" w:hAnsi="Times New Roman" w:cs="Times New Roman"/>
          <w:sz w:val="20"/>
          <w:szCs w:val="20"/>
          <w:lang w:val="en-GB"/>
        </w:rPr>
        <w:t>Regulation (EU) 2016/778</w:t>
      </w:r>
      <w:r w:rsidRPr="00D43D39" w:rsidR="0036208B">
        <w:rPr>
          <w:rFonts w:ascii="Times New Roman" w:hAnsi="Times New Roman" w:cs="Times New Roman"/>
          <w:sz w:val="20"/>
          <w:szCs w:val="20"/>
          <w:lang w:val="en-GB"/>
        </w:rPr>
        <w:footnoteReference w:id="17"/>
      </w:r>
      <w:r w:rsidRPr="00D43D39" w:rsidR="3DDAE45C">
        <w:rPr>
          <w:rFonts w:ascii="Times New Roman" w:hAnsi="Times New Roman" w:cs="Times New Roman"/>
          <w:sz w:val="20"/>
          <w:szCs w:val="20"/>
          <w:lang w:val="en-GB"/>
        </w:rPr>
        <w:t>, a function shall be considered critical, when it meets both of the following:</w:t>
      </w:r>
    </w:p>
    <w:p w:rsidRPr="00D43D39" w:rsidR="0056559D" w:rsidP="004524FA" w:rsidRDefault="0056559D" w14:paraId="60694F64" w14:textId="77777777">
      <w:pPr>
        <w:numPr>
          <w:ilvl w:val="0"/>
          <w:numId w:val="56"/>
        </w:numPr>
        <w:spacing w:line="276" w:lineRule="auto"/>
        <w:contextualSpacing/>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the function is provided by an institution to third parties not affiliated to the institution or group; and</w:t>
      </w:r>
    </w:p>
    <w:p w:rsidRPr="00D43D39" w:rsidR="0056559D" w:rsidP="004524FA" w:rsidRDefault="0056559D" w14:paraId="43179C80" w14:textId="77777777">
      <w:pPr>
        <w:numPr>
          <w:ilvl w:val="0"/>
          <w:numId w:val="56"/>
        </w:numPr>
        <w:spacing w:line="276" w:lineRule="auto"/>
        <w:contextualSpacing/>
        <w:jc w:val="both"/>
        <w:rPr>
          <w:rFonts w:ascii="Times New Roman" w:hAnsi="Times New Roman" w:cs="Times New Roman"/>
          <w:i/>
          <w:color w:val="000000" w:themeColor="text1"/>
          <w:sz w:val="20"/>
          <w:szCs w:val="20"/>
          <w:lang w:val="en-GB"/>
        </w:rPr>
      </w:pPr>
      <w:r w:rsidRPr="00D43D39">
        <w:rPr>
          <w:rFonts w:ascii="Times New Roman" w:hAnsi="Times New Roman" w:cs="Times New Roman"/>
          <w:color w:val="000000" w:themeColor="text1"/>
          <w:sz w:val="20"/>
          <w:szCs w:val="20"/>
          <w:lang w:val="en-GB"/>
        </w:rPr>
        <w:t>a sudden disruption would likely have a material negative impact on the third parties, give rise to contagion or undermine the general confidence of market participants due to the systemic relevance of the function for the third parties and the systemic relevance of the institution or group in providing the function.</w:t>
      </w:r>
    </w:p>
    <w:p w:rsidRPr="00D43D39" w:rsidR="00291ADD" w:rsidP="005F5507" w:rsidRDefault="0B2AB16C" w14:paraId="7BDBA6EC" w14:textId="005B3214">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Pursuant to </w:t>
      </w:r>
      <w:r w:rsidRPr="00D43D39" w:rsidR="3DDAE45C">
        <w:rPr>
          <w:rFonts w:ascii="Times New Roman" w:hAnsi="Times New Roman" w:cs="Times New Roman"/>
          <w:sz w:val="20"/>
          <w:szCs w:val="20"/>
          <w:lang w:val="en-GB"/>
        </w:rPr>
        <w:t xml:space="preserve">Article 2(1), point 36 of the </w:t>
      </w:r>
      <w:r w:rsidRPr="00D43D39" w:rsidR="190C7892">
        <w:rPr>
          <w:rFonts w:ascii="Times New Roman" w:hAnsi="Times New Roman" w:cs="Times New Roman"/>
          <w:sz w:val="20"/>
          <w:szCs w:val="20"/>
          <w:lang w:val="en-GB"/>
        </w:rPr>
        <w:t>Directive 2014/59/EU</w:t>
      </w:r>
      <w:r w:rsidRPr="00D43D39" w:rsidR="35BE7419">
        <w:rPr>
          <w:rFonts w:ascii="Times New Roman" w:hAnsi="Times New Roman" w:cs="Times New Roman"/>
          <w:sz w:val="20"/>
          <w:szCs w:val="20"/>
          <w:lang w:val="en-GB"/>
        </w:rPr>
        <w:t>,</w:t>
      </w:r>
      <w:r w:rsidRPr="00D43D39" w:rsidR="3DDAE45C">
        <w:rPr>
          <w:rFonts w:ascii="Times New Roman" w:hAnsi="Times New Roman" w:cs="Times New Roman"/>
          <w:sz w:val="20"/>
          <w:szCs w:val="20"/>
          <w:lang w:val="en-GB"/>
        </w:rPr>
        <w:t xml:space="preserve"> core business lines </w:t>
      </w:r>
      <w:r w:rsidRPr="00D43D39">
        <w:rPr>
          <w:rFonts w:ascii="Times New Roman" w:hAnsi="Times New Roman" w:cs="Times New Roman"/>
          <w:sz w:val="20"/>
          <w:szCs w:val="20"/>
          <w:lang w:val="en-GB"/>
        </w:rPr>
        <w:t xml:space="preserve">means </w:t>
      </w:r>
      <w:r w:rsidRPr="00D43D39" w:rsidR="3DDAE45C">
        <w:rPr>
          <w:rFonts w:ascii="Times New Roman" w:hAnsi="Times New Roman" w:cs="Times New Roman"/>
          <w:sz w:val="20"/>
          <w:szCs w:val="20"/>
          <w:lang w:val="en-GB"/>
        </w:rPr>
        <w:t>business lines and associated services which represent material sources of revenue, profit or franchise value for an institution or for a group of which an institution forms part.</w:t>
      </w:r>
    </w:p>
    <w:p w:rsidRPr="00D43D39" w:rsidR="007827E9" w:rsidP="005F5507" w:rsidRDefault="75D3BEF5" w14:paraId="349FB66D"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For the purposes of this template, e</w:t>
      </w:r>
      <w:r w:rsidRPr="00D43D39" w:rsidR="0B2AB16C">
        <w:rPr>
          <w:rFonts w:ascii="Times New Roman" w:hAnsi="Times New Roman" w:cs="Times New Roman"/>
          <w:sz w:val="20"/>
          <w:szCs w:val="20"/>
          <w:lang w:val="en-GB"/>
        </w:rPr>
        <w:t xml:space="preserve">conomic functions shall refer to </w:t>
      </w:r>
      <w:r w:rsidRPr="00D43D39">
        <w:rPr>
          <w:rFonts w:ascii="Times New Roman" w:hAnsi="Times New Roman" w:cs="Times New Roman"/>
          <w:sz w:val="20"/>
          <w:szCs w:val="20"/>
          <w:lang w:val="en-GB"/>
        </w:rPr>
        <w:t>the</w:t>
      </w:r>
      <w:r w:rsidRPr="00D43D39" w:rsidR="0B2AB16C">
        <w:rPr>
          <w:rFonts w:ascii="Times New Roman" w:hAnsi="Times New Roman" w:cs="Times New Roman"/>
          <w:sz w:val="20"/>
          <w:szCs w:val="20"/>
          <w:lang w:val="en-GB"/>
        </w:rPr>
        <w:t xml:space="preserve"> </w:t>
      </w:r>
      <w:r w:rsidRPr="00D43D39" w:rsidR="139058D4">
        <w:rPr>
          <w:rFonts w:ascii="Times New Roman" w:hAnsi="Times New Roman" w:cs="Times New Roman"/>
          <w:sz w:val="20"/>
          <w:szCs w:val="20"/>
          <w:lang w:val="en-GB"/>
        </w:rPr>
        <w:t xml:space="preserve">functions </w:t>
      </w:r>
      <w:r w:rsidRPr="00D43D39">
        <w:rPr>
          <w:rFonts w:ascii="Times New Roman" w:hAnsi="Times New Roman" w:cs="Times New Roman"/>
          <w:sz w:val="20"/>
          <w:szCs w:val="20"/>
          <w:lang w:val="en-GB"/>
        </w:rPr>
        <w:t>listed in the table below.</w:t>
      </w:r>
    </w:p>
    <w:p w:rsidRPr="00D43D39" w:rsidR="00881545" w:rsidP="005F5507" w:rsidRDefault="1BF93519" w14:paraId="6E2655D3" w14:textId="1C028309">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For each </w:t>
      </w:r>
      <w:r w:rsidRPr="00D43D39" w:rsidR="00553ADC">
        <w:rPr>
          <w:rFonts w:ascii="Times New Roman" w:hAnsi="Times New Roman" w:cs="Times New Roman"/>
          <w:sz w:val="20"/>
          <w:szCs w:val="20"/>
          <w:lang w:val="en-GB"/>
        </w:rPr>
        <w:t xml:space="preserve">category of </w:t>
      </w:r>
      <w:r w:rsidRPr="00D43D39">
        <w:rPr>
          <w:rFonts w:ascii="Times New Roman" w:hAnsi="Times New Roman" w:cs="Times New Roman"/>
          <w:sz w:val="20"/>
          <w:szCs w:val="20"/>
          <w:lang w:val="en-GB"/>
        </w:rPr>
        <w:t>economic function</w:t>
      </w:r>
      <w:r w:rsidRPr="00D43D39" w:rsidR="6FD39FD7">
        <w:rPr>
          <w:rFonts w:ascii="Times New Roman" w:hAnsi="Times New Roman" w:cs="Times New Roman"/>
          <w:sz w:val="20"/>
          <w:szCs w:val="20"/>
          <w:lang w:val="en-GB"/>
        </w:rPr>
        <w:t>s</w:t>
      </w:r>
      <w:r w:rsidRPr="00D43D39">
        <w:rPr>
          <w:rFonts w:ascii="Times New Roman" w:hAnsi="Times New Roman" w:cs="Times New Roman"/>
          <w:sz w:val="20"/>
          <w:szCs w:val="20"/>
          <w:lang w:val="en-GB"/>
        </w:rPr>
        <w:t>, a</w:t>
      </w:r>
      <w:r w:rsidRPr="00D43D39" w:rsidR="4F842740">
        <w:rPr>
          <w:rFonts w:ascii="Times New Roman" w:hAnsi="Times New Roman" w:cs="Times New Roman"/>
          <w:sz w:val="20"/>
          <w:szCs w:val="20"/>
          <w:lang w:val="en-GB"/>
        </w:rPr>
        <w:t>n</w:t>
      </w:r>
      <w:r w:rsidRPr="00D43D39">
        <w:rPr>
          <w:rFonts w:ascii="Times New Roman" w:hAnsi="Times New Roman" w:cs="Times New Roman"/>
          <w:sz w:val="20"/>
          <w:szCs w:val="20"/>
          <w:lang w:val="en-GB"/>
        </w:rPr>
        <w:t xml:space="preserve"> </w:t>
      </w:r>
      <w:r w:rsidRPr="00D43D39" w:rsidR="4F842740">
        <w:rPr>
          <w:rFonts w:ascii="Times New Roman" w:hAnsi="Times New Roman" w:cs="Times New Roman"/>
          <w:sz w:val="20"/>
          <w:szCs w:val="20"/>
          <w:lang w:val="en-GB"/>
        </w:rPr>
        <w:t xml:space="preserve">economic </w:t>
      </w:r>
      <w:r w:rsidRPr="00D43D39">
        <w:rPr>
          <w:rFonts w:ascii="Times New Roman" w:hAnsi="Times New Roman" w:cs="Times New Roman"/>
          <w:sz w:val="20"/>
          <w:szCs w:val="20"/>
          <w:lang w:val="en-GB"/>
        </w:rPr>
        <w:t xml:space="preserve">function ‘other’ </w:t>
      </w:r>
      <w:r w:rsidRPr="00D43D39" w:rsidR="4F842740">
        <w:rPr>
          <w:rFonts w:ascii="Times New Roman" w:hAnsi="Times New Roman" w:cs="Times New Roman"/>
          <w:sz w:val="20"/>
          <w:szCs w:val="20"/>
          <w:lang w:val="en-GB"/>
        </w:rPr>
        <w:t xml:space="preserve">may be chosen </w:t>
      </w:r>
      <w:r w:rsidRPr="00D43D39" w:rsidR="631A90AB">
        <w:rPr>
          <w:rFonts w:ascii="Times New Roman" w:hAnsi="Times New Roman" w:cs="Times New Roman"/>
          <w:sz w:val="20"/>
          <w:szCs w:val="20"/>
          <w:lang w:val="en-GB"/>
        </w:rPr>
        <w:t>i</w:t>
      </w:r>
      <w:r w:rsidRPr="00D43D39" w:rsidR="4099725F">
        <w:rPr>
          <w:rFonts w:ascii="Times New Roman" w:hAnsi="Times New Roman" w:cs="Times New Roman"/>
          <w:sz w:val="20"/>
          <w:szCs w:val="20"/>
          <w:lang w:val="en-GB"/>
        </w:rPr>
        <w:t>f</w:t>
      </w:r>
      <w:r w:rsidRPr="00D43D39" w:rsidR="631A90AB">
        <w:rPr>
          <w:rFonts w:ascii="Times New Roman" w:hAnsi="Times New Roman" w:cs="Times New Roman"/>
          <w:sz w:val="20"/>
          <w:szCs w:val="20"/>
          <w:lang w:val="en-GB"/>
        </w:rPr>
        <w:t xml:space="preserve"> the function is not captured by the other predefined </w:t>
      </w:r>
      <w:r w:rsidRPr="00D43D39" w:rsidR="79B0E3FA">
        <w:rPr>
          <w:rFonts w:ascii="Times New Roman" w:hAnsi="Times New Roman" w:cs="Times New Roman"/>
          <w:sz w:val="20"/>
          <w:szCs w:val="20"/>
          <w:lang w:val="en-GB"/>
        </w:rPr>
        <w:t>functions</w:t>
      </w:r>
      <w:r w:rsidRPr="00D43D39">
        <w:rPr>
          <w:rFonts w:ascii="Times New Roman" w:hAnsi="Times New Roman" w:cs="Times New Roman"/>
          <w:sz w:val="20"/>
          <w:szCs w:val="20"/>
          <w:lang w:val="en-GB"/>
        </w:rPr>
        <w:t>.</w:t>
      </w:r>
    </w:p>
    <w:p w:rsidRPr="00D43D39" w:rsidR="00AC1C52" w:rsidRDefault="54EB5308" w14:paraId="4FB784E0" w14:textId="79465A82">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Counterparties referred to in rows 0010 to 0070 and rows 0080 to </w:t>
      </w:r>
      <w:r w:rsidRPr="00D43D39" w:rsidR="4E3EB789">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150 are defined identically to </w:t>
      </w:r>
      <w:r w:rsidRPr="00D43D39" w:rsidR="7DD50394">
        <w:rPr>
          <w:rFonts w:ascii="Times New Roman" w:hAnsi="Times New Roman" w:cs="Times New Roman"/>
          <w:sz w:val="20"/>
          <w:szCs w:val="20"/>
          <w:lang w:val="en-GB"/>
        </w:rPr>
        <w:t>counterparty sectors as provided in FINREP, Annex V, Part 1, chapter 6. ‘SMEs’ refers to SMEs as defined in FINREP, Annex V, Part 1</w:t>
      </w:r>
      <w:r w:rsidRPr="00D43D39" w:rsidR="6E91153F">
        <w:rPr>
          <w:rFonts w:ascii="Times New Roman" w:hAnsi="Times New Roman" w:cs="Times New Roman"/>
          <w:sz w:val="20"/>
          <w:szCs w:val="20"/>
          <w:lang w:val="en-GB"/>
        </w:rPr>
        <w:t>, paragraph</w:t>
      </w:r>
      <w:r w:rsidRPr="00D43D39" w:rsidR="62D3BB96">
        <w:rPr>
          <w:rFonts w:ascii="Times New Roman" w:hAnsi="Times New Roman" w:cs="Times New Roman"/>
          <w:sz w:val="20"/>
          <w:szCs w:val="20"/>
          <w:lang w:val="en-GB"/>
        </w:rPr>
        <w:t xml:space="preserve"> </w:t>
      </w:r>
      <w:r w:rsidRPr="00D43D39" w:rsidR="7DD50394">
        <w:rPr>
          <w:rFonts w:ascii="Times New Roman" w:hAnsi="Times New Roman" w:cs="Times New Roman"/>
          <w:sz w:val="20"/>
          <w:szCs w:val="20"/>
          <w:lang w:val="en-GB"/>
        </w:rPr>
        <w:t>5</w:t>
      </w:r>
      <w:r w:rsidRPr="00D43D39" w:rsidR="6E91153F">
        <w:rPr>
          <w:rFonts w:ascii="Times New Roman" w:hAnsi="Times New Roman" w:cs="Times New Roman"/>
          <w:sz w:val="20"/>
          <w:szCs w:val="20"/>
          <w:lang w:val="en-GB"/>
        </w:rPr>
        <w:t xml:space="preserve">, point </w:t>
      </w:r>
      <w:r w:rsidRPr="00D43D39" w:rsidR="7DD50394">
        <w:rPr>
          <w:rFonts w:ascii="Times New Roman" w:hAnsi="Times New Roman" w:cs="Times New Roman"/>
          <w:sz w:val="20"/>
          <w:szCs w:val="20"/>
          <w:lang w:val="en-GB"/>
        </w:rPr>
        <w:t>(i).</w:t>
      </w:r>
    </w:p>
    <w:p w:rsidR="007A2775" w:rsidRDefault="009A172F" w14:paraId="779967E7" w14:textId="2DABF02D">
      <w:pPr>
        <w:pStyle w:val="InstructionsText2"/>
        <w:numPr>
          <w:ilvl w:val="0"/>
          <w:numId w:val="0"/>
        </w:numPr>
        <w:rPr>
          <w:rFonts w:ascii="Times New Roman" w:hAnsi="Times New Roman" w:cs="Times New Roman"/>
        </w:rPr>
      </w:pPr>
      <w:r>
        <w:rPr>
          <w:rFonts w:ascii="Times New Roman" w:hAnsi="Times New Roman" w:cs="Times New Roman"/>
          <w:sz w:val="20"/>
          <w:szCs w:val="20"/>
          <w:lang w:val="en-GB"/>
        </w:rPr>
        <w:t>A separate tab is expected for</w:t>
      </w:r>
      <w:r w:rsidRPr="00D43D39" w:rsidR="008F119D">
        <w:rPr>
          <w:rFonts w:ascii="Times New Roman" w:hAnsi="Times New Roman" w:cs="Times New Roman"/>
          <w:sz w:val="20"/>
          <w:szCs w:val="20"/>
          <w:lang w:val="en-GB"/>
        </w:rPr>
        <w:t xml:space="preserve"> each of the economic functions categor</w:t>
      </w:r>
      <w:r>
        <w:rPr>
          <w:rFonts w:ascii="Times New Roman" w:hAnsi="Times New Roman" w:cs="Times New Roman"/>
          <w:sz w:val="20"/>
          <w:szCs w:val="20"/>
          <w:lang w:val="en-GB"/>
        </w:rPr>
        <w:t>ies</w:t>
      </w:r>
      <w:r w:rsidRPr="00D43D39" w:rsidR="008F119D">
        <w:rPr>
          <w:rFonts w:ascii="Times New Roman" w:hAnsi="Times New Roman" w:cs="Times New Roman"/>
          <w:sz w:val="20"/>
          <w:szCs w:val="20"/>
          <w:lang w:val="en-GB"/>
        </w:rPr>
        <w:t>.</w:t>
      </w:r>
      <w:r w:rsidRPr="00D43D39" w:rsidDel="00DA596D" w:rsidR="00DA596D">
        <w:rPr>
          <w:rFonts w:ascii="Times New Roman" w:hAnsi="Times New Roman" w:cs="Times New Roman"/>
          <w:szCs w:val="20"/>
        </w:rPr>
        <w:t xml:space="preserve"> </w:t>
      </w:r>
    </w:p>
    <w:p w:rsidR="00DB6DB6" w:rsidP="00DB6DB6" w:rsidRDefault="00DB6DB6" w14:paraId="794512C2" w14:textId="75B6B21F">
      <w:pPr>
        <w:pStyle w:val="Instructionsberschrift2"/>
        <w:numPr>
          <w:ilvl w:val="1"/>
          <w:numId w:val="49"/>
        </w:numPr>
        <w:ind w:left="357" w:hanging="357"/>
        <w:rPr>
          <w:rFonts w:ascii="Times New Roman" w:hAnsi="Times New Roman" w:cs="Times New Roman"/>
        </w:rPr>
      </w:pPr>
      <w:bookmarkStart w:name="_Toc172732232" w:id="99"/>
      <w:r>
        <w:rPr>
          <w:rFonts w:ascii="Times New Roman" w:hAnsi="Times New Roman" w:cs="Times New Roman"/>
          <w:lang w:val="en-US"/>
        </w:rPr>
        <w:t>Z 07.01 – Criticality assessment of economic functions (FUNC 1)</w:t>
      </w:r>
      <w:bookmarkEnd w:id="99"/>
    </w:p>
    <w:p w:rsidR="00BC13DA" w:rsidP="00DB6DB6" w:rsidRDefault="00DA596D" w14:paraId="279B18B5" w14:textId="789403F1">
      <w:pPr>
        <w:pStyle w:val="Instructionsberschrift2"/>
        <w:rPr>
          <w:rFonts w:ascii="Times New Roman" w:hAnsi="Times New Roman" w:cs="Times New Roman"/>
        </w:rPr>
      </w:pPr>
      <w:r w:rsidRPr="005F5507">
        <w:rPr>
          <w:rFonts w:ascii="Times New Roman" w:hAnsi="Times New Roman" w:cs="Times New Roman"/>
        </w:rPr>
        <w:t xml:space="preserve"> </w:t>
      </w:r>
      <w:bookmarkStart w:name="_Toc172723210" w:id="100"/>
      <w:bookmarkEnd w:id="100"/>
    </w:p>
    <w:p w:rsidRPr="005F5507" w:rsidR="00DA596D" w:rsidP="005F5507" w:rsidRDefault="00DA596D" w14:paraId="7D3F3733" w14:textId="6404CF8C">
      <w:pPr>
        <w:pStyle w:val="body"/>
        <w:rPr>
          <w:rFonts w:ascii="Times New Roman" w:hAnsi="Times New Roman" w:cs="Times New Roman"/>
          <w:sz w:val="20"/>
          <w:szCs w:val="20"/>
          <w:u w:val="single"/>
          <w:lang w:eastAsia="de-DE"/>
        </w:rPr>
      </w:pPr>
      <w:bookmarkStart w:name="_Toc164263845" w:id="101"/>
      <w:r w:rsidRPr="005F5507">
        <w:rPr>
          <w:rFonts w:ascii="Times New Roman" w:hAnsi="Times New Roman" w:cs="Times New Roman"/>
          <w:sz w:val="20"/>
          <w:szCs w:val="20"/>
          <w:u w:val="single"/>
          <w:lang w:eastAsia="de-DE"/>
        </w:rPr>
        <w:t>Instructions concerning specific positions</w:t>
      </w:r>
      <w:bookmarkEnd w:id="101"/>
    </w:p>
    <w:p w:rsidRPr="00D43D39" w:rsidR="00336AC0" w:rsidP="005F5507" w:rsidRDefault="2BB9065B" w14:paraId="5F16FF24" w14:textId="3E2A4581">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This template </w:t>
      </w:r>
      <w:r w:rsidRPr="00D43D39" w:rsidR="2BB50809">
        <w:rPr>
          <w:rFonts w:ascii="Times New Roman" w:hAnsi="Times New Roman" w:cs="Times New Roman"/>
          <w:sz w:val="20"/>
          <w:szCs w:val="20"/>
          <w:lang w:val="en-GB"/>
        </w:rPr>
        <w:t xml:space="preserve">shall be reported </w:t>
      </w:r>
      <w:r w:rsidRPr="00D43D39" w:rsidR="2F3CB0C8">
        <w:rPr>
          <w:rFonts w:ascii="Times New Roman" w:hAnsi="Times New Roman" w:cs="Times New Roman"/>
          <w:sz w:val="20"/>
          <w:szCs w:val="20"/>
          <w:lang w:val="en-GB"/>
        </w:rPr>
        <w:t xml:space="preserve">once </w:t>
      </w:r>
      <w:r w:rsidRPr="00D43D39" w:rsidR="2BB50809">
        <w:rPr>
          <w:rFonts w:ascii="Times New Roman" w:hAnsi="Times New Roman" w:cs="Times New Roman"/>
          <w:sz w:val="20"/>
          <w:szCs w:val="20"/>
          <w:lang w:val="en-GB"/>
        </w:rPr>
        <w:t xml:space="preserve">for each Member state </w:t>
      </w:r>
      <w:r w:rsidRPr="00D43D39" w:rsidR="443D4545">
        <w:rPr>
          <w:rFonts w:ascii="Times New Roman" w:hAnsi="Times New Roman" w:cs="Times New Roman"/>
          <w:sz w:val="20"/>
          <w:szCs w:val="20"/>
          <w:lang w:val="en-GB"/>
        </w:rPr>
        <w:t>(</w:t>
      </w:r>
      <w:r w:rsidRPr="00D43D39" w:rsidR="2D18EA96">
        <w:rPr>
          <w:rFonts w:ascii="Times New Roman" w:hAnsi="Times New Roman" w:cs="Times New Roman"/>
          <w:sz w:val="20"/>
          <w:szCs w:val="20"/>
          <w:lang w:val="en-GB"/>
        </w:rPr>
        <w:t xml:space="preserve">identified </w:t>
      </w:r>
      <w:r w:rsidRPr="00D43D39" w:rsidR="443D4545">
        <w:rPr>
          <w:rFonts w:ascii="Times New Roman" w:hAnsi="Times New Roman" w:cs="Times New Roman"/>
          <w:sz w:val="20"/>
          <w:szCs w:val="20"/>
          <w:lang w:val="en-GB"/>
        </w:rPr>
        <w:t xml:space="preserve">as ‘country’) </w:t>
      </w:r>
      <w:r w:rsidRPr="00D43D39" w:rsidR="2BB50809">
        <w:rPr>
          <w:rFonts w:ascii="Times New Roman" w:hAnsi="Times New Roman" w:cs="Times New Roman"/>
          <w:sz w:val="20"/>
          <w:szCs w:val="20"/>
          <w:lang w:val="en-GB"/>
        </w:rPr>
        <w:t>in which the group is active</w:t>
      </w:r>
      <w:r w:rsidRPr="00D43D39">
        <w:rPr>
          <w:rFonts w:ascii="Times New Roman" w:hAnsi="Times New Roman" w:cs="Times New Roman"/>
          <w:sz w:val="20"/>
          <w:szCs w:val="20"/>
          <w:lang w:val="en-GB"/>
        </w:rPr>
        <w:t>.</w:t>
      </w:r>
      <w:r w:rsidR="00412200">
        <w:rPr>
          <w:rFonts w:ascii="Times New Roman" w:hAnsi="Times New Roman" w:cs="Times New Roman"/>
          <w:sz w:val="20"/>
          <w:szCs w:val="20"/>
          <w:lang w:val="en-GB"/>
        </w:rPr>
        <w:t xml:space="preserve"> </w:t>
      </w:r>
      <w:r w:rsidRPr="00412200" w:rsidR="00412200">
        <w:rPr>
          <w:rFonts w:ascii="Times New Roman" w:hAnsi="Times New Roman" w:cs="Times New Roman"/>
          <w:sz w:val="20"/>
          <w:szCs w:val="20"/>
          <w:lang w:val="en-GB"/>
        </w:rPr>
        <w:t>In all cases (irrespectively of the entry point), branches shall be aggregated in the report of the country in which they provide services.</w:t>
      </w:r>
    </w:p>
    <w:p w:rsidRPr="00D43D39" w:rsidR="00AE7D80" w:rsidRDefault="2BB9065B" w14:paraId="10470341" w14:textId="3A2A98F9">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It </w:t>
      </w:r>
      <w:r w:rsidRPr="00D43D39" w:rsidR="2BB50809">
        <w:rPr>
          <w:rFonts w:ascii="Times New Roman" w:hAnsi="Times New Roman" w:cs="Times New Roman"/>
          <w:sz w:val="20"/>
          <w:szCs w:val="20"/>
          <w:lang w:val="en-GB"/>
        </w:rPr>
        <w:t>cover</w:t>
      </w:r>
      <w:r w:rsidRPr="00D43D39">
        <w:rPr>
          <w:rFonts w:ascii="Times New Roman" w:hAnsi="Times New Roman" w:cs="Times New Roman"/>
          <w:sz w:val="20"/>
          <w:szCs w:val="20"/>
          <w:lang w:val="en-GB"/>
        </w:rPr>
        <w:t>s</w:t>
      </w:r>
      <w:r w:rsidRPr="00D43D39" w:rsidR="2BB50809">
        <w:rPr>
          <w:rFonts w:ascii="Times New Roman" w:hAnsi="Times New Roman" w:cs="Times New Roman"/>
          <w:sz w:val="20"/>
          <w:szCs w:val="20"/>
          <w:lang w:val="en-GB"/>
        </w:rPr>
        <w:t xml:space="preserve"> all economic functions performed in that Member state by any group entity</w:t>
      </w:r>
      <w:r w:rsidRPr="00D43D39">
        <w:rPr>
          <w:rFonts w:ascii="Times New Roman" w:hAnsi="Times New Roman" w:cs="Times New Roman"/>
          <w:sz w:val="20"/>
          <w:szCs w:val="20"/>
          <w:lang w:val="en-GB"/>
        </w:rPr>
        <w:t>, whether that function represents a critical function or not</w:t>
      </w:r>
      <w:r w:rsidRPr="00D43D39" w:rsidR="2BB50809">
        <w:rPr>
          <w:rFonts w:ascii="Times New Roman" w:hAnsi="Times New Roman" w:cs="Times New Roman"/>
          <w:sz w:val="20"/>
          <w:szCs w:val="20"/>
          <w:lang w:val="en-GB"/>
        </w:rPr>
        <w:t>.</w:t>
      </w:r>
    </w:p>
    <w:p w:rsidRPr="00D43D39" w:rsidR="00AD08CE" w:rsidP="00AD08CE" w:rsidRDefault="00AD08CE" w14:paraId="705456CC" w14:textId="09924E0F">
      <w:pPr>
        <w:pStyle w:val="InstructionsText2"/>
        <w:numPr>
          <w:ilvl w:val="0"/>
          <w:numId w:val="232"/>
        </w:numPr>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Regional Reporting (only when </w:t>
      </w:r>
      <w:r w:rsidR="00C30381">
        <w:rPr>
          <w:rFonts w:ascii="Times New Roman" w:hAnsi="Times New Roman" w:cs="Times New Roman"/>
          <w:sz w:val="20"/>
          <w:szCs w:val="20"/>
          <w:lang w:val="en-GB"/>
        </w:rPr>
        <w:t>applicable</w:t>
      </w:r>
      <w:r w:rsidRPr="00D43D39">
        <w:rPr>
          <w:rFonts w:ascii="Times New Roman" w:hAnsi="Times New Roman" w:cs="Times New Roman"/>
          <w:sz w:val="20"/>
          <w:szCs w:val="20"/>
          <w:lang w:val="en-GB"/>
        </w:rPr>
        <w:t>)</w:t>
      </w:r>
    </w:p>
    <w:p w:rsidRPr="00D43D39" w:rsidR="00AD08CE" w:rsidP="005F5507" w:rsidRDefault="00AD08CE" w14:paraId="0F7CB3C3" w14:textId="055D1CE3">
      <w:pPr>
        <w:pStyle w:val="InstructionsText2"/>
        <w:numPr>
          <w:ilvl w:val="0"/>
          <w:numId w:val="0"/>
        </w:numPr>
        <w:ind w:left="1440"/>
        <w:rPr>
          <w:rFonts w:ascii="Times New Roman" w:hAnsi="Times New Roman" w:cs="Times New Roman"/>
          <w:sz w:val="20"/>
          <w:szCs w:val="20"/>
          <w:lang w:val="en-GB"/>
        </w:rPr>
      </w:pPr>
      <w:r w:rsidRPr="00D43D39">
        <w:rPr>
          <w:rFonts w:ascii="Times New Roman" w:hAnsi="Times New Roman" w:cs="Times New Roman"/>
          <w:sz w:val="20"/>
          <w:szCs w:val="20"/>
          <w:lang w:val="en-GB"/>
        </w:rPr>
        <w:t>For information at the level of a region</w:t>
      </w:r>
      <w:r w:rsidR="00937E62">
        <w:rPr>
          <w:rFonts w:ascii="Times New Roman" w:hAnsi="Times New Roman" w:cs="Times New Roman"/>
          <w:sz w:val="20"/>
          <w:szCs w:val="20"/>
          <w:lang w:val="en-GB"/>
        </w:rPr>
        <w:t xml:space="preserve">, </w:t>
      </w:r>
      <w:r w:rsidRPr="00D43D39">
        <w:rPr>
          <w:rFonts w:ascii="Times New Roman" w:hAnsi="Times New Roman" w:cs="Times New Roman"/>
          <w:sz w:val="20"/>
          <w:szCs w:val="20"/>
          <w:lang w:val="en-GB"/>
        </w:rPr>
        <w:t xml:space="preserve">define the region. </w:t>
      </w:r>
      <w:r w:rsidR="00AF1118">
        <w:rPr>
          <w:rFonts w:ascii="Times New Roman" w:hAnsi="Times New Roman" w:cs="Times New Roman"/>
          <w:sz w:val="20"/>
          <w:szCs w:val="20"/>
          <w:lang w:val="en-GB"/>
        </w:rPr>
        <w:t>Provide t</w:t>
      </w:r>
      <w:r w:rsidRPr="00D43D39">
        <w:rPr>
          <w:rFonts w:ascii="Times New Roman" w:hAnsi="Times New Roman" w:cs="Times New Roman"/>
          <w:sz w:val="20"/>
          <w:szCs w:val="20"/>
          <w:lang w:val="en-GB"/>
        </w:rPr>
        <w:t>he name of the region in a free text using the following convention:</w:t>
      </w:r>
    </w:p>
    <w:p w:rsidRPr="00D43D39" w:rsidR="000D0185" w:rsidRDefault="00AD08CE" w14:paraId="1A34E9AB" w14:textId="05895C78">
      <w:pPr>
        <w:pStyle w:val="InstructionsText2"/>
        <w:numPr>
          <w:ilvl w:val="0"/>
          <w:numId w:val="0"/>
        </w:numPr>
        <w:ind w:left="1440" w:firstLine="18"/>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Member state – name of the region. For the name of the member states, use the </w:t>
      </w:r>
      <w:r w:rsidRPr="00D43D39" w:rsidR="00D140F8">
        <w:rPr>
          <w:rFonts w:ascii="Times New Roman" w:hAnsi="Times New Roman" w:cs="Times New Roman"/>
          <w:sz w:val="20"/>
          <w:szCs w:val="20"/>
          <w:lang w:val="en-GB"/>
        </w:rPr>
        <w:t xml:space="preserve">respective </w:t>
      </w:r>
      <w:r w:rsidRPr="00D43D39">
        <w:rPr>
          <w:rFonts w:ascii="Times New Roman" w:hAnsi="Times New Roman" w:cs="Times New Roman"/>
          <w:sz w:val="20"/>
          <w:szCs w:val="20"/>
          <w:lang w:val="en-GB"/>
        </w:rPr>
        <w:t xml:space="preserve">two letter </w:t>
      </w:r>
      <w:r w:rsidRPr="00D43D39" w:rsidR="00DA596D">
        <w:rPr>
          <w:rFonts w:ascii="Times New Roman" w:hAnsi="Times New Roman" w:cs="Times New Roman"/>
          <w:sz w:val="20"/>
          <w:szCs w:val="20"/>
          <w:lang w:val="en-GB"/>
        </w:rPr>
        <w:t>abbreviation</w:t>
      </w:r>
      <w:r w:rsidRPr="00D43D39">
        <w:rPr>
          <w:rFonts w:ascii="Times New Roman" w:hAnsi="Times New Roman" w:cs="Times New Roman"/>
          <w:sz w:val="20"/>
          <w:szCs w:val="20"/>
          <w:lang w:val="en-GB"/>
        </w:rPr>
        <w:t>. For the name of the region use the code or codes in the NUTS 2021 classification.</w:t>
      </w:r>
    </w:p>
    <w:p w:rsidRPr="00D43D39" w:rsidR="00DA596D" w:rsidP="00DA596D" w:rsidRDefault="00DA596D" w14:paraId="223E48AD" w14:textId="77777777">
      <w:pPr>
        <w:pStyle w:val="InstructionsText2"/>
        <w:numPr>
          <w:ilvl w:val="0"/>
          <w:numId w:val="0"/>
        </w:numPr>
        <w:rPr>
          <w:rFonts w:ascii="Times New Roman" w:hAnsi="Times New Roman" w:cs="Times New Roman"/>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Pr="00D43D39" w:rsidR="00DA596D" w:rsidTr="005F5507" w14:paraId="3A8F7FDB" w14:textId="77777777">
        <w:trPr>
          <w:tblHeader/>
        </w:trPr>
        <w:tc>
          <w:tcPr>
            <w:tcW w:w="1191" w:type="dxa"/>
            <w:tcBorders>
              <w:top w:val="single" w:color="1A171C" w:sz="4" w:space="0"/>
              <w:left w:val="nil"/>
              <w:bottom w:val="single" w:color="1A171C" w:sz="4" w:space="0"/>
              <w:right w:val="single" w:color="1A171C" w:sz="4" w:space="0"/>
            </w:tcBorders>
            <w:shd w:val="clear" w:color="auto" w:fill="E4E5E5"/>
          </w:tcPr>
          <w:p w:rsidRPr="00D43D39" w:rsidR="00DA596D" w:rsidP="00AC449F" w:rsidRDefault="0087649D" w14:paraId="4A76E5EB" w14:textId="3AE15656">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Rows</w:t>
            </w:r>
          </w:p>
        </w:tc>
        <w:tc>
          <w:tcPr>
            <w:tcW w:w="7892" w:type="dxa"/>
            <w:tcBorders>
              <w:top w:val="single" w:color="1A171C" w:sz="4" w:space="0"/>
              <w:left w:val="single" w:color="1A171C" w:sz="4" w:space="0"/>
              <w:bottom w:val="single" w:color="1A171C" w:sz="4" w:space="0"/>
              <w:right w:val="nil"/>
            </w:tcBorders>
            <w:shd w:val="clear" w:color="auto" w:fill="E4E5E5"/>
          </w:tcPr>
          <w:p w:rsidRPr="00D43D39" w:rsidR="00DA596D" w:rsidP="00AC449F" w:rsidRDefault="00DA596D" w14:paraId="4E5F56BD"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Economic function</w:t>
            </w:r>
          </w:p>
        </w:tc>
      </w:tr>
      <w:tr w:rsidRPr="00D43D39" w:rsidR="00DA596D" w:rsidTr="00DA596D" w14:paraId="6332E9C9" w14:textId="77777777">
        <w:tc>
          <w:tcPr>
            <w:tcW w:w="9083" w:type="dxa"/>
            <w:gridSpan w:val="2"/>
            <w:tcBorders>
              <w:top w:val="single" w:color="1A171C" w:sz="4" w:space="0"/>
              <w:left w:val="nil"/>
              <w:bottom w:val="single" w:color="1A171C" w:sz="4" w:space="0"/>
            </w:tcBorders>
          </w:tcPr>
          <w:p w:rsidRPr="00D43D39" w:rsidR="00DA596D" w:rsidP="00AC449F" w:rsidRDefault="005F75E4" w14:paraId="2E28BD51" w14:textId="47BE8C73">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rPr>
              <w:t>7.1 FUNC 1 D</w:t>
            </w:r>
            <w:r>
              <w:rPr>
                <w:rFonts w:ascii="Times New Roman" w:hAnsi="Times New Roman" w:cs="Times New Roman"/>
              </w:rPr>
              <w:t>EP</w:t>
            </w:r>
          </w:p>
          <w:p w:rsidRPr="00D43D39" w:rsidR="00DA596D" w:rsidP="00AC449F" w:rsidRDefault="00DA596D" w14:paraId="6BF38E36"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Deposit taking shall refer to the acceptance of deposits from non-financial counterparties. It does not include borrowing from other financial counterparties, which is dealt with separately in ‘wholesale funding’. </w:t>
            </w:r>
          </w:p>
          <w:p w:rsidRPr="00D43D39" w:rsidR="00DA596D" w:rsidP="00AC449F" w:rsidRDefault="00DA596D" w14:paraId="79A399E3"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Deposits include: i) current accounts / overnight deposits, ii) deposits with agreed maturity, and iii) deposits redeemable at notice, and exclude repurchase agreements.</w:t>
            </w:r>
          </w:p>
          <w:p w:rsidRPr="00D43D39" w:rsidR="00DA596D" w:rsidP="00AC449F" w:rsidRDefault="00DA596D" w14:paraId="14538571" w14:textId="0E6C0A3F">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References: FSB </w:t>
            </w:r>
            <w:r w:rsidRPr="00D43D39">
              <w:rPr>
                <w:rFonts w:ascii="Times New Roman" w:hAnsi="Times New Roman" w:cs="Times New Roman"/>
                <w:color w:val="000000" w:themeColor="text1"/>
                <w:sz w:val="20"/>
                <w:szCs w:val="20"/>
                <w:lang w:val="en-GB"/>
              </w:rPr>
              <w:t>Guidance on Identification of Critical Functions and Critical Shared Services</w:t>
            </w:r>
            <w:r w:rsidRPr="00D43D39">
              <w:rPr>
                <w:rFonts w:ascii="Times New Roman" w:hAnsi="Times New Roman" w:eastAsia="Cambria" w:cs="Times New Roman"/>
                <w:color w:val="000000" w:themeColor="text1"/>
                <w:spacing w:val="-2"/>
                <w:w w:val="95"/>
                <w:sz w:val="20"/>
                <w:szCs w:val="20"/>
                <w:lang w:val="en-GB"/>
              </w:rPr>
              <w:t xml:space="preserve"> (2013) p.14; Annex II Part 2 items 9.1, 9.2 and 9.3 of </w:t>
            </w:r>
            <w:r w:rsidRPr="00D43D39">
              <w:rPr>
                <w:rFonts w:ascii="Times New Roman" w:hAnsi="Times New Roman" w:cs="Times New Roman"/>
                <w:color w:val="000000" w:themeColor="text1"/>
                <w:sz w:val="20"/>
                <w:szCs w:val="20"/>
                <w:lang w:val="en-GB" w:eastAsia="en-GB"/>
              </w:rPr>
              <w:t xml:space="preserve">Regulation (EU) No </w:t>
            </w:r>
            <w:r w:rsidR="000B622A">
              <w:rPr>
                <w:rFonts w:ascii="Times New Roman" w:hAnsi="Times New Roman" w:cs="Times New Roman"/>
                <w:color w:val="000000" w:themeColor="text1"/>
                <w:sz w:val="20"/>
                <w:szCs w:val="20"/>
                <w:lang w:val="en-GB" w:eastAsia="en-GB"/>
              </w:rPr>
              <w:t>2021/379</w:t>
            </w:r>
            <w:r w:rsidRPr="00D43D39">
              <w:rPr>
                <w:rFonts w:ascii="Times New Roman" w:hAnsi="Times New Roman" w:eastAsia="Cambria" w:cs="Times New Roman"/>
                <w:color w:val="000000" w:themeColor="text1"/>
                <w:spacing w:val="-2"/>
                <w:w w:val="95"/>
                <w:sz w:val="20"/>
                <w:szCs w:val="20"/>
                <w:lang w:val="en-GB"/>
              </w:rPr>
              <w:t>.</w:t>
            </w:r>
          </w:p>
        </w:tc>
      </w:tr>
      <w:tr w:rsidRPr="00D43D39" w:rsidR="00DA596D" w:rsidTr="00DA596D" w14:paraId="73F1BAE0"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333FA487" w14:textId="493AC37B">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0010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2B97A71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Households</w:t>
            </w:r>
          </w:p>
        </w:tc>
      </w:tr>
      <w:tr w:rsidRPr="00D43D39" w:rsidR="00DA596D" w:rsidTr="00DA596D" w14:paraId="5A46CC38"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1B9B12F2" w14:textId="1E5DC25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0020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2732933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Non-financial corporations (SMEs)</w:t>
            </w:r>
          </w:p>
        </w:tc>
      </w:tr>
      <w:tr w:rsidRPr="00D06A69" w:rsidR="00DA596D" w:rsidTr="00DA596D" w14:paraId="5AA76728"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69156A5D" w14:textId="2B87CD53">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0030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759E72C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fr-FR"/>
              </w:rPr>
            </w:pPr>
            <w:r w:rsidRPr="00D43D39">
              <w:rPr>
                <w:rFonts w:ascii="Times New Roman" w:hAnsi="Times New Roman" w:cs="Times New Roman"/>
                <w:b/>
                <w:bCs/>
                <w:color w:val="000000" w:themeColor="text1"/>
                <w:sz w:val="20"/>
                <w:szCs w:val="20"/>
                <w:lang w:val="fr-FR"/>
              </w:rPr>
              <w:t>Non-financial corporations (non-SMEs)</w:t>
            </w:r>
          </w:p>
        </w:tc>
      </w:tr>
      <w:tr w:rsidRPr="00D43D39" w:rsidR="00DA596D" w:rsidTr="00DA596D" w14:paraId="13DBD434"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632D6264" w14:textId="4971A66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0040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5F246FA4"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General governments</w:t>
            </w:r>
          </w:p>
        </w:tc>
      </w:tr>
      <w:tr w:rsidRPr="00D43D39" w:rsidR="00DA596D" w:rsidTr="00DA596D" w14:paraId="6AAF4B4B"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73687866" w14:textId="736E1A3E">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0050 - 0070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09DFD30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Other sectors / counterparties (1), (2) and (3)</w:t>
            </w:r>
          </w:p>
        </w:tc>
      </w:tr>
      <w:tr w:rsidRPr="00D43D39" w:rsidR="00DA596D" w:rsidTr="00DA596D" w14:paraId="12A32641" w14:textId="77777777">
        <w:tc>
          <w:tcPr>
            <w:tcW w:w="9083" w:type="dxa"/>
            <w:gridSpan w:val="2"/>
            <w:tcBorders>
              <w:top w:val="single" w:color="1A171C" w:sz="4" w:space="0"/>
              <w:left w:val="nil"/>
              <w:bottom w:val="single" w:color="1A171C" w:sz="4" w:space="0"/>
            </w:tcBorders>
          </w:tcPr>
          <w:p w:rsidR="005F75E4" w:rsidP="00AC449F" w:rsidRDefault="005F75E4" w14:paraId="12E89C3F" w14:textId="4E0B7DA0">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rPr>
              <w:t>7.</w:t>
            </w:r>
            <w:r>
              <w:rPr>
                <w:rFonts w:ascii="Times New Roman" w:hAnsi="Times New Roman" w:cs="Times New Roman"/>
              </w:rPr>
              <w:t>1</w:t>
            </w:r>
            <w:r w:rsidRPr="00D43D39">
              <w:rPr>
                <w:rFonts w:ascii="Times New Roman" w:hAnsi="Times New Roman" w:cs="Times New Roman"/>
              </w:rPr>
              <w:t xml:space="preserve"> FUNC 1 </w:t>
            </w:r>
            <w:r>
              <w:rPr>
                <w:rFonts w:ascii="Times New Roman" w:hAnsi="Times New Roman" w:cs="Times New Roman"/>
              </w:rPr>
              <w:t>LEN</w:t>
            </w:r>
            <w:r w:rsidRPr="00D43D39">
              <w:rPr>
                <w:rFonts w:ascii="Times New Roman" w:hAnsi="Times New Roman" w:eastAsia="Cambria" w:cs="Times New Roman"/>
                <w:color w:val="000000" w:themeColor="text1"/>
                <w:spacing w:val="-2"/>
                <w:w w:val="95"/>
                <w:sz w:val="20"/>
                <w:szCs w:val="20"/>
                <w:lang w:val="en-GB"/>
              </w:rPr>
              <w:t xml:space="preserve"> </w:t>
            </w:r>
          </w:p>
          <w:p w:rsidRPr="00D43D39" w:rsidR="00DA596D" w:rsidP="00AC449F" w:rsidRDefault="00DA596D" w14:paraId="2C911541" w14:textId="1998B872">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Lending shall refer to the provision of funds to non-financial counterparties, such as corporate or retail clients. Lending to financial counterparties is a distinct activity and is assessed in ‘wholesale funding’. Loans includes debt instruments held by the institutions but exclude debt instruments that are securities, irrespective of their accounting classification (e.g. held-to-maturity or available for sale).</w:t>
            </w:r>
          </w:p>
          <w:p w:rsidRPr="00D43D39" w:rsidR="00DA596D" w:rsidP="00AC449F" w:rsidRDefault="00DA596D" w14:paraId="54E93BAC" w14:textId="4A48D1B6">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References: FSB </w:t>
            </w:r>
            <w:r w:rsidRPr="00D43D39">
              <w:rPr>
                <w:rFonts w:ascii="Times New Roman" w:hAnsi="Times New Roman" w:cs="Times New Roman"/>
                <w:color w:val="000000" w:themeColor="text1"/>
                <w:sz w:val="20"/>
                <w:szCs w:val="20"/>
                <w:lang w:val="en-GB"/>
              </w:rPr>
              <w:t>Guidance on Identification of Critical Functions and Critical Shared Services</w:t>
            </w:r>
            <w:r w:rsidRPr="00D43D39">
              <w:rPr>
                <w:rFonts w:ascii="Times New Roman" w:hAnsi="Times New Roman" w:eastAsia="Cambria" w:cs="Times New Roman"/>
                <w:color w:val="000000" w:themeColor="text1"/>
                <w:spacing w:val="-2"/>
                <w:w w:val="95"/>
                <w:sz w:val="20"/>
                <w:szCs w:val="20"/>
                <w:lang w:val="en-GB"/>
              </w:rPr>
              <w:t xml:space="preserve"> (2013) p.17; Annex II Part 2 item 2 of </w:t>
            </w:r>
            <w:r w:rsidRPr="00D43D39">
              <w:rPr>
                <w:rFonts w:ascii="Times New Roman" w:hAnsi="Times New Roman" w:cs="Times New Roman"/>
                <w:color w:val="000000" w:themeColor="text1"/>
                <w:sz w:val="20"/>
                <w:szCs w:val="20"/>
                <w:lang w:val="en-GB" w:eastAsia="en-GB"/>
              </w:rPr>
              <w:t xml:space="preserve">Regulation (EU) No </w:t>
            </w:r>
            <w:r w:rsidR="000B622A">
              <w:rPr>
                <w:rFonts w:ascii="Times New Roman" w:hAnsi="Times New Roman" w:cs="Times New Roman"/>
                <w:color w:val="000000" w:themeColor="text1"/>
                <w:sz w:val="20"/>
                <w:szCs w:val="20"/>
                <w:lang w:val="en-GB" w:eastAsia="en-GB"/>
              </w:rPr>
              <w:t>2021/379</w:t>
            </w:r>
            <w:r w:rsidRPr="00D43D39">
              <w:rPr>
                <w:rFonts w:ascii="Times New Roman" w:hAnsi="Times New Roman" w:eastAsia="Cambria" w:cs="Times New Roman"/>
                <w:color w:val="000000" w:themeColor="text1"/>
                <w:spacing w:val="-2"/>
                <w:w w:val="95"/>
                <w:sz w:val="20"/>
                <w:szCs w:val="20"/>
                <w:lang w:val="en-GB"/>
              </w:rPr>
              <w:t>.</w:t>
            </w:r>
          </w:p>
        </w:tc>
      </w:tr>
      <w:tr w:rsidRPr="00D43D39" w:rsidR="00DA596D" w:rsidTr="00DA596D" w14:paraId="3ABFA55F" w14:textId="77777777">
        <w:tc>
          <w:tcPr>
            <w:tcW w:w="1191" w:type="dxa"/>
            <w:tcBorders>
              <w:top w:val="single" w:color="1A171C" w:sz="4" w:space="0"/>
              <w:left w:val="nil"/>
              <w:bottom w:val="single" w:color="1A171C" w:sz="4" w:space="0"/>
              <w:right w:val="single" w:color="1A171C" w:sz="4" w:space="0"/>
            </w:tcBorders>
          </w:tcPr>
          <w:p w:rsidRPr="00D43D39" w:rsidR="00DA596D" w:rsidP="00DA596D" w:rsidRDefault="00DA596D" w14:paraId="17FF4D41" w14:textId="5637CD01">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0080</w:t>
            </w:r>
          </w:p>
        </w:tc>
        <w:tc>
          <w:tcPr>
            <w:tcW w:w="7892" w:type="dxa"/>
            <w:tcBorders>
              <w:top w:val="single" w:color="1A171C" w:sz="4" w:space="0"/>
              <w:left w:val="single" w:color="1A171C" w:sz="4" w:space="0"/>
              <w:bottom w:val="single" w:color="1A171C" w:sz="4" w:space="0"/>
              <w:right w:val="nil"/>
            </w:tcBorders>
          </w:tcPr>
          <w:p w:rsidRPr="00D43D39" w:rsidR="00DA596D" w:rsidP="00DA596D" w:rsidRDefault="00DA596D" w14:paraId="38436E9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Households – Lending for house purchase</w:t>
            </w:r>
          </w:p>
          <w:p w:rsidRPr="00D43D39" w:rsidR="00DA596D" w:rsidP="00DA596D" w:rsidRDefault="00DA596D" w14:paraId="0DF63E45" w14:textId="3EA4B56F">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Secured loans extended to households with property as collateral</w:t>
            </w:r>
          </w:p>
        </w:tc>
      </w:tr>
      <w:tr w:rsidRPr="00D43D39" w:rsidR="00DA596D" w:rsidTr="00DA596D" w14:paraId="6047BEAF" w14:textId="77777777">
        <w:tc>
          <w:tcPr>
            <w:tcW w:w="1191" w:type="dxa"/>
            <w:tcBorders>
              <w:top w:val="single" w:color="1A171C" w:sz="4" w:space="0"/>
              <w:left w:val="nil"/>
              <w:bottom w:val="single" w:color="1A171C" w:sz="4" w:space="0"/>
              <w:right w:val="single" w:color="1A171C" w:sz="4" w:space="0"/>
            </w:tcBorders>
          </w:tcPr>
          <w:p w:rsidRPr="00D43D39" w:rsidR="00DA596D" w:rsidP="00DA596D" w:rsidRDefault="00DA596D" w14:paraId="65381237" w14:textId="46D842A1">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0090</w:t>
            </w:r>
          </w:p>
        </w:tc>
        <w:tc>
          <w:tcPr>
            <w:tcW w:w="7892" w:type="dxa"/>
            <w:tcBorders>
              <w:top w:val="single" w:color="1A171C" w:sz="4" w:space="0"/>
              <w:left w:val="single" w:color="1A171C" w:sz="4" w:space="0"/>
              <w:bottom w:val="single" w:color="1A171C" w:sz="4" w:space="0"/>
              <w:right w:val="nil"/>
            </w:tcBorders>
          </w:tcPr>
          <w:p w:rsidRPr="00D43D39" w:rsidR="00DA596D" w:rsidP="00DA596D" w:rsidRDefault="00DA596D" w14:paraId="331FA69E"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Households – other lending</w:t>
            </w:r>
          </w:p>
        </w:tc>
      </w:tr>
      <w:tr w:rsidRPr="00D43D39" w:rsidR="00DA596D" w:rsidTr="005F5507" w14:paraId="12B8C0C3" w14:textId="77777777">
        <w:tc>
          <w:tcPr>
            <w:tcW w:w="1191" w:type="dxa"/>
            <w:tcBorders>
              <w:top w:val="single" w:color="1A171C" w:sz="4" w:space="0"/>
              <w:left w:val="nil"/>
              <w:bottom w:val="single" w:color="1A171C" w:sz="4" w:space="0"/>
              <w:right w:val="single" w:color="1A171C" w:sz="4" w:space="0"/>
            </w:tcBorders>
          </w:tcPr>
          <w:p w:rsidRPr="00D43D39" w:rsidR="00DA596D" w:rsidP="00DA596D" w:rsidRDefault="00DA596D" w14:paraId="3B6B1DC2" w14:textId="39007361">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0100</w:t>
            </w:r>
          </w:p>
        </w:tc>
        <w:tc>
          <w:tcPr>
            <w:tcW w:w="7892" w:type="dxa"/>
            <w:tcBorders>
              <w:top w:val="single" w:color="1A171C" w:sz="4" w:space="0"/>
              <w:left w:val="single" w:color="1A171C" w:sz="4" w:space="0"/>
              <w:bottom w:val="single" w:color="1A171C" w:sz="4" w:space="0"/>
              <w:right w:val="nil"/>
            </w:tcBorders>
            <w:vAlign w:val="bottom"/>
          </w:tcPr>
          <w:p w:rsidRPr="00D43D39" w:rsidR="00DA596D" w:rsidP="00DA596D" w:rsidRDefault="00DA596D" w14:paraId="176181AE"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Non-financial corporations - SMEs</w:t>
            </w:r>
          </w:p>
        </w:tc>
      </w:tr>
      <w:tr w:rsidRPr="00D06A69" w:rsidR="00DA596D" w:rsidTr="00DA596D" w14:paraId="1D637CB7" w14:textId="77777777">
        <w:tc>
          <w:tcPr>
            <w:tcW w:w="1191" w:type="dxa"/>
            <w:tcBorders>
              <w:top w:val="single" w:color="1A171C" w:sz="4" w:space="0"/>
              <w:left w:val="nil"/>
              <w:bottom w:val="single" w:color="1A171C" w:sz="4" w:space="0"/>
              <w:right w:val="single" w:color="1A171C" w:sz="4" w:space="0"/>
            </w:tcBorders>
            <w:vAlign w:val="bottom"/>
          </w:tcPr>
          <w:p w:rsidRPr="00D43D39" w:rsidR="00DA596D" w:rsidP="00AC449F" w:rsidRDefault="00DA596D" w14:paraId="54C7B66E" w14:textId="5DC24FB9">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0110</w:t>
            </w:r>
          </w:p>
        </w:tc>
        <w:tc>
          <w:tcPr>
            <w:tcW w:w="7892" w:type="dxa"/>
            <w:tcBorders>
              <w:top w:val="single" w:color="1A171C" w:sz="4" w:space="0"/>
              <w:left w:val="single" w:color="1A171C" w:sz="4" w:space="0"/>
              <w:bottom w:val="single" w:color="1A171C" w:sz="4" w:space="0"/>
              <w:right w:val="nil"/>
            </w:tcBorders>
            <w:vAlign w:val="bottom"/>
          </w:tcPr>
          <w:p w:rsidRPr="00D43D39" w:rsidR="00DA596D" w:rsidP="00AC449F" w:rsidRDefault="00DA596D" w14:paraId="0CAE7FA4" w14:textId="77777777">
            <w:pPr>
              <w:pStyle w:val="TableParagraph"/>
              <w:spacing w:before="108"/>
              <w:ind w:left="85"/>
              <w:jc w:val="both"/>
              <w:rPr>
                <w:rFonts w:ascii="Times New Roman" w:hAnsi="Times New Roman" w:cs="Times New Roman"/>
                <w:b/>
                <w:bCs/>
                <w:color w:val="000000" w:themeColor="text1"/>
                <w:sz w:val="20"/>
                <w:szCs w:val="20"/>
                <w:lang w:val="fr-FR"/>
              </w:rPr>
            </w:pPr>
            <w:r w:rsidRPr="00D43D39">
              <w:rPr>
                <w:rFonts w:ascii="Times New Roman" w:hAnsi="Times New Roman" w:cs="Times New Roman"/>
                <w:b/>
                <w:bCs/>
                <w:color w:val="000000" w:themeColor="text1"/>
                <w:sz w:val="20"/>
                <w:szCs w:val="20"/>
                <w:lang w:val="fr-FR"/>
              </w:rPr>
              <w:t>Non-financial corporations - non-SMEs</w:t>
            </w:r>
          </w:p>
        </w:tc>
      </w:tr>
      <w:tr w:rsidRPr="00D43D39" w:rsidR="00DA596D" w:rsidTr="00DA596D" w14:paraId="5ABD405C" w14:textId="77777777">
        <w:tc>
          <w:tcPr>
            <w:tcW w:w="1191" w:type="dxa"/>
            <w:tcBorders>
              <w:top w:val="single" w:color="1A171C" w:sz="4" w:space="0"/>
              <w:left w:val="nil"/>
              <w:bottom w:val="single" w:color="1A171C" w:sz="4" w:space="0"/>
              <w:right w:val="single" w:color="1A171C" w:sz="4" w:space="0"/>
            </w:tcBorders>
            <w:vAlign w:val="bottom"/>
          </w:tcPr>
          <w:p w:rsidRPr="00D43D39" w:rsidR="00DA596D" w:rsidP="00AC449F" w:rsidRDefault="00DA596D" w14:paraId="0CB42C8F" w14:textId="0C7947B3">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0120</w:t>
            </w:r>
          </w:p>
        </w:tc>
        <w:tc>
          <w:tcPr>
            <w:tcW w:w="7892" w:type="dxa"/>
            <w:tcBorders>
              <w:top w:val="single" w:color="1A171C" w:sz="4" w:space="0"/>
              <w:left w:val="single" w:color="1A171C" w:sz="4" w:space="0"/>
              <w:bottom w:val="single" w:color="1A171C" w:sz="4" w:space="0"/>
              <w:right w:val="nil"/>
            </w:tcBorders>
            <w:vAlign w:val="bottom"/>
          </w:tcPr>
          <w:p w:rsidRPr="00D43D39" w:rsidR="00DA596D" w:rsidP="00AC449F" w:rsidRDefault="00DA596D" w14:paraId="771E26A3"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General governments</w:t>
            </w:r>
          </w:p>
        </w:tc>
      </w:tr>
      <w:tr w:rsidRPr="00D43D39" w:rsidR="00DA596D" w:rsidTr="00DA596D" w14:paraId="376F13F7"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295B0116" w14:textId="64D97459">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0130 - 0150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23455F8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Other sectors / counterparties (1), (2) and (3)</w:t>
            </w:r>
          </w:p>
        </w:tc>
      </w:tr>
      <w:tr w:rsidRPr="00D43D39" w:rsidR="00DA596D" w:rsidTr="00DA596D" w14:paraId="1FAF5CF8" w14:textId="77777777">
        <w:tc>
          <w:tcPr>
            <w:tcW w:w="9083" w:type="dxa"/>
            <w:gridSpan w:val="2"/>
            <w:tcBorders>
              <w:top w:val="single" w:color="1A171C" w:sz="4" w:space="0"/>
              <w:left w:val="nil"/>
              <w:bottom w:val="single" w:color="1A171C" w:sz="4" w:space="0"/>
            </w:tcBorders>
          </w:tcPr>
          <w:p w:rsidR="005F75E4" w:rsidP="00AC449F" w:rsidRDefault="005F75E4" w14:paraId="441B6E1D" w14:textId="7641AD89">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rPr>
              <w:t xml:space="preserve">7.1 FUNC 1 </w:t>
            </w:r>
            <w:r>
              <w:rPr>
                <w:rFonts w:ascii="Times New Roman" w:hAnsi="Times New Roman" w:cs="Times New Roman"/>
              </w:rPr>
              <w:t>PAY</w:t>
            </w:r>
            <w:r w:rsidRPr="00D43D39">
              <w:rPr>
                <w:rFonts w:ascii="Times New Roman" w:hAnsi="Times New Roman" w:eastAsia="Cambria" w:cs="Times New Roman"/>
                <w:color w:val="000000" w:themeColor="text1"/>
                <w:spacing w:val="-2"/>
                <w:w w:val="95"/>
                <w:sz w:val="20"/>
                <w:szCs w:val="20"/>
                <w:lang w:val="en-GB"/>
              </w:rPr>
              <w:t xml:space="preserve"> </w:t>
            </w:r>
          </w:p>
          <w:p w:rsidRPr="00D43D39" w:rsidR="00DA596D" w:rsidP="00AC449F" w:rsidRDefault="00DA596D" w14:paraId="14E6A243" w14:textId="4F6A8274">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Reference: FSB </w:t>
            </w:r>
            <w:r w:rsidRPr="00D43D39">
              <w:rPr>
                <w:rFonts w:ascii="Times New Roman" w:hAnsi="Times New Roman" w:cs="Times New Roman"/>
                <w:color w:val="000000" w:themeColor="text1"/>
                <w:sz w:val="20"/>
                <w:szCs w:val="20"/>
                <w:lang w:val="en-GB"/>
              </w:rPr>
              <w:t>Guidance on Identification of Critical Functions and Critical Shared Services</w:t>
            </w:r>
            <w:r w:rsidRPr="00D43D39">
              <w:rPr>
                <w:rFonts w:ascii="Times New Roman" w:hAnsi="Times New Roman" w:eastAsia="Cambria" w:cs="Times New Roman"/>
                <w:color w:val="000000" w:themeColor="text1"/>
                <w:spacing w:val="-2"/>
                <w:w w:val="95"/>
                <w:sz w:val="20"/>
                <w:szCs w:val="20"/>
                <w:lang w:val="en-GB"/>
              </w:rPr>
              <w:t xml:space="preserve"> (2013) p.20.</w:t>
            </w:r>
          </w:p>
          <w:p w:rsidRPr="00D43D39" w:rsidR="00DA596D" w:rsidP="00AC449F" w:rsidRDefault="00DA596D" w14:paraId="6EEB92C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economic functions included under this caption shall consist of the provision of payments, cash, settlement, clearing and custody services by a credit institution, as an intermediary between own clients or as an intermediary between a client and one or several relevant Financial Market Infrastructures (FMIs), or the provision of (indirect) access to FMIs to other banks. In line with FSB </w:t>
            </w:r>
            <w:r w:rsidRPr="00D43D39">
              <w:rPr>
                <w:rFonts w:ascii="Times New Roman" w:hAnsi="Times New Roman" w:cs="Times New Roman"/>
                <w:color w:val="000000" w:themeColor="text1"/>
                <w:sz w:val="20"/>
                <w:szCs w:val="20"/>
                <w:lang w:val="en-GB"/>
              </w:rPr>
              <w:t>Guidance on Identification of Critical Functions and Critical Shared Services</w:t>
            </w:r>
            <w:r w:rsidRPr="00D43D39">
              <w:rPr>
                <w:rFonts w:ascii="Times New Roman" w:hAnsi="Times New Roman" w:eastAsia="Cambria" w:cs="Times New Roman"/>
                <w:color w:val="000000" w:themeColor="text1"/>
                <w:spacing w:val="-2"/>
                <w:w w:val="95"/>
                <w:sz w:val="20"/>
                <w:szCs w:val="20"/>
                <w:lang w:val="en-GB"/>
              </w:rPr>
              <w:t>, the payments, clearing and settlement function is limited to services provided by banks to their clients. This category does not cover services provided by (pure) FMI providers. For the purpose of this template, FMIs include payment systems, securities settlement systems, central securities depositories and central counterparties (and do not include trade repositories).</w:t>
            </w:r>
          </w:p>
          <w:p w:rsidRPr="00D43D39" w:rsidR="00DA596D" w:rsidP="00AC449F" w:rsidRDefault="00DA596D" w14:paraId="5E6B674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Payment service’, ‘payment transaction’ and ‘payment system’ have the same meaning as defined in Article 4(3), (5) and (7), respectively, of DIRECTIVE 2015/2366 on payment services in the internal market</w:t>
            </w:r>
            <w:r w:rsidRPr="00D43D39">
              <w:rPr>
                <w:rStyle w:val="FootnoteReference"/>
                <w:rFonts w:ascii="Times New Roman" w:hAnsi="Times New Roman" w:eastAsia="Cambria" w:cs="Times New Roman"/>
                <w:color w:val="000000" w:themeColor="text1"/>
                <w:spacing w:val="-2"/>
                <w:w w:val="95"/>
                <w:sz w:val="20"/>
                <w:szCs w:val="20"/>
                <w:lang w:val="en-GB"/>
              </w:rPr>
              <w:footnoteReference w:id="18"/>
            </w:r>
            <w:r w:rsidRPr="00D43D39">
              <w:rPr>
                <w:rFonts w:ascii="Times New Roman" w:hAnsi="Times New Roman" w:eastAsia="Cambria" w:cs="Times New Roman"/>
                <w:color w:val="000000" w:themeColor="text1"/>
                <w:spacing w:val="-2"/>
                <w:w w:val="95"/>
                <w:sz w:val="20"/>
                <w:szCs w:val="20"/>
                <w:lang w:val="en-GB"/>
              </w:rPr>
              <w:t>.</w:t>
            </w:r>
          </w:p>
          <w:p w:rsidRPr="00D43D39" w:rsidR="00DA596D" w:rsidP="00AC449F" w:rsidRDefault="00DA596D" w14:paraId="5965565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p>
        </w:tc>
      </w:tr>
      <w:tr w:rsidRPr="00D43D39" w:rsidR="00DA596D" w:rsidTr="00DA596D" w14:paraId="2BE9219C"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258E637F" w14:textId="6808E9E5">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0160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628BCAF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Payment services to MFIs</w:t>
            </w:r>
          </w:p>
          <w:p w:rsidRPr="00D43D39" w:rsidR="00DA596D" w:rsidP="00AC449F" w:rsidRDefault="00DA596D" w14:paraId="27F638AE"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This row shall include payment services offered to Monetary Financial Institutions (MFIs), with or without use of external payment systems. This shall also include (payments related to) correspondent banking services. MFIs shall consist of all institutional units included in the sub-sectors: i) central bank; ii) deposit-taking corporations except the central bank; and iii) money market funds.</w:t>
            </w:r>
          </w:p>
        </w:tc>
      </w:tr>
      <w:tr w:rsidRPr="00D43D39" w:rsidR="00DA596D" w:rsidTr="00DA596D" w14:paraId="5D28FD1E"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29BB3291" w14:textId="13DB43BC">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0170 </w:t>
            </w:r>
            <w:r w:rsidRPr="00D43D39" w:rsidR="0021755B">
              <w:rPr>
                <w:rFonts w:ascii="Times New Roman" w:hAnsi="Times New Roman" w:eastAsia="Cambria" w:cs="Times New Roman"/>
                <w:color w:val="000000" w:themeColor="text1"/>
                <w:spacing w:val="-2"/>
                <w:w w:val="95"/>
                <w:sz w:val="20"/>
                <w:szCs w:val="20"/>
                <w:lang w:val="en-GB"/>
              </w:rPr>
              <w:t>-</w:t>
            </w:r>
            <w:r w:rsidRPr="00D43D39">
              <w:rPr>
                <w:rFonts w:ascii="Times New Roman" w:hAnsi="Times New Roman" w:eastAsia="Cambria" w:cs="Times New Roman"/>
                <w:color w:val="000000" w:themeColor="text1"/>
                <w:spacing w:val="-2"/>
                <w:w w:val="95"/>
                <w:sz w:val="20"/>
                <w:szCs w:val="20"/>
                <w:lang w:val="en-GB"/>
              </w:rPr>
              <w:t xml:space="preserve"> 0176</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0D8FB6CD"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Payment services to non-MFIs</w:t>
            </w:r>
          </w:p>
          <w:p w:rsidRPr="00D43D39" w:rsidR="00DA596D" w:rsidP="00AC449F" w:rsidRDefault="00DA596D" w14:paraId="5D648CF2"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Payment services offered to clients, with or without use of external payment systems. This shall only include natural or legal person who do not belong to the MFIs sector. Payment services providers are also excluded from the ‘non-MFIs’ sector.</w:t>
            </w:r>
          </w:p>
          <w:p w:rsidRPr="00D43D39" w:rsidR="00DA596D" w:rsidP="00AC449F" w:rsidRDefault="00DA596D" w14:paraId="757FFBC6"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function is divided additionally into 3 subfunctions:</w:t>
            </w:r>
          </w:p>
          <w:p w:rsidRPr="00D43D39" w:rsidR="00DA596D" w:rsidP="00AC449F" w:rsidRDefault="00DA596D" w14:paraId="49EACF4B"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(1) Households</w:t>
            </w:r>
          </w:p>
          <w:p w:rsidRPr="00D43D39" w:rsidR="00DA596D" w:rsidP="00AC449F" w:rsidRDefault="00DA596D" w14:paraId="501F4D88"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(2) Non-financial corporations - SMEs</w:t>
            </w:r>
          </w:p>
          <w:p w:rsidRPr="00D43D39" w:rsidR="00DA596D" w:rsidP="00AC449F" w:rsidRDefault="00DA596D" w14:paraId="5BEE39B7"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(3) Non-financial corporations – non-SMEs</w:t>
            </w:r>
          </w:p>
        </w:tc>
      </w:tr>
      <w:tr w:rsidRPr="00D43D39" w:rsidR="00DA596D" w:rsidTr="00DA596D" w14:paraId="0E3BAB81"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0883475C" w14:textId="57C6A1E1">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0180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2F5557A2"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Cash services</w:t>
            </w:r>
          </w:p>
          <w:p w:rsidRPr="00D43D39" w:rsidR="00DA596D" w:rsidP="00AC449F" w:rsidRDefault="00DA596D" w14:paraId="780FB911" w14:textId="1D88A850">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Provision of cash services to clients (both individuals and corporates, only non-MFIs). These services refer to withdrawals at </w:t>
            </w:r>
            <w:r w:rsidR="00386383">
              <w:rPr>
                <w:rFonts w:ascii="Times New Roman" w:hAnsi="Times New Roman" w:eastAsia="Cambria" w:cs="Times New Roman"/>
                <w:color w:val="000000" w:themeColor="text1"/>
                <w:spacing w:val="-2"/>
                <w:w w:val="95"/>
                <w:sz w:val="20"/>
                <w:szCs w:val="20"/>
                <w:lang w:val="en-GB"/>
              </w:rPr>
              <w:t xml:space="preserve">the bank’s </w:t>
            </w:r>
            <w:r w:rsidRPr="00D43D39">
              <w:rPr>
                <w:rFonts w:ascii="Times New Roman" w:hAnsi="Times New Roman" w:eastAsia="Cambria" w:cs="Times New Roman"/>
                <w:color w:val="000000" w:themeColor="text1"/>
                <w:spacing w:val="-2"/>
                <w:w w:val="95"/>
                <w:sz w:val="20"/>
                <w:szCs w:val="20"/>
                <w:lang w:val="en-GB"/>
              </w:rPr>
              <w:t xml:space="preserve">ATMs and at </w:t>
            </w:r>
            <w:r w:rsidR="00386383">
              <w:rPr>
                <w:rFonts w:ascii="Times New Roman" w:hAnsi="Times New Roman" w:eastAsia="Cambria" w:cs="Times New Roman"/>
                <w:color w:val="000000" w:themeColor="text1"/>
                <w:spacing w:val="-2"/>
                <w:w w:val="95"/>
                <w:sz w:val="20"/>
                <w:szCs w:val="20"/>
                <w:lang w:val="en-GB"/>
              </w:rPr>
              <w:t xml:space="preserve">its </w:t>
            </w:r>
            <w:r w:rsidRPr="00D43D39">
              <w:rPr>
                <w:rFonts w:ascii="Times New Roman" w:hAnsi="Times New Roman" w:eastAsia="Cambria" w:cs="Times New Roman"/>
                <w:color w:val="000000" w:themeColor="text1"/>
                <w:spacing w:val="-2"/>
                <w:w w:val="95"/>
                <w:sz w:val="20"/>
                <w:szCs w:val="20"/>
                <w:lang w:val="en-GB"/>
              </w:rPr>
              <w:t>branches counters and do not include other cash services (like cash-in-transit services for mass retailers). Cash withdrawal with cheques and at the counter of a branch using bank forms (where cards may be used as identification means) are included.</w:t>
            </w:r>
          </w:p>
        </w:tc>
      </w:tr>
      <w:tr w:rsidRPr="00D43D39" w:rsidR="00DA596D" w:rsidTr="00DA596D" w14:paraId="3261DE59"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222F1DC0" w14:textId="492206EF">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0190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049516D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Securities settlement services</w:t>
            </w:r>
          </w:p>
          <w:p w:rsidRPr="00D43D39" w:rsidR="00DA596D" w:rsidP="00AC449F" w:rsidRDefault="00DA596D" w14:paraId="6699B92D"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Services offered to clients for confirmation, clearing and settlement of securities transactions, with or without use of securities settlement systems. ‘Settlement’ means the completion of a securities transaction where it is concluded with the aim of discharging the obligations of the parties to that transaction through the transfer of cash and/or securities.</w:t>
            </w:r>
          </w:p>
        </w:tc>
      </w:tr>
      <w:tr w:rsidRPr="00D43D39" w:rsidR="00DA596D" w:rsidTr="00DA596D" w14:paraId="47A18A20"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6F9BBE7E" w14:textId="66637C2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0200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44E7D08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CCP clearing services</w:t>
            </w:r>
          </w:p>
          <w:p w:rsidRPr="00D43D39" w:rsidR="00DA596D" w:rsidP="00AC449F" w:rsidRDefault="00DA596D" w14:paraId="0C377C20"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Securities and derivatives clearing services provided to clients. This also includes the provision of indirect access to a Central Counterparty (CCP).</w:t>
            </w:r>
          </w:p>
        </w:tc>
      </w:tr>
      <w:tr w:rsidRPr="00D43D39" w:rsidR="00DA596D" w:rsidTr="00DA596D" w14:paraId="24436521"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1B3CD7CD" w14:textId="586E31B2">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0210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082F95B7"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Custody services</w:t>
            </w:r>
          </w:p>
          <w:p w:rsidRPr="00D43D39" w:rsidR="00DA596D" w:rsidP="00AC449F" w:rsidRDefault="00DA596D" w14:paraId="248F3079"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Safekeeping and administration of financial instruments for clients and services related to custodianship such as cash and collateral management.</w:t>
            </w:r>
          </w:p>
        </w:tc>
      </w:tr>
      <w:tr w:rsidRPr="00D43D39" w:rsidR="00DA596D" w:rsidTr="00DA596D" w14:paraId="7B51D489"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488B6E4B" w14:textId="496B1420">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0220 - 0240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2812FBC7"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Other services / activities / functions (1), (2) and (3)</w:t>
            </w:r>
          </w:p>
        </w:tc>
      </w:tr>
      <w:tr w:rsidRPr="00D43D39" w:rsidR="00DA596D" w:rsidTr="00DA596D" w14:paraId="44C9412A" w14:textId="77777777">
        <w:tc>
          <w:tcPr>
            <w:tcW w:w="9083" w:type="dxa"/>
            <w:gridSpan w:val="2"/>
            <w:tcBorders>
              <w:top w:val="single" w:color="1A171C" w:sz="4" w:space="0"/>
              <w:left w:val="nil"/>
              <w:bottom w:val="single" w:color="1A171C" w:sz="4" w:space="0"/>
            </w:tcBorders>
          </w:tcPr>
          <w:p w:rsidR="005F75E4" w:rsidP="00AC449F" w:rsidRDefault="005F75E4" w14:paraId="20C68798" w14:textId="1D125F8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rPr>
              <w:t xml:space="preserve">7.1 FUNC 1 </w:t>
            </w:r>
            <w:r>
              <w:rPr>
                <w:rFonts w:ascii="Times New Roman" w:hAnsi="Times New Roman" w:cs="Times New Roman"/>
              </w:rPr>
              <w:t>CM</w:t>
            </w:r>
            <w:r w:rsidRPr="00D43D39">
              <w:rPr>
                <w:rFonts w:ascii="Times New Roman" w:hAnsi="Times New Roman" w:eastAsia="Cambria" w:cs="Times New Roman"/>
                <w:color w:val="000000" w:themeColor="text1"/>
                <w:spacing w:val="-2"/>
                <w:w w:val="95"/>
                <w:sz w:val="20"/>
                <w:szCs w:val="20"/>
                <w:lang w:val="en-GB"/>
              </w:rPr>
              <w:t xml:space="preserve"> </w:t>
            </w:r>
          </w:p>
          <w:p w:rsidRPr="00D43D39" w:rsidR="00DA596D" w:rsidP="00AC449F" w:rsidRDefault="00DA596D" w14:paraId="580B4E57" w14:textId="3122D80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Capital markets activities shall refer to the issuance and trading of securities, related advisory services, and related services such as prime brokerage and market making. </w:t>
            </w:r>
          </w:p>
        </w:tc>
      </w:tr>
      <w:tr w:rsidRPr="00D43D39" w:rsidR="00DA596D" w:rsidTr="00DA596D" w14:paraId="457AB060"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77D5AEC3" w14:textId="7C5E33C9">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0250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5B9E6C1E"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Derivatives held for trading (OTC)</w:t>
            </w:r>
          </w:p>
          <w:p w:rsidRPr="00D43D39" w:rsidR="00DA596D" w:rsidP="00AC449F" w:rsidRDefault="00DA596D" w14:paraId="67A6AFB6"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Article 2(5) and (7) of REGULATION (EU) No 648/2012</w:t>
            </w:r>
            <w:r w:rsidRPr="00D43D39">
              <w:rPr>
                <w:rStyle w:val="FootnoteReference"/>
                <w:rFonts w:ascii="Times New Roman" w:hAnsi="Times New Roman" w:eastAsia="Cambria" w:cs="Times New Roman"/>
                <w:color w:val="000000" w:themeColor="text1"/>
                <w:spacing w:val="-2"/>
                <w:w w:val="95"/>
                <w:sz w:val="20"/>
                <w:szCs w:val="20"/>
                <w:lang w:val="en-GB"/>
              </w:rPr>
              <w:footnoteReference w:id="19"/>
            </w:r>
            <w:r w:rsidRPr="00D43D39">
              <w:rPr>
                <w:rFonts w:ascii="Times New Roman" w:hAnsi="Times New Roman" w:eastAsia="Cambria" w:cs="Times New Roman"/>
                <w:color w:val="000000" w:themeColor="text1"/>
                <w:spacing w:val="-2"/>
                <w:w w:val="95"/>
                <w:sz w:val="20"/>
                <w:szCs w:val="20"/>
                <w:lang w:val="en-GB"/>
              </w:rPr>
              <w:t>.</w:t>
            </w:r>
          </w:p>
          <w:p w:rsidRPr="00D43D39" w:rsidR="00DA596D" w:rsidP="00AC449F" w:rsidRDefault="00DA596D" w14:paraId="00AFB9C7"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 derivative or derivative contract means a financial instrument as set out in points (4) to (10) of Section C of Annex I to DIRECTIVE 2014/65/EU</w:t>
            </w:r>
            <w:r w:rsidRPr="00D43D39">
              <w:rPr>
                <w:rStyle w:val="FootnoteReference"/>
                <w:rFonts w:ascii="Times New Roman" w:hAnsi="Times New Roman" w:eastAsia="Cambria" w:cs="Times New Roman"/>
                <w:color w:val="000000" w:themeColor="text1"/>
                <w:spacing w:val="-2"/>
                <w:w w:val="95"/>
                <w:sz w:val="20"/>
                <w:szCs w:val="20"/>
                <w:lang w:val="en-GB"/>
              </w:rPr>
              <w:footnoteReference w:id="20"/>
            </w:r>
            <w:r w:rsidRPr="00D43D39">
              <w:rPr>
                <w:rFonts w:ascii="Times New Roman" w:hAnsi="Times New Roman" w:eastAsia="Cambria" w:cs="Times New Roman"/>
                <w:color w:val="000000" w:themeColor="text1"/>
                <w:spacing w:val="-2"/>
                <w:w w:val="95"/>
                <w:sz w:val="20"/>
                <w:szCs w:val="20"/>
                <w:lang w:val="en-GB"/>
              </w:rPr>
              <w:t xml:space="preserve"> as implemented by Article 38 and 39 of REGULATION (EC) No 1287/2006.</w:t>
            </w:r>
          </w:p>
          <w:p w:rsidRPr="00D43D39" w:rsidR="00DA596D" w:rsidP="00AC449F" w:rsidRDefault="00DA596D" w14:paraId="7076C6E8"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An OTC derivative or OTC derivative contract means a derivative contract the execution of which does not take place on a regulated market within the meaning of Article 4(1)(21) of DIRECTIVE 2014/65/EU or on a third-country market considered to be equivalent to a regulated market in accordance with Article 2a of REGULATION (EU) No 648/2012.</w:t>
            </w:r>
          </w:p>
          <w:p w:rsidRPr="00D43D39" w:rsidR="00DA596D" w:rsidP="00AC449F" w:rsidRDefault="00DA596D" w14:paraId="17B9944B"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amount to be reported shall only include derivatives traded in the OTC market. </w:t>
            </w:r>
          </w:p>
        </w:tc>
      </w:tr>
      <w:tr w:rsidRPr="00D43D39" w:rsidR="00DA596D" w:rsidTr="00DA596D" w14:paraId="03677D7C"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0ECD3662" w14:textId="2B36A9B2">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0260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71AC0977"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Derivatives held for trading (non-OTC)</w:t>
            </w:r>
          </w:p>
          <w:p w:rsidRPr="00D43D39" w:rsidR="00DA596D" w:rsidP="00AC449F" w:rsidRDefault="00DA596D" w14:paraId="6FF41F73"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All derivatives held for trading, excluding OTC derivatives held for trading. </w:t>
            </w:r>
          </w:p>
        </w:tc>
      </w:tr>
      <w:tr w:rsidRPr="00D43D39" w:rsidR="00DA596D" w:rsidTr="00DA596D" w14:paraId="2D8F0877"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3445B785" w14:textId="3B989BD3">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0270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719E2901"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Secondary markets / Trading:</w:t>
            </w:r>
          </w:p>
          <w:p w:rsidRPr="00D43D39" w:rsidR="00DA596D" w:rsidP="00AC449F" w:rsidRDefault="00DA596D" w14:paraId="5B97F456"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secondary market is where investors buy and sell securities. This function applies to the total trading portfolio (i.e. equity, corporate credit, sovereign credit).</w:t>
            </w:r>
          </w:p>
          <w:p w:rsidRPr="00D43D39" w:rsidR="00DA596D" w:rsidP="00AC449F" w:rsidRDefault="00DA596D" w14:paraId="6F857383"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to be reported shall include value of securities measured as the total amount of securities in the held-for-trading. Securities shall be reported at fair value at the reporting date.</w:t>
            </w:r>
          </w:p>
          <w:p w:rsidRPr="00D43D39" w:rsidR="00DA596D" w:rsidP="00AC449F" w:rsidRDefault="00DA596D" w14:paraId="6DAD547C"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amount shall not include loans, derivatives and non-tradable assets (e.g. receivables).</w:t>
            </w:r>
          </w:p>
        </w:tc>
      </w:tr>
      <w:tr w:rsidRPr="00D43D39" w:rsidR="00DA596D" w:rsidTr="00DA596D" w14:paraId="63E0897E"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63449AF7" w14:textId="2EBC99EC">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0280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59F9D87C"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Primary markets / underwriting</w:t>
            </w:r>
          </w:p>
          <w:p w:rsidRPr="00D43D39" w:rsidR="00DA596D" w:rsidP="00AC449F" w:rsidRDefault="00DA596D" w14:paraId="60F2F652"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Primary markets shall mean where new securities are issued on an exchange by companies, governments, and other groups in order to obtain financing through debt-based or equity-based securities (like common and preferred stock, corporate bonds, notes, bills, government bonds). Primary markets are facilitated by underwriting groups.</w:t>
            </w:r>
          </w:p>
        </w:tc>
      </w:tr>
      <w:tr w:rsidRPr="00D43D39" w:rsidR="00DA596D" w:rsidTr="00DA596D" w14:paraId="6CD57108"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3807A195" w14:textId="5B04129B">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0290 - 0310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17CE9FCE"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Other services / activities / functions (1), (2) and (3)</w:t>
            </w:r>
          </w:p>
        </w:tc>
      </w:tr>
      <w:tr w:rsidRPr="00D43D39" w:rsidR="00DA596D" w:rsidTr="00DA596D" w14:paraId="763A512F" w14:textId="77777777">
        <w:tc>
          <w:tcPr>
            <w:tcW w:w="9083" w:type="dxa"/>
            <w:gridSpan w:val="2"/>
            <w:tcBorders>
              <w:top w:val="single" w:color="1A171C" w:sz="4" w:space="0"/>
              <w:left w:val="nil"/>
              <w:bottom w:val="single" w:color="1A171C" w:sz="4" w:space="0"/>
            </w:tcBorders>
          </w:tcPr>
          <w:p w:rsidRPr="00D43D39" w:rsidR="00DA596D" w:rsidP="00AC449F" w:rsidRDefault="005F75E4" w14:paraId="535E3FE2" w14:textId="4DF238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rPr>
              <w:t xml:space="preserve">7.1 FUNC 1 </w:t>
            </w:r>
            <w:r>
              <w:rPr>
                <w:rFonts w:ascii="Times New Roman" w:hAnsi="Times New Roman" w:cs="Times New Roman"/>
              </w:rPr>
              <w:t>WF</w:t>
            </w:r>
          </w:p>
          <w:p w:rsidRPr="00D43D39" w:rsidR="00DA596D" w:rsidP="00AC449F" w:rsidRDefault="00DA596D" w14:paraId="61C5A43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Lending and borrowing activities in wholesale markets to and from financial counterparties (credit institutions and other financial corporations).</w:t>
            </w:r>
          </w:p>
        </w:tc>
      </w:tr>
      <w:tr w:rsidRPr="00D43D39" w:rsidR="00DA596D" w:rsidTr="00DA596D" w14:paraId="7FB23467"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36496B8A" w14:textId="45B728F5">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0320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39AF6387"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Borrowing</w:t>
            </w:r>
          </w:p>
          <w:p w:rsidRPr="00D43D39" w:rsidR="00DA596D" w:rsidP="00AC449F" w:rsidRDefault="00DA596D" w14:paraId="1889F615"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Borrowing in wholesale markets from financial counterparties (including by way of repurchase agreements, interbank borrowing, commercial paper, certificate of deposits, money market funds, lines </w:t>
            </w:r>
            <w:r w:rsidRPr="00D43D39">
              <w:rPr>
                <w:rFonts w:ascii="Times New Roman" w:hAnsi="Times New Roman" w:eastAsia="Cambria" w:cs="Times New Roman"/>
                <w:color w:val="000000" w:themeColor="text1"/>
                <w:spacing w:val="-2"/>
                <w:w w:val="95"/>
                <w:sz w:val="20"/>
                <w:szCs w:val="20"/>
                <w:lang w:val="en-GB"/>
              </w:rPr>
              <w:t>of credit, asset-backed commercial paper and fiduciary deposits).</w:t>
            </w:r>
          </w:p>
        </w:tc>
      </w:tr>
      <w:tr w:rsidRPr="00D43D39" w:rsidR="00DA596D" w:rsidTr="00DA596D" w14:paraId="7BD0931B"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72915D22" w14:textId="3681E54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0330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4DAEDC29"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Derivatives (assets)</w:t>
            </w:r>
          </w:p>
          <w:p w:rsidRPr="00D43D39" w:rsidR="00DA596D" w:rsidP="00AC449F" w:rsidRDefault="00DA596D" w14:paraId="4840DFA5"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All derivatives with financial counterparties held on the asset side of the balance sheet. In contrast to ‘Capital markets’, in ‘Wholesale Funding’, derivatives include all derivatives contracts with financial counterparties (not limited to HFT).</w:t>
            </w:r>
          </w:p>
        </w:tc>
      </w:tr>
      <w:tr w:rsidRPr="00D43D39" w:rsidR="00DA596D" w:rsidTr="00DA596D" w14:paraId="48C710CA"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0BA86EAB" w14:textId="41C66064">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0340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57AA535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Lending</w:t>
            </w:r>
          </w:p>
          <w:p w:rsidRPr="00D43D39" w:rsidR="00DA596D" w:rsidP="00AC449F" w:rsidRDefault="00DA596D" w14:paraId="3C4BF371"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Lending in wholesale markets to financial counterparties (including by way of reverse repurchase loans, commercial paper, certificate of deposits, money market funds, lines of credit, asset backed commercial paper, fiduciary deposits).</w:t>
            </w:r>
          </w:p>
        </w:tc>
      </w:tr>
      <w:tr w:rsidRPr="00D43D39" w:rsidR="00DA596D" w:rsidTr="00DA596D" w14:paraId="40471C44"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17DBEDF3" w14:textId="726815A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0350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6B445193"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Derivatives (liabilities)</w:t>
            </w:r>
          </w:p>
          <w:p w:rsidRPr="00D43D39" w:rsidR="00DA596D" w:rsidP="00AC449F" w:rsidRDefault="00DA596D" w14:paraId="36FA6D7D"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All derivatives with financial counterparties held on the liability side of the balance sheet. </w:t>
            </w:r>
          </w:p>
        </w:tc>
      </w:tr>
      <w:tr w:rsidRPr="00D43D39" w:rsidR="00DA596D" w:rsidTr="00DA596D" w14:paraId="6F42FF64" w14:textId="77777777">
        <w:tc>
          <w:tcPr>
            <w:tcW w:w="1191" w:type="dxa"/>
            <w:tcBorders>
              <w:top w:val="single" w:color="1A171C" w:sz="4" w:space="0"/>
              <w:left w:val="nil"/>
              <w:bottom w:val="single" w:color="1A171C" w:sz="4" w:space="0"/>
              <w:right w:val="single" w:color="1A171C" w:sz="4" w:space="0"/>
            </w:tcBorders>
          </w:tcPr>
          <w:p w:rsidRPr="00D43D39" w:rsidR="00DA596D" w:rsidP="00AC449F" w:rsidRDefault="00DA596D" w14:paraId="03143DF7" w14:textId="5A30A68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0360 - 0380</w:t>
            </w:r>
          </w:p>
        </w:tc>
        <w:tc>
          <w:tcPr>
            <w:tcW w:w="7892" w:type="dxa"/>
            <w:tcBorders>
              <w:top w:val="single" w:color="1A171C" w:sz="4" w:space="0"/>
              <w:left w:val="single" w:color="1A171C" w:sz="4" w:space="0"/>
              <w:bottom w:val="single" w:color="1A171C" w:sz="4" w:space="0"/>
              <w:right w:val="nil"/>
            </w:tcBorders>
          </w:tcPr>
          <w:p w:rsidRPr="00D43D39" w:rsidR="00DA596D" w:rsidP="00AC449F" w:rsidRDefault="00DA596D" w14:paraId="3A99D75E"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Other product types (1), (2) and (3)</w:t>
            </w:r>
          </w:p>
          <w:p w:rsidRPr="00D43D39" w:rsidR="00DA596D" w:rsidP="00AC449F" w:rsidRDefault="00DA596D" w14:paraId="3AE7F230"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Any function of the economic function ‘Wholesale funding’ which is not included in the above.</w:t>
            </w:r>
          </w:p>
        </w:tc>
      </w:tr>
    </w:tbl>
    <w:p w:rsidRPr="00D43D39" w:rsidR="00DA596D" w:rsidP="005F5507" w:rsidRDefault="00DA596D" w14:paraId="41C44956" w14:textId="77777777">
      <w:pPr>
        <w:pStyle w:val="InstructionsText2"/>
        <w:numPr>
          <w:ilvl w:val="0"/>
          <w:numId w:val="0"/>
        </w:numPr>
        <w:ind w:left="1440" w:firstLine="18"/>
        <w:rPr>
          <w:rFonts w:ascii="Times New Roman" w:hAnsi="Times New Roman" w:cs="Times New Roman"/>
          <w:sz w:val="20"/>
          <w:szCs w:val="20"/>
          <w:lang w:val="en-GB"/>
        </w:rPr>
      </w:pPr>
    </w:p>
    <w:p w:rsidRPr="00D43D39" w:rsidR="000D0185" w:rsidP="000D0185" w:rsidRDefault="000D0185" w14:paraId="14C082ED" w14:textId="3145184D">
      <w:pPr>
        <w:pStyle w:val="Instructionsberschrift2"/>
        <w:numPr>
          <w:ilvl w:val="1"/>
          <w:numId w:val="49"/>
        </w:numPr>
        <w:ind w:left="357" w:hanging="357"/>
        <w:rPr>
          <w:rFonts w:ascii="Times New Roman" w:hAnsi="Times New Roman" w:cs="Times New Roman"/>
        </w:rPr>
      </w:pPr>
      <w:bookmarkStart w:name="_Toc172732233" w:id="102"/>
      <w:r w:rsidRPr="00D43D39">
        <w:rPr>
          <w:rFonts w:ascii="Times New Roman" w:hAnsi="Times New Roman" w:cs="Times New Roman"/>
        </w:rPr>
        <w:t xml:space="preserve">7.1 FUNC 1 </w:t>
      </w:r>
      <w:r w:rsidRPr="00D43D39" w:rsidR="00BB181E">
        <w:rPr>
          <w:rFonts w:ascii="Times New Roman" w:hAnsi="Times New Roman" w:cs="Times New Roman"/>
        </w:rPr>
        <w:t>D</w:t>
      </w:r>
      <w:r w:rsidR="005F75E4">
        <w:rPr>
          <w:rFonts w:ascii="Times New Roman" w:hAnsi="Times New Roman" w:cs="Times New Roman"/>
        </w:rPr>
        <w:t>EP</w:t>
      </w:r>
      <w:bookmarkEnd w:id="102"/>
    </w:p>
    <w:p w:rsidRPr="00D43D39" w:rsidR="000D0185" w:rsidP="0056559D" w:rsidRDefault="000D0185" w14:paraId="692EFA6D" w14:textId="4F8C7D55">
      <w:pPr>
        <w:rP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080"/>
        <w:gridCol w:w="8003"/>
      </w:tblGrid>
      <w:tr w:rsidRPr="00D43D39" w:rsidR="000D0185" w:rsidTr="005F5507" w14:paraId="7B97839D" w14:textId="77777777">
        <w:trPr>
          <w:tblHeader/>
        </w:trPr>
        <w:tc>
          <w:tcPr>
            <w:tcW w:w="1080" w:type="dxa"/>
            <w:tcBorders>
              <w:top w:val="single" w:color="1A171C" w:sz="4" w:space="0"/>
              <w:left w:val="nil"/>
              <w:bottom w:val="single" w:color="1A171C" w:sz="4" w:space="0"/>
              <w:right w:val="single" w:color="1A171C" w:sz="4" w:space="0"/>
            </w:tcBorders>
            <w:shd w:val="clear" w:color="auto" w:fill="E4E5E5"/>
          </w:tcPr>
          <w:p w:rsidRPr="00D43D39" w:rsidR="000D0185" w:rsidP="001E587F" w:rsidRDefault="000D0185" w14:paraId="1930CE3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Columns</w:t>
            </w:r>
          </w:p>
        </w:tc>
        <w:tc>
          <w:tcPr>
            <w:tcW w:w="8003" w:type="dxa"/>
            <w:tcBorders>
              <w:top w:val="single" w:color="1A171C" w:sz="4" w:space="0"/>
              <w:left w:val="single" w:color="1A171C" w:sz="4" w:space="0"/>
              <w:bottom w:val="single" w:color="1A171C" w:sz="4" w:space="0"/>
              <w:right w:val="nil"/>
            </w:tcBorders>
            <w:shd w:val="clear" w:color="auto" w:fill="E4E5E5"/>
          </w:tcPr>
          <w:p w:rsidRPr="00D43D39" w:rsidR="000D0185" w:rsidP="001E587F" w:rsidRDefault="000D0185" w14:paraId="00634695"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0D0185" w:rsidTr="001E587F" w14:paraId="7AC2B602" w14:textId="77777777">
        <w:tc>
          <w:tcPr>
            <w:tcW w:w="1080" w:type="dxa"/>
            <w:tcBorders>
              <w:top w:val="single" w:color="1A171C" w:sz="4" w:space="0"/>
              <w:left w:val="nil"/>
              <w:bottom w:val="single" w:color="1A171C" w:sz="4" w:space="0"/>
              <w:right w:val="single" w:color="1A171C" w:sz="4" w:space="0"/>
            </w:tcBorders>
            <w:vAlign w:val="center"/>
          </w:tcPr>
          <w:p w:rsidRPr="00D43D39" w:rsidR="000D0185" w:rsidP="001E587F" w:rsidRDefault="000D0185" w14:paraId="7EA114C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0010</w:t>
            </w:r>
          </w:p>
        </w:tc>
        <w:tc>
          <w:tcPr>
            <w:tcW w:w="8003" w:type="dxa"/>
            <w:tcBorders>
              <w:top w:val="single" w:color="1A171C" w:sz="4" w:space="0"/>
              <w:left w:val="single" w:color="1A171C" w:sz="4" w:space="0"/>
              <w:bottom w:val="single" w:color="1A171C" w:sz="4" w:space="0"/>
              <w:right w:val="nil"/>
            </w:tcBorders>
            <w:vAlign w:val="center"/>
          </w:tcPr>
          <w:p w:rsidRPr="00D43D39" w:rsidR="000D0185" w:rsidP="001E587F" w:rsidRDefault="000D0185" w14:paraId="04A7BA98"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Description of economic function</w:t>
            </w:r>
          </w:p>
          <w:p w:rsidRPr="00D43D39" w:rsidR="000D0185" w:rsidP="001E587F" w:rsidRDefault="000D0185" w14:paraId="31ADFCA9" w14:textId="5C52E663">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Where the Economic function is of the type ‘Other’ (functions </w:t>
            </w:r>
            <w:r w:rsidRPr="00D43D39" w:rsidR="0023245E">
              <w:rPr>
                <w:rFonts w:ascii="Times New Roman" w:hAnsi="Times New Roman" w:eastAsia="Cambria" w:cs="Times New Roman"/>
                <w:color w:val="000000" w:themeColor="text1"/>
                <w:spacing w:val="-2"/>
                <w:w w:val="95"/>
                <w:sz w:val="20"/>
                <w:szCs w:val="20"/>
                <w:lang w:val="en-GB"/>
              </w:rPr>
              <w:t>in rows 0050 to 0070</w:t>
            </w:r>
            <w:r w:rsidRPr="00D43D39">
              <w:rPr>
                <w:rFonts w:ascii="Times New Roman" w:hAnsi="Times New Roman" w:eastAsia="Cambria" w:cs="Times New Roman"/>
                <w:color w:val="000000" w:themeColor="text1"/>
                <w:spacing w:val="-2"/>
                <w:w w:val="95"/>
                <w:sz w:val="20"/>
                <w:szCs w:val="20"/>
                <w:lang w:val="en-GB"/>
              </w:rPr>
              <w:t xml:space="preserve">), a description of that function shall be provided. </w:t>
            </w:r>
          </w:p>
        </w:tc>
      </w:tr>
      <w:tr w:rsidRPr="00D43D39" w:rsidR="000D0185" w:rsidTr="001E587F" w14:paraId="6896E9B4" w14:textId="77777777">
        <w:tc>
          <w:tcPr>
            <w:tcW w:w="1080" w:type="dxa"/>
            <w:tcBorders>
              <w:top w:val="single" w:color="1A171C" w:sz="4" w:space="0"/>
              <w:left w:val="nil"/>
              <w:bottom w:val="single" w:color="1A171C" w:sz="4" w:space="0"/>
              <w:right w:val="single" w:color="1A171C" w:sz="4" w:space="0"/>
            </w:tcBorders>
            <w:vAlign w:val="center"/>
          </w:tcPr>
          <w:p w:rsidRPr="00D43D39" w:rsidR="000D0185" w:rsidP="001E587F" w:rsidRDefault="000D0185" w14:paraId="1ACD6A08"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0020</w:t>
            </w:r>
          </w:p>
        </w:tc>
        <w:tc>
          <w:tcPr>
            <w:tcW w:w="8003" w:type="dxa"/>
            <w:tcBorders>
              <w:top w:val="single" w:color="1A171C" w:sz="4" w:space="0"/>
              <w:left w:val="single" w:color="1A171C" w:sz="4" w:space="0"/>
              <w:bottom w:val="single" w:color="1A171C" w:sz="4" w:space="0"/>
              <w:right w:val="nil"/>
            </w:tcBorders>
            <w:vAlign w:val="center"/>
          </w:tcPr>
          <w:p w:rsidRPr="00D43D39" w:rsidR="000D0185" w:rsidP="001E587F" w:rsidRDefault="000D0185" w14:paraId="55697FC2"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Market share </w:t>
            </w:r>
          </w:p>
          <w:p w:rsidRPr="00D43D39" w:rsidR="000D0185" w:rsidP="001E587F" w:rsidRDefault="000D0185" w14:paraId="4B5720EC" w14:textId="7D261D2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p>
        </w:tc>
      </w:tr>
      <w:tr w:rsidRPr="00D43D39" w:rsidR="000D0185" w:rsidTr="001E587F" w14:paraId="2F6656E9" w14:textId="77777777">
        <w:tc>
          <w:tcPr>
            <w:tcW w:w="1080" w:type="dxa"/>
            <w:tcBorders>
              <w:top w:val="single" w:color="1A171C" w:sz="4" w:space="0"/>
              <w:left w:val="nil"/>
              <w:bottom w:val="single" w:color="1A171C" w:sz="4" w:space="0"/>
              <w:right w:val="single" w:color="1A171C" w:sz="4" w:space="0"/>
            </w:tcBorders>
            <w:vAlign w:val="center"/>
          </w:tcPr>
          <w:p w:rsidRPr="00D43D39" w:rsidR="000D0185" w:rsidP="001E587F" w:rsidRDefault="000D0185" w14:paraId="41923A8C" w14:textId="04702E5B">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0030</w:t>
            </w:r>
          </w:p>
        </w:tc>
        <w:tc>
          <w:tcPr>
            <w:tcW w:w="8003" w:type="dxa"/>
            <w:tcBorders>
              <w:top w:val="single" w:color="1A171C" w:sz="4" w:space="0"/>
              <w:left w:val="single" w:color="1A171C" w:sz="4" w:space="0"/>
              <w:bottom w:val="single" w:color="1A171C" w:sz="4" w:space="0"/>
              <w:right w:val="nil"/>
            </w:tcBorders>
            <w:vAlign w:val="center"/>
          </w:tcPr>
          <w:p w:rsidRPr="00D43D39" w:rsidR="000D0185" w:rsidP="005F5507" w:rsidRDefault="000D0185" w14:paraId="5EDA8268"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Value on accounts</w:t>
            </w:r>
          </w:p>
          <w:p w:rsidRPr="00D43D39" w:rsidR="000D0185" w:rsidP="000D0185" w:rsidRDefault="000D0185" w14:paraId="023FF0A3"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Carrying amount (including accrued interest) of deposits accepted</w:t>
            </w:r>
          </w:p>
          <w:p w:rsidRPr="00D43D39" w:rsidR="000D0185" w:rsidP="000D0185" w:rsidRDefault="000D0185" w14:paraId="21DCD1B8" w14:textId="766518E6">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References: FINREP, Annexes III and IV, template F 08.01 and Annex V, Part 2, paragraph 97.</w:t>
            </w:r>
          </w:p>
        </w:tc>
      </w:tr>
      <w:tr w:rsidRPr="00D43D39" w:rsidR="000D0185" w:rsidTr="001E587F" w14:paraId="58928422" w14:textId="77777777">
        <w:tc>
          <w:tcPr>
            <w:tcW w:w="1080" w:type="dxa"/>
            <w:tcBorders>
              <w:top w:val="single" w:color="1A171C" w:sz="4" w:space="0"/>
              <w:left w:val="nil"/>
              <w:bottom w:val="single" w:color="1A171C" w:sz="4" w:space="0"/>
              <w:right w:val="single" w:color="1A171C" w:sz="4" w:space="0"/>
            </w:tcBorders>
            <w:vAlign w:val="center"/>
          </w:tcPr>
          <w:p w:rsidRPr="00D43D39" w:rsidR="000D0185" w:rsidP="001E587F" w:rsidRDefault="00644F7A" w14:paraId="216E0446" w14:textId="7F4DCF3C">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0040</w:t>
            </w:r>
          </w:p>
        </w:tc>
        <w:tc>
          <w:tcPr>
            <w:tcW w:w="8003" w:type="dxa"/>
            <w:tcBorders>
              <w:top w:val="single" w:color="1A171C" w:sz="4" w:space="0"/>
              <w:left w:val="single" w:color="1A171C" w:sz="4" w:space="0"/>
              <w:bottom w:val="single" w:color="1A171C" w:sz="4" w:space="0"/>
              <w:right w:val="nil"/>
            </w:tcBorders>
            <w:vAlign w:val="center"/>
          </w:tcPr>
          <w:p w:rsidRPr="00D43D39" w:rsidR="000D0185" w:rsidP="005F5507" w:rsidRDefault="00943F66" w14:paraId="47247B9B" w14:textId="3C3A0BD5">
            <w:pPr>
              <w:pStyle w:val="TableParagraph"/>
              <w:spacing w:before="108"/>
              <w:jc w:val="both"/>
              <w:rPr>
                <w:rFonts w:ascii="Times New Roman" w:hAnsi="Times New Roman" w:cs="Times New Roman"/>
                <w:b/>
                <w:bCs/>
                <w:color w:val="000000" w:themeColor="text1"/>
                <w:sz w:val="20"/>
                <w:szCs w:val="20"/>
                <w:lang w:val="en-GB"/>
              </w:rPr>
            </w:pPr>
            <w:bookmarkStart w:name="_Hlk162030772" w:id="103"/>
            <w:r w:rsidRPr="00D43D39">
              <w:rPr>
                <w:rFonts w:ascii="Times New Roman" w:hAnsi="Times New Roman" w:cs="Times New Roman"/>
                <w:b/>
                <w:bCs/>
                <w:color w:val="000000" w:themeColor="text1"/>
                <w:sz w:val="20"/>
                <w:szCs w:val="20"/>
                <w:lang w:val="en-GB"/>
              </w:rPr>
              <w:t>O</w:t>
            </w:r>
            <w:r w:rsidRPr="00D43D39" w:rsidR="00644F7A">
              <w:rPr>
                <w:rFonts w:ascii="Times New Roman" w:hAnsi="Times New Roman" w:cs="Times New Roman"/>
                <w:b/>
                <w:bCs/>
                <w:color w:val="000000" w:themeColor="text1"/>
                <w:sz w:val="20"/>
                <w:szCs w:val="20"/>
                <w:lang w:val="en-GB"/>
              </w:rPr>
              <w:t>f which uninsured</w:t>
            </w:r>
          </w:p>
          <w:p w:rsidRPr="00D43D39" w:rsidR="00644F7A" w:rsidP="00644F7A" w:rsidRDefault="00644F7A" w14:paraId="14A6A848" w14:textId="4B0A6728">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Carrying amount (including accrued interest) of deposits accepted with </w:t>
            </w:r>
            <w:r w:rsidRPr="00D43D39">
              <w:rPr>
                <w:rFonts w:ascii="Times New Roman" w:hAnsi="Times New Roman" w:cs="Times New Roman"/>
                <w:color w:val="000000" w:themeColor="text1"/>
                <w:sz w:val="20"/>
                <w:szCs w:val="20"/>
                <w:lang w:val="en-GB"/>
              </w:rPr>
              <w:t>the balance of their account higher than 100,000.00 EUR</w:t>
            </w:r>
            <w:bookmarkEnd w:id="103"/>
          </w:p>
        </w:tc>
      </w:tr>
      <w:tr w:rsidRPr="00D43D39" w:rsidR="000D0185" w:rsidTr="001E587F" w14:paraId="2B1DA4F8" w14:textId="77777777">
        <w:tc>
          <w:tcPr>
            <w:tcW w:w="1080" w:type="dxa"/>
            <w:tcBorders>
              <w:top w:val="single" w:color="1A171C" w:sz="4" w:space="0"/>
              <w:left w:val="nil"/>
              <w:bottom w:val="single" w:color="1A171C" w:sz="4" w:space="0"/>
              <w:right w:val="single" w:color="1A171C" w:sz="4" w:space="0"/>
            </w:tcBorders>
            <w:vAlign w:val="center"/>
          </w:tcPr>
          <w:p w:rsidRPr="00D43D39" w:rsidR="000D0185" w:rsidP="001E587F" w:rsidRDefault="00FA0028" w14:paraId="6CA60E84" w14:textId="0197E37E">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0050</w:t>
            </w:r>
          </w:p>
        </w:tc>
        <w:tc>
          <w:tcPr>
            <w:tcW w:w="8003" w:type="dxa"/>
            <w:tcBorders>
              <w:top w:val="single" w:color="1A171C" w:sz="4" w:space="0"/>
              <w:left w:val="single" w:color="1A171C" w:sz="4" w:space="0"/>
              <w:bottom w:val="single" w:color="1A171C" w:sz="4" w:space="0"/>
              <w:right w:val="nil"/>
            </w:tcBorders>
            <w:vAlign w:val="center"/>
          </w:tcPr>
          <w:p w:rsidRPr="00D43D39" w:rsidR="000D0185" w:rsidP="001E587F" w:rsidRDefault="00943F66" w14:paraId="145ECAA1" w14:textId="2F4F5515">
            <w:pPr>
              <w:pStyle w:val="TableParagraph"/>
              <w:spacing w:before="108"/>
              <w:ind w:left="85"/>
              <w:jc w:val="both"/>
              <w:rPr>
                <w:rFonts w:ascii="Times New Roman" w:hAnsi="Times New Roman" w:cs="Times New Roman"/>
                <w:b/>
                <w:bCs/>
                <w:color w:val="000000" w:themeColor="text1"/>
                <w:sz w:val="20"/>
                <w:szCs w:val="20"/>
                <w:lang w:val="en-GB"/>
              </w:rPr>
            </w:pPr>
            <w:bookmarkStart w:name="_Hlk162030782" w:id="104"/>
            <w:r w:rsidRPr="00D43D39">
              <w:rPr>
                <w:rFonts w:ascii="Times New Roman" w:hAnsi="Times New Roman" w:cs="Times New Roman"/>
                <w:b/>
                <w:bCs/>
                <w:color w:val="000000" w:themeColor="text1"/>
                <w:sz w:val="20"/>
                <w:szCs w:val="20"/>
                <w:lang w:val="en-GB"/>
              </w:rPr>
              <w:t>Of</w:t>
            </w:r>
            <w:r w:rsidRPr="00D43D39" w:rsidR="00FA0028">
              <w:rPr>
                <w:rFonts w:ascii="Times New Roman" w:hAnsi="Times New Roman" w:cs="Times New Roman"/>
                <w:b/>
                <w:bCs/>
                <w:color w:val="000000" w:themeColor="text1"/>
                <w:sz w:val="20"/>
                <w:szCs w:val="20"/>
                <w:lang w:val="en-GB"/>
              </w:rPr>
              <w:t xml:space="preserve"> which </w:t>
            </w:r>
            <w:r w:rsidRPr="00D43D39" w:rsidR="002626CE">
              <w:rPr>
                <w:rFonts w:ascii="Times New Roman" w:hAnsi="Times New Roman" w:cs="Times New Roman"/>
                <w:b/>
                <w:bCs/>
                <w:color w:val="000000" w:themeColor="text1"/>
                <w:sz w:val="20"/>
                <w:szCs w:val="20"/>
                <w:lang w:val="en-GB"/>
              </w:rPr>
              <w:t>recurrent</w:t>
            </w:r>
          </w:p>
          <w:p w:rsidR="00F4600E" w:rsidP="001E587F" w:rsidRDefault="00446EF4" w14:paraId="5BA180DC" w14:textId="3DA3BFAD">
            <w:pPr>
              <w:pStyle w:val="TableParagraph"/>
              <w:spacing w:before="108"/>
              <w:ind w:left="85"/>
              <w:jc w:val="both"/>
              <w:rPr>
                <w:rFonts w:ascii="Times New Roman" w:hAnsi="Times New Roman" w:cs="Times New Roman"/>
                <w:color w:val="000000" w:themeColor="text1"/>
                <w:sz w:val="20"/>
                <w:szCs w:val="20"/>
                <w:lang w:val="en-GB"/>
              </w:rPr>
            </w:pPr>
            <w:bookmarkStart w:name="_Hlk170377814" w:id="105"/>
            <w:bookmarkStart w:name="_Hlk162030851" w:id="106"/>
            <w:r w:rsidRPr="00446EF4">
              <w:rPr>
                <w:rFonts w:ascii="Times New Roman" w:hAnsi="Times New Roman" w:cs="Times New Roman"/>
                <w:color w:val="000000" w:themeColor="text1"/>
                <w:sz w:val="20"/>
                <w:szCs w:val="20"/>
                <w:lang w:val="en-GB"/>
              </w:rPr>
              <w:t xml:space="preserve">Value of transactions as reported in (c0030) of which are made by recurrent deposit account.  Recurring deposit accounts are deposit accounts where the account has been debited or credited at least with 5 monthly transactions on average over the 6 months preceding the cut-off date, except for annual fees, other charges and interest payment related to the account. </w:t>
            </w:r>
            <w:bookmarkEnd w:id="105"/>
          </w:p>
          <w:bookmarkEnd w:id="104"/>
          <w:bookmarkEnd w:id="106"/>
          <w:p w:rsidRPr="00D43D39" w:rsidR="00FA0028" w:rsidP="001E587F" w:rsidRDefault="00FA0028" w14:paraId="3987D5B0" w14:textId="2375B943">
            <w:pPr>
              <w:pStyle w:val="TableParagraph"/>
              <w:spacing w:before="108"/>
              <w:ind w:left="85"/>
              <w:jc w:val="both"/>
              <w:rPr>
                <w:rFonts w:ascii="Times New Roman" w:hAnsi="Times New Roman" w:cs="Times New Roman"/>
                <w:color w:val="000000" w:themeColor="text1"/>
                <w:sz w:val="20"/>
                <w:szCs w:val="20"/>
                <w:lang w:val="en-GB"/>
              </w:rPr>
            </w:pPr>
          </w:p>
        </w:tc>
      </w:tr>
      <w:tr w:rsidRPr="00D43D39" w:rsidR="000D0185" w:rsidTr="001E587F" w14:paraId="7F71ED77" w14:textId="77777777">
        <w:tc>
          <w:tcPr>
            <w:tcW w:w="1080" w:type="dxa"/>
            <w:tcBorders>
              <w:top w:val="single" w:color="1A171C" w:sz="4" w:space="0"/>
              <w:left w:val="nil"/>
              <w:bottom w:val="single" w:color="1A171C" w:sz="4" w:space="0"/>
              <w:right w:val="single" w:color="1A171C" w:sz="4" w:space="0"/>
            </w:tcBorders>
            <w:vAlign w:val="center"/>
          </w:tcPr>
          <w:p w:rsidRPr="00D43D39" w:rsidR="000D0185" w:rsidP="001E587F" w:rsidRDefault="002626CE" w14:paraId="70338FBF" w14:textId="75224EB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0060 </w:t>
            </w:r>
          </w:p>
        </w:tc>
        <w:tc>
          <w:tcPr>
            <w:tcW w:w="8003" w:type="dxa"/>
            <w:tcBorders>
              <w:top w:val="single" w:color="1A171C" w:sz="4" w:space="0"/>
              <w:left w:val="single" w:color="1A171C" w:sz="4" w:space="0"/>
              <w:bottom w:val="single" w:color="1A171C" w:sz="4" w:space="0"/>
              <w:right w:val="nil"/>
            </w:tcBorders>
            <w:vAlign w:val="center"/>
          </w:tcPr>
          <w:p w:rsidRPr="00D43D39" w:rsidR="000D0185" w:rsidP="001E587F" w:rsidRDefault="002626CE" w14:paraId="0F0A9C4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Number of Clients</w:t>
            </w:r>
          </w:p>
          <w:p w:rsidRPr="005F5507" w:rsidR="002626CE" w:rsidP="00756ABD" w:rsidRDefault="00756ABD" w14:paraId="051E88C7" w14:textId="6885B994">
            <w:pPr>
              <w:pStyle w:val="TableParagraph"/>
              <w:spacing w:before="108"/>
              <w:ind w:left="85"/>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Total number of clients which deposited the values reported in c0030 ‘value on accounts’. If one </w:t>
            </w:r>
            <w:r w:rsidRPr="00D43D39">
              <w:rPr>
                <w:rFonts w:ascii="Times New Roman" w:hAnsi="Times New Roman" w:cs="Times New Roman"/>
                <w:color w:val="000000" w:themeColor="text1"/>
                <w:sz w:val="20"/>
                <w:szCs w:val="20"/>
                <w:lang w:val="en-GB"/>
              </w:rPr>
              <w:t>client uses more than one deposit product/ account, the client is counted only once.</w:t>
            </w:r>
          </w:p>
        </w:tc>
      </w:tr>
      <w:tr w:rsidRPr="00D43D39" w:rsidR="000D0185" w:rsidTr="001E587F" w14:paraId="777B3165" w14:textId="77777777">
        <w:tc>
          <w:tcPr>
            <w:tcW w:w="1080" w:type="dxa"/>
            <w:tcBorders>
              <w:top w:val="single" w:color="1A171C" w:sz="4" w:space="0"/>
              <w:left w:val="nil"/>
              <w:bottom w:val="single" w:color="1A171C" w:sz="4" w:space="0"/>
              <w:right w:val="single" w:color="1A171C" w:sz="4" w:space="0"/>
            </w:tcBorders>
            <w:vAlign w:val="center"/>
          </w:tcPr>
          <w:p w:rsidRPr="00D43D39" w:rsidR="000D0185" w:rsidP="001E587F" w:rsidRDefault="005A3B41" w14:paraId="7B0D27BA" w14:textId="7B0286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0080</w:t>
            </w:r>
          </w:p>
        </w:tc>
        <w:tc>
          <w:tcPr>
            <w:tcW w:w="8003" w:type="dxa"/>
            <w:tcBorders>
              <w:top w:val="single" w:color="1A171C" w:sz="4" w:space="0"/>
              <w:left w:val="single" w:color="1A171C" w:sz="4" w:space="0"/>
              <w:bottom w:val="single" w:color="1A171C" w:sz="4" w:space="0"/>
              <w:right w:val="nil"/>
            </w:tcBorders>
            <w:vAlign w:val="center"/>
          </w:tcPr>
          <w:p w:rsidRPr="00D43D39" w:rsidR="000D0185" w:rsidP="001E587F" w:rsidRDefault="005A3B41" w14:paraId="041BE324"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Number of Accounts</w:t>
            </w:r>
          </w:p>
          <w:p w:rsidRPr="005F5507" w:rsidR="005A3B41" w:rsidP="005A3B41" w:rsidRDefault="005A3B41" w14:paraId="6B1DAC89" w14:textId="77777777">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Total number of current accounts / overnight deposits, deposits with agreed maturity and</w:t>
            </w:r>
          </w:p>
          <w:p w:rsidRPr="005F5507" w:rsidR="005A3B41" w:rsidP="005A3B41" w:rsidRDefault="005A3B41" w14:paraId="6C70ECE4" w14:textId="13117571">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deposits redeemable at notice. Joint accounts </w:t>
            </w:r>
            <w:r w:rsidR="00AF1118">
              <w:rPr>
                <w:rFonts w:ascii="Times New Roman" w:hAnsi="Times New Roman" w:cs="Times New Roman"/>
                <w:color w:val="000000" w:themeColor="text1"/>
                <w:sz w:val="20"/>
                <w:szCs w:val="20"/>
                <w:lang w:val="en-GB"/>
              </w:rPr>
              <w:t>are to</w:t>
            </w:r>
            <w:r w:rsidRPr="005F5507">
              <w:rPr>
                <w:rFonts w:ascii="Times New Roman" w:hAnsi="Times New Roman" w:cs="Times New Roman"/>
                <w:color w:val="000000" w:themeColor="text1"/>
                <w:sz w:val="20"/>
                <w:szCs w:val="20"/>
                <w:lang w:val="en-GB"/>
              </w:rPr>
              <w:t xml:space="preserve"> be counted only once. The</w:t>
            </w:r>
          </w:p>
          <w:p w:rsidRPr="005F5507" w:rsidR="005A3B41" w:rsidP="005A3B41" w:rsidRDefault="005A3B41" w14:paraId="433CE109" w14:textId="1FD33836">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total number of accounts in this column correspond</w:t>
            </w:r>
            <w:r w:rsidR="00AF1118">
              <w:rPr>
                <w:rFonts w:ascii="Times New Roman" w:hAnsi="Times New Roman" w:cs="Times New Roman"/>
                <w:color w:val="000000" w:themeColor="text1"/>
                <w:sz w:val="20"/>
                <w:szCs w:val="20"/>
                <w:lang w:val="en-GB"/>
              </w:rPr>
              <w:t>s</w:t>
            </w:r>
            <w:r w:rsidRPr="005F5507">
              <w:rPr>
                <w:rFonts w:ascii="Times New Roman" w:hAnsi="Times New Roman" w:cs="Times New Roman"/>
                <w:color w:val="000000" w:themeColor="text1"/>
                <w:sz w:val="20"/>
                <w:szCs w:val="20"/>
                <w:lang w:val="en-GB"/>
              </w:rPr>
              <w:t xml:space="preserve"> to the value reported in c0030</w:t>
            </w:r>
          </w:p>
          <w:p w:rsidRPr="00D43D39" w:rsidR="005A3B41" w:rsidP="005A3B41" w:rsidRDefault="005A3B41" w14:paraId="42BA1317" w14:textId="1191FA01">
            <w:pPr>
              <w:pStyle w:val="TableParagraph"/>
              <w:spacing w:before="108"/>
              <w:ind w:left="85"/>
              <w:jc w:val="both"/>
              <w:rPr>
                <w:rFonts w:ascii="Times New Roman" w:hAnsi="Times New Roman" w:cs="Times New Roman"/>
                <w:b/>
                <w:bCs/>
                <w:color w:val="000000" w:themeColor="text1"/>
                <w:sz w:val="20"/>
                <w:szCs w:val="20"/>
                <w:lang w:val="en-GB"/>
              </w:rPr>
            </w:pPr>
            <w:r w:rsidRPr="005F5507">
              <w:rPr>
                <w:rFonts w:ascii="Times New Roman" w:hAnsi="Times New Roman" w:cs="Times New Roman"/>
                <w:color w:val="000000" w:themeColor="text1"/>
                <w:sz w:val="20"/>
                <w:szCs w:val="20"/>
                <w:lang w:val="en-GB"/>
              </w:rPr>
              <w:t>‘value on accounts’.</w:t>
            </w:r>
          </w:p>
        </w:tc>
      </w:tr>
      <w:tr w:rsidRPr="00D43D39" w:rsidR="000D0185" w:rsidTr="001E587F" w14:paraId="26A88674" w14:textId="77777777">
        <w:tc>
          <w:tcPr>
            <w:tcW w:w="1080" w:type="dxa"/>
            <w:tcBorders>
              <w:top w:val="single" w:color="1A171C" w:sz="4" w:space="0"/>
              <w:left w:val="nil"/>
              <w:bottom w:val="single" w:color="1A171C" w:sz="4" w:space="0"/>
              <w:right w:val="single" w:color="1A171C" w:sz="4" w:space="0"/>
            </w:tcBorders>
            <w:vAlign w:val="center"/>
          </w:tcPr>
          <w:p w:rsidRPr="00D43D39" w:rsidR="000D0185" w:rsidP="001E587F" w:rsidRDefault="00804B16" w14:paraId="4C22D9F0" w14:textId="7A9415A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0090</w:t>
            </w:r>
          </w:p>
        </w:tc>
        <w:tc>
          <w:tcPr>
            <w:tcW w:w="8003" w:type="dxa"/>
            <w:tcBorders>
              <w:top w:val="single" w:color="1A171C" w:sz="4" w:space="0"/>
              <w:left w:val="single" w:color="1A171C" w:sz="4" w:space="0"/>
              <w:bottom w:val="single" w:color="1A171C" w:sz="4" w:space="0"/>
              <w:right w:val="nil"/>
            </w:tcBorders>
            <w:vAlign w:val="center"/>
          </w:tcPr>
          <w:p w:rsidRPr="00D43D39" w:rsidR="000D0185" w:rsidP="001E587F" w:rsidRDefault="00943F66" w14:paraId="18910DA5" w14:textId="0520200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Of</w:t>
            </w:r>
            <w:r w:rsidRPr="00D43D39" w:rsidR="00804B16">
              <w:rPr>
                <w:rFonts w:ascii="Times New Roman" w:hAnsi="Times New Roman" w:cs="Times New Roman"/>
                <w:b/>
                <w:bCs/>
                <w:color w:val="000000" w:themeColor="text1"/>
                <w:sz w:val="20"/>
                <w:szCs w:val="20"/>
                <w:lang w:val="en-GB"/>
              </w:rPr>
              <w:t xml:space="preserve"> which recur</w:t>
            </w:r>
            <w:r w:rsidRPr="00D43D39" w:rsidR="00CD0B5B">
              <w:rPr>
                <w:rFonts w:ascii="Times New Roman" w:hAnsi="Times New Roman" w:cs="Times New Roman"/>
                <w:b/>
                <w:bCs/>
                <w:color w:val="000000" w:themeColor="text1"/>
                <w:sz w:val="20"/>
                <w:szCs w:val="20"/>
                <w:lang w:val="en-GB"/>
              </w:rPr>
              <w:t>r</w:t>
            </w:r>
            <w:r w:rsidRPr="00D43D39" w:rsidR="00804B16">
              <w:rPr>
                <w:rFonts w:ascii="Times New Roman" w:hAnsi="Times New Roman" w:cs="Times New Roman"/>
                <w:b/>
                <w:bCs/>
                <w:color w:val="000000" w:themeColor="text1"/>
                <w:sz w:val="20"/>
                <w:szCs w:val="20"/>
                <w:lang w:val="en-GB"/>
              </w:rPr>
              <w:t>ent</w:t>
            </w:r>
          </w:p>
          <w:p w:rsidRPr="005F5507" w:rsidR="00804B16" w:rsidP="001E587F" w:rsidRDefault="00CD0B5B" w14:paraId="700FBBE7" w14:textId="3C7946B2">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Total number of</w:t>
            </w:r>
            <w:r w:rsidRPr="00D43D39">
              <w:rPr>
                <w:rFonts w:ascii="Times New Roman" w:hAnsi="Times New Roman" w:cs="Times New Roman"/>
                <w:color w:val="000000" w:themeColor="text1"/>
                <w:sz w:val="20"/>
                <w:szCs w:val="20"/>
                <w:lang w:val="en-GB"/>
              </w:rPr>
              <w:t xml:space="preserve"> </w:t>
            </w:r>
            <w:r w:rsidRPr="00D43D39" w:rsidR="00943F66">
              <w:rPr>
                <w:rFonts w:ascii="Times New Roman" w:hAnsi="Times New Roman" w:cs="Times New Roman"/>
                <w:color w:val="000000" w:themeColor="text1"/>
                <w:sz w:val="20"/>
                <w:szCs w:val="20"/>
                <w:lang w:val="en-GB"/>
              </w:rPr>
              <w:t>recurrent</w:t>
            </w:r>
            <w:r w:rsidRPr="00D43D39">
              <w:rPr>
                <w:rFonts w:ascii="Times New Roman" w:hAnsi="Times New Roman" w:cs="Times New Roman"/>
                <w:color w:val="000000" w:themeColor="text1"/>
                <w:sz w:val="20"/>
                <w:szCs w:val="20"/>
                <w:lang w:val="en-GB"/>
              </w:rPr>
              <w:t xml:space="preserve"> accounts as defined in c0050</w:t>
            </w:r>
          </w:p>
        </w:tc>
      </w:tr>
      <w:tr w:rsidRPr="00D43D39" w:rsidR="000D0185" w:rsidTr="001E587F" w14:paraId="414A26F1" w14:textId="77777777">
        <w:tc>
          <w:tcPr>
            <w:tcW w:w="1080" w:type="dxa"/>
            <w:tcBorders>
              <w:top w:val="single" w:color="1A171C" w:sz="4" w:space="0"/>
              <w:left w:val="nil"/>
              <w:bottom w:val="single" w:color="1A171C" w:sz="4" w:space="0"/>
              <w:right w:val="single" w:color="1A171C" w:sz="4" w:space="0"/>
            </w:tcBorders>
            <w:vAlign w:val="center"/>
          </w:tcPr>
          <w:p w:rsidRPr="00D43D39" w:rsidR="000D0185" w:rsidP="005F5507" w:rsidRDefault="00804B16" w14:paraId="2A3ADB98" w14:textId="1D42667D">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0100</w:t>
            </w:r>
          </w:p>
        </w:tc>
        <w:tc>
          <w:tcPr>
            <w:tcW w:w="8003" w:type="dxa"/>
            <w:tcBorders>
              <w:top w:val="single" w:color="1A171C" w:sz="4" w:space="0"/>
              <w:left w:val="single" w:color="1A171C" w:sz="4" w:space="0"/>
              <w:bottom w:val="single" w:color="1A171C" w:sz="4" w:space="0"/>
              <w:right w:val="nil"/>
            </w:tcBorders>
            <w:vAlign w:val="center"/>
          </w:tcPr>
          <w:p w:rsidRPr="00D43D39" w:rsidR="000D0185" w:rsidP="001E587F" w:rsidRDefault="00804B16" w14:paraId="45ECF0D8"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Cross border value</w:t>
            </w:r>
          </w:p>
          <w:p w:rsidRPr="005F5507" w:rsidR="00804B16" w:rsidP="00804B16" w:rsidRDefault="00804B16" w14:paraId="31D8E2ED" w14:textId="77777777">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Value on accounts of non-residents (non-domestic persons). Domestic persons include: (i)</w:t>
            </w:r>
          </w:p>
          <w:p w:rsidRPr="005F5507" w:rsidR="00804B16" w:rsidP="00804B16" w:rsidRDefault="00804B16" w14:paraId="68865B03" w14:textId="77777777">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persons that have their main economic interest (economic activities for at least one year;</w:t>
            </w:r>
          </w:p>
          <w:p w:rsidRPr="005F5507" w:rsidR="00804B16" w:rsidP="00804B16" w:rsidRDefault="00804B16" w14:paraId="055E75C8" w14:textId="77777777">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ownership of physical assets is considered sufficient evidence) within the country of the</w:t>
            </w:r>
          </w:p>
          <w:p w:rsidRPr="00D43D39" w:rsidR="00804B16" w:rsidP="00804B16" w:rsidRDefault="00804B16" w14:paraId="5A9F4251" w14:textId="77777777">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reporting entity, and (ii) foreign branches of the clients of the reporting entity</w:t>
            </w:r>
            <w:r w:rsidRPr="00D43D39">
              <w:rPr>
                <w:rFonts w:ascii="Times New Roman" w:hAnsi="Times New Roman" w:cs="Times New Roman"/>
                <w:color w:val="000000" w:themeColor="text1"/>
                <w:sz w:val="20"/>
                <w:szCs w:val="20"/>
                <w:lang w:val="en-GB"/>
              </w:rPr>
              <w:t>.</w:t>
            </w:r>
          </w:p>
          <w:p w:rsidRPr="00D43D39" w:rsidR="00804B16" w:rsidP="00804B16" w:rsidRDefault="00804B16" w14:paraId="2F072CB0" w14:textId="5C8A502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z w:val="20"/>
                <w:szCs w:val="20"/>
                <w:lang w:val="en-GB"/>
              </w:rPr>
              <w:t xml:space="preserve">Reference: </w:t>
            </w:r>
          </w:p>
        </w:tc>
      </w:tr>
      <w:tr w:rsidRPr="00D43D39" w:rsidR="005B2D93" w:rsidTr="001E587F" w14:paraId="0ECC62CD" w14:textId="77777777">
        <w:tc>
          <w:tcPr>
            <w:tcW w:w="1080" w:type="dxa"/>
            <w:tcBorders>
              <w:top w:val="single" w:color="1A171C" w:sz="4" w:space="0"/>
              <w:left w:val="nil"/>
              <w:bottom w:val="single" w:color="1A171C" w:sz="4" w:space="0"/>
              <w:right w:val="single" w:color="1A171C" w:sz="4" w:space="0"/>
            </w:tcBorders>
            <w:vAlign w:val="center"/>
          </w:tcPr>
          <w:p w:rsidR="005B2D93" w:rsidRDefault="005B2D93" w14:paraId="39D15396" w14:textId="30D1B33B">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0110 - 0180</w:t>
            </w:r>
          </w:p>
        </w:tc>
        <w:tc>
          <w:tcPr>
            <w:tcW w:w="8003" w:type="dxa"/>
            <w:tcBorders>
              <w:top w:val="single" w:color="1A171C" w:sz="4" w:space="0"/>
              <w:left w:val="single" w:color="1A171C" w:sz="4" w:space="0"/>
              <w:bottom w:val="single" w:color="1A171C" w:sz="4" w:space="0"/>
              <w:right w:val="nil"/>
            </w:tcBorders>
            <w:vAlign w:val="center"/>
          </w:tcPr>
          <w:p w:rsidR="005B2D93" w:rsidP="005F5507" w:rsidRDefault="005B2D93" w14:paraId="04CE9AD4" w14:textId="77777777">
            <w:pPr>
              <w:pStyle w:val="TableParagraph"/>
              <w:spacing w:before="108"/>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Impact and Substitutability analyses</w:t>
            </w:r>
          </w:p>
          <w:p w:rsidRPr="00D43D39" w:rsidR="005B2D93" w:rsidP="005B2D93" w:rsidRDefault="005B2D93" w14:paraId="0516578A" w14:textId="1399DD34">
            <w:pPr>
              <w:spacing w:line="276" w:lineRule="auto"/>
              <w:jc w:val="both"/>
              <w:rPr>
                <w:rFonts w:ascii="Times New Roman" w:hAnsi="Times New Roman" w:eastAsia="Times New Roman" w:cs="Times New Roman"/>
                <w:sz w:val="20"/>
                <w:szCs w:val="20"/>
                <w:lang w:val="en-GB"/>
              </w:rPr>
            </w:pPr>
            <w:r w:rsidRPr="00D43D39">
              <w:rPr>
                <w:rFonts w:ascii="Times New Roman" w:hAnsi="Times New Roman" w:eastAsia="Times New Roman" w:cs="Times New Roman"/>
                <w:sz w:val="20"/>
                <w:szCs w:val="20"/>
                <w:lang w:val="en-GB"/>
              </w:rPr>
              <w:t>The assessment criteria for the impact on third parties shall include the following elements in accordance with Commission Delegated Regulation (EU) 2016/778:</w:t>
            </w:r>
          </w:p>
          <w:p w:rsidRPr="00D43D39" w:rsidR="005B2D93" w:rsidP="005B2D93" w:rsidRDefault="005B2D93" w14:paraId="4528F62A" w14:textId="77777777">
            <w:pPr>
              <w:pStyle w:val="ListParagraph"/>
              <w:numPr>
                <w:ilvl w:val="0"/>
                <w:numId w:val="131"/>
              </w:numPr>
              <w:spacing w:line="276" w:lineRule="auto"/>
              <w:rPr>
                <w:rFonts w:ascii="Times New Roman" w:hAnsi="Times New Roman" w:eastAsia="Times New Roman"/>
                <w:b/>
                <w:bCs/>
                <w:sz w:val="20"/>
                <w:szCs w:val="20"/>
              </w:rPr>
            </w:pPr>
            <w:r w:rsidRPr="00D43D39">
              <w:rPr>
                <w:rFonts w:ascii="Times New Roman" w:hAnsi="Times New Roman" w:eastAsia="Times New Roman"/>
                <w:b/>
                <w:bCs/>
                <w:sz w:val="20"/>
                <w:szCs w:val="20"/>
              </w:rPr>
              <w:t>the nature and reach of the activity</w:t>
            </w:r>
            <w:r w:rsidRPr="00D43D39">
              <w:rPr>
                <w:rFonts w:ascii="Times New Roman" w:hAnsi="Times New Roman" w:eastAsia="Times New Roman"/>
                <w:sz w:val="20"/>
                <w:szCs w:val="20"/>
              </w:rPr>
              <w:t>, the global, national or regional reach, volume and number of transactions; the number of customers and counterparties; the number of customers for which the institution is the only or principal banking partner.</w:t>
            </w:r>
          </w:p>
          <w:p w:rsidRPr="00D43D39" w:rsidR="005B2D93" w:rsidP="005B2D93" w:rsidRDefault="005B2D93" w14:paraId="4F788977" w14:textId="77777777">
            <w:pPr>
              <w:pStyle w:val="ListParagraph"/>
              <w:numPr>
                <w:ilvl w:val="0"/>
                <w:numId w:val="131"/>
              </w:numPr>
              <w:spacing w:line="276" w:lineRule="auto"/>
              <w:rPr>
                <w:rFonts w:ascii="Times New Roman" w:hAnsi="Times New Roman" w:eastAsia="Times New Roman"/>
                <w:b/>
                <w:bCs/>
                <w:sz w:val="20"/>
                <w:szCs w:val="20"/>
              </w:rPr>
            </w:pPr>
            <w:r w:rsidRPr="00D43D39">
              <w:rPr>
                <w:rFonts w:ascii="Times New Roman" w:hAnsi="Times New Roman" w:eastAsia="Times New Roman"/>
                <w:b/>
                <w:bCs/>
                <w:sz w:val="20"/>
                <w:szCs w:val="20"/>
              </w:rPr>
              <w:t>the relevance of the institution</w:t>
            </w:r>
            <w:r w:rsidRPr="00D43D39">
              <w:rPr>
                <w:rFonts w:ascii="Times New Roman" w:hAnsi="Times New Roman" w:eastAsia="Times New Roman"/>
                <w:sz w:val="20"/>
                <w:szCs w:val="20"/>
              </w:rPr>
              <w:t>, on a local, regional, national or European level, as appropriate for the market concerned. The relevance of the institution may be assessed on the basis of the market share, the interconnectedness, the complexity and cross- border activities.</w:t>
            </w:r>
          </w:p>
          <w:p w:rsidRPr="00D43D39" w:rsidR="005B2D93" w:rsidP="005B2D93" w:rsidRDefault="005B2D93" w14:paraId="5E3E7CC2" w14:textId="77777777">
            <w:pPr>
              <w:pStyle w:val="ListParagraph"/>
              <w:numPr>
                <w:ilvl w:val="0"/>
                <w:numId w:val="131"/>
              </w:numPr>
              <w:spacing w:line="276" w:lineRule="auto"/>
              <w:rPr>
                <w:rFonts w:ascii="Times New Roman" w:hAnsi="Times New Roman" w:eastAsia="Times New Roman"/>
                <w:b/>
                <w:bCs/>
                <w:sz w:val="20"/>
                <w:szCs w:val="20"/>
              </w:rPr>
            </w:pPr>
            <w:r w:rsidRPr="00D43D39">
              <w:rPr>
                <w:rFonts w:ascii="Times New Roman" w:hAnsi="Times New Roman" w:eastAsia="Times New Roman"/>
                <w:b/>
                <w:bCs/>
                <w:sz w:val="20"/>
                <w:szCs w:val="20"/>
              </w:rPr>
              <w:t>the nature of the customers and stakeholders affected by the function</w:t>
            </w:r>
            <w:r w:rsidRPr="00D43D39">
              <w:rPr>
                <w:rFonts w:ascii="Times New Roman" w:hAnsi="Times New Roman" w:eastAsia="Times New Roman"/>
                <w:sz w:val="20"/>
                <w:szCs w:val="20"/>
              </w:rPr>
              <w:t xml:space="preserve">, such as but not limited to retail customers, corporate customers, interbank customers, central clearing houses and public entities. </w:t>
            </w:r>
          </w:p>
          <w:p w:rsidRPr="00D43D39" w:rsidR="005B2D93" w:rsidP="005B2D93" w:rsidRDefault="005B2D93" w14:paraId="1E451936" w14:textId="77777777">
            <w:pPr>
              <w:pStyle w:val="ListParagraph"/>
              <w:numPr>
                <w:ilvl w:val="0"/>
                <w:numId w:val="131"/>
              </w:numPr>
              <w:spacing w:line="276" w:lineRule="auto"/>
              <w:rPr>
                <w:rFonts w:ascii="Times New Roman" w:hAnsi="Times New Roman" w:eastAsia="Times New Roman"/>
                <w:b/>
                <w:bCs/>
                <w:sz w:val="20"/>
                <w:szCs w:val="20"/>
              </w:rPr>
            </w:pPr>
            <w:r w:rsidRPr="00D43D39">
              <w:rPr>
                <w:rFonts w:ascii="Times New Roman" w:hAnsi="Times New Roman" w:eastAsia="Times New Roman"/>
                <w:b/>
                <w:bCs/>
                <w:sz w:val="20"/>
                <w:szCs w:val="20"/>
              </w:rPr>
              <w:t>the potential disruption of the function on markets, infrastructures, customers and public services</w:t>
            </w:r>
            <w:r w:rsidRPr="00D43D39">
              <w:rPr>
                <w:rFonts w:ascii="Times New Roman" w:hAnsi="Times New Roman" w:eastAsia="Times New Roman"/>
                <w:sz w:val="20"/>
                <w:szCs w:val="20"/>
              </w:rPr>
              <w:t>.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p>
          <w:p w:rsidR="005B2D93" w:rsidP="001E587F" w:rsidRDefault="005B2D93" w14:paraId="2E8065C1" w14:textId="03EBB6C0">
            <w:pPr>
              <w:pStyle w:val="TableParagraph"/>
              <w:spacing w:before="108"/>
              <w:ind w:left="85"/>
              <w:jc w:val="both"/>
              <w:rPr>
                <w:rFonts w:ascii="Times New Roman" w:hAnsi="Times New Roman" w:cs="Times New Roman"/>
                <w:b/>
                <w:bCs/>
                <w:color w:val="000000" w:themeColor="text1"/>
                <w:sz w:val="20"/>
                <w:szCs w:val="20"/>
                <w:lang w:val="en-GB"/>
              </w:rPr>
            </w:pPr>
          </w:p>
        </w:tc>
      </w:tr>
      <w:tr w:rsidRPr="00D43D39" w:rsidR="0060155C" w:rsidTr="001E587F" w14:paraId="454F52AC" w14:textId="77777777">
        <w:tc>
          <w:tcPr>
            <w:tcW w:w="1080" w:type="dxa"/>
            <w:tcBorders>
              <w:top w:val="single" w:color="1A171C" w:sz="4" w:space="0"/>
              <w:left w:val="nil"/>
              <w:bottom w:val="single" w:color="1A171C" w:sz="4" w:space="0"/>
              <w:right w:val="single" w:color="1A171C" w:sz="4" w:space="0"/>
            </w:tcBorders>
            <w:vAlign w:val="center"/>
          </w:tcPr>
          <w:p w:rsidR="0060155C" w:rsidRDefault="0060155C" w14:paraId="11CFD51B" w14:textId="534D67BF">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0110 - 0130</w:t>
            </w:r>
          </w:p>
        </w:tc>
        <w:tc>
          <w:tcPr>
            <w:tcW w:w="8003" w:type="dxa"/>
            <w:tcBorders>
              <w:top w:val="single" w:color="1A171C" w:sz="4" w:space="0"/>
              <w:left w:val="single" w:color="1A171C" w:sz="4" w:space="0"/>
              <w:bottom w:val="single" w:color="1A171C" w:sz="4" w:space="0"/>
              <w:right w:val="nil"/>
            </w:tcBorders>
            <w:vAlign w:val="center"/>
          </w:tcPr>
          <w:p w:rsidR="0060155C" w:rsidP="001E587F" w:rsidRDefault="0060155C" w14:paraId="757A817B" w14:textId="77777777">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Nature and Reach </w:t>
            </w:r>
          </w:p>
          <w:p w:rsidR="0060155C" w:rsidP="001E587F" w:rsidRDefault="0060155C" w14:paraId="6D2F2946" w14:textId="09E4BD0C">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eastAsia="Times New Roman"/>
                <w:sz w:val="20"/>
                <w:szCs w:val="20"/>
              </w:rPr>
              <w:t>T</w:t>
            </w:r>
            <w:r w:rsidRPr="00D43D39">
              <w:rPr>
                <w:rFonts w:ascii="Times New Roman" w:hAnsi="Times New Roman" w:eastAsia="Times New Roman"/>
                <w:sz w:val="20"/>
                <w:szCs w:val="20"/>
              </w:rPr>
              <w:t>he global, national or regional reach, volume and number of transactions; the number of customers and counterparties; the number of customers for which the institution is the only or principal banking partner.</w:t>
            </w:r>
          </w:p>
        </w:tc>
      </w:tr>
      <w:tr w:rsidRPr="00D43D39" w:rsidR="0060155C" w:rsidTr="001E587F" w14:paraId="11030813" w14:textId="77777777">
        <w:tc>
          <w:tcPr>
            <w:tcW w:w="1080" w:type="dxa"/>
            <w:tcBorders>
              <w:top w:val="single" w:color="1A171C" w:sz="4" w:space="0"/>
              <w:left w:val="nil"/>
              <w:bottom w:val="single" w:color="1A171C" w:sz="4" w:space="0"/>
              <w:right w:val="single" w:color="1A171C" w:sz="4" w:space="0"/>
            </w:tcBorders>
            <w:vAlign w:val="center"/>
          </w:tcPr>
          <w:p w:rsidRPr="00D43D39" w:rsidR="0060155C" w:rsidRDefault="0060155C" w14:paraId="02D737B6" w14:textId="6A47B792">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0110</w:t>
            </w:r>
          </w:p>
        </w:tc>
        <w:tc>
          <w:tcPr>
            <w:tcW w:w="8003" w:type="dxa"/>
            <w:tcBorders>
              <w:top w:val="single" w:color="1A171C" w:sz="4" w:space="0"/>
              <w:left w:val="single" w:color="1A171C" w:sz="4" w:space="0"/>
              <w:bottom w:val="single" w:color="1A171C" w:sz="4" w:space="0"/>
              <w:right w:val="nil"/>
            </w:tcBorders>
            <w:vAlign w:val="center"/>
          </w:tcPr>
          <w:p w:rsidR="0060155C" w:rsidP="001E587F" w:rsidRDefault="0060155C" w14:paraId="5552B30B" w14:textId="77777777">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Size Indicator 1</w:t>
            </w:r>
          </w:p>
          <w:p w:rsidRPr="00D43D39" w:rsidR="0060155C" w:rsidP="0060155C" w:rsidRDefault="0060155C" w14:paraId="60AB97C4" w14:textId="49620BA1">
            <w:pPr>
              <w:spacing w:line="276" w:lineRule="auto"/>
              <w:jc w:val="both"/>
              <w:rPr>
                <w:rFonts w:ascii="Times New Roman" w:hAnsi="Times New Roman" w:eastAsia="Times New Roman" w:cs="Times New Roman"/>
                <w:sz w:val="20"/>
                <w:szCs w:val="20"/>
                <w:lang w:val="en-GB"/>
              </w:rPr>
            </w:pPr>
            <w:r>
              <w:rPr>
                <w:rFonts w:ascii="Times New Roman" w:hAnsi="Times New Roman" w:eastAsia="Times New Roman" w:cs="Times New Roman"/>
                <w:sz w:val="20"/>
                <w:szCs w:val="20"/>
                <w:lang w:val="en-GB"/>
              </w:rPr>
              <w:t>A</w:t>
            </w:r>
            <w:r w:rsidRPr="00D43D39">
              <w:rPr>
                <w:rFonts w:ascii="Times New Roman" w:hAnsi="Times New Roman" w:eastAsia="Times New Roman" w:cs="Times New Roman"/>
                <w:sz w:val="20"/>
                <w:szCs w:val="20"/>
                <w:lang w:val="en-GB"/>
              </w:rPr>
              <w:t xml:space="preserve">ssess how important the bank is in these activities. This assessment </w:t>
            </w:r>
            <w:r w:rsidR="00AF1118">
              <w:rPr>
                <w:rFonts w:ascii="Times New Roman" w:hAnsi="Times New Roman" w:eastAsia="Times New Roman" w:cs="Times New Roman"/>
                <w:sz w:val="20"/>
                <w:szCs w:val="20"/>
                <w:lang w:val="en-GB"/>
              </w:rPr>
              <w:t>is</w:t>
            </w:r>
            <w:r w:rsidRPr="00D43D39">
              <w:rPr>
                <w:rFonts w:ascii="Times New Roman" w:hAnsi="Times New Roman" w:eastAsia="Times New Roman" w:cs="Times New Roman"/>
                <w:sz w:val="20"/>
                <w:szCs w:val="20"/>
                <w:lang w:val="en-GB"/>
              </w:rPr>
              <w:t xml:space="preserve"> expressed qualitatively as ‘High (H), Medium-High (MH), Medium-Low (ML) or Low (L)’. </w:t>
            </w:r>
            <w:r w:rsidR="005B2D93">
              <w:rPr>
                <w:rFonts w:ascii="Times New Roman" w:hAnsi="Times New Roman" w:eastAsia="Times New Roman" w:cs="Times New Roman"/>
                <w:sz w:val="20"/>
                <w:szCs w:val="20"/>
                <w:lang w:val="en-GB"/>
              </w:rPr>
              <w:t>R</w:t>
            </w:r>
            <w:r w:rsidRPr="00D43D39">
              <w:rPr>
                <w:rFonts w:ascii="Times New Roman" w:hAnsi="Times New Roman" w:eastAsia="Times New Roman" w:cs="Times New Roman"/>
                <w:sz w:val="20"/>
                <w:szCs w:val="20"/>
                <w:lang w:val="en-GB"/>
              </w:rPr>
              <w:t xml:space="preserve">eport ‘H’ if the size of the function is large, ‘MH’ if it is medium, ‘ML’ if the small, and ‘L’ if it is negligible. </w:t>
            </w:r>
            <w:r w:rsidR="005B2D93">
              <w:rPr>
                <w:rFonts w:ascii="Times New Roman" w:hAnsi="Times New Roman" w:eastAsia="Times New Roman" w:cs="Times New Roman"/>
                <w:sz w:val="20"/>
                <w:szCs w:val="20"/>
                <w:lang w:val="en-GB"/>
              </w:rPr>
              <w:t>U</w:t>
            </w:r>
            <w:r w:rsidRPr="00D43D39">
              <w:rPr>
                <w:rFonts w:ascii="Times New Roman" w:hAnsi="Times New Roman" w:eastAsia="Times New Roman" w:cs="Times New Roman"/>
                <w:sz w:val="20"/>
                <w:szCs w:val="20"/>
                <w:lang w:val="en-GB"/>
              </w:rPr>
              <w:t xml:space="preserve">se macro-economic variables such as GDP, population (for Deposits, Lending, Payments, Cash, Settlement, Clearing and Custody Services), or market size (for Capital Markets and Wholesale Funding) as a benchmark for this qualitative assessment. </w:t>
            </w:r>
          </w:p>
          <w:p w:rsidRPr="00CB3292" w:rsidR="00E81894" w:rsidP="00E81894" w:rsidRDefault="00E81894" w14:paraId="2E74FA63" w14:textId="77777777">
            <w:pPr>
              <w:pStyle w:val="ListParagraph"/>
              <w:numPr>
                <w:ilvl w:val="0"/>
                <w:numId w:val="130"/>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value</w:t>
            </w:r>
            <w:r w:rsidRPr="00D43D39">
              <w:rPr>
                <w:rFonts w:ascii="Times New Roman" w:hAnsi="Times New Roman" w:eastAsia="Times New Roman"/>
                <w:sz w:val="20"/>
                <w:szCs w:val="20"/>
              </w:rPr>
              <w:t xml:space="preserve"> on accounts (c0030) from an </w:t>
            </w:r>
            <w:r w:rsidRPr="00D43D39">
              <w:rPr>
                <w:rFonts w:ascii="Times New Roman" w:hAnsi="Times New Roman" w:eastAsia="Times New Roman"/>
                <w:b/>
                <w:bCs/>
                <w:sz w:val="20"/>
                <w:szCs w:val="20"/>
              </w:rPr>
              <w:t>EU</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[one level higher than the relevant market. This means that when the relevant market is regional, size 1 = national; when it is national, size 1 = EU; when it is EU, size 1 = global ]</w:t>
            </w:r>
            <w:r w:rsidRPr="00D43D39">
              <w:rPr>
                <w:rFonts w:ascii="Times New Roman" w:hAnsi="Times New Roman" w:eastAsia="Times New Roman"/>
                <w:sz w:val="20"/>
                <w:szCs w:val="20"/>
              </w:rPr>
              <w:t>:</w:t>
            </w:r>
          </w:p>
          <w:p w:rsidRPr="00D43D39" w:rsidR="00E81894" w:rsidP="00E81894" w:rsidRDefault="00E81894" w14:paraId="58B67E81" w14:textId="77777777">
            <w:pPr>
              <w:pStyle w:val="ListParagraph"/>
              <w:numPr>
                <w:ilvl w:val="1"/>
                <w:numId w:val="129"/>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From an EU perspective, how large do you believe the total value on accounts with your institution is? </w:t>
            </w:r>
          </w:p>
          <w:p w:rsidRPr="00D43D39" w:rsidR="0060155C" w:rsidP="001E587F" w:rsidRDefault="0060155C" w14:paraId="158100A9" w14:textId="57F10B7E">
            <w:pPr>
              <w:pStyle w:val="TableParagraph"/>
              <w:spacing w:before="108"/>
              <w:ind w:left="85"/>
              <w:jc w:val="both"/>
              <w:rPr>
                <w:rFonts w:ascii="Times New Roman" w:hAnsi="Times New Roman" w:cs="Times New Roman"/>
                <w:b/>
                <w:bCs/>
                <w:color w:val="000000" w:themeColor="text1"/>
                <w:sz w:val="20"/>
                <w:szCs w:val="20"/>
                <w:lang w:val="en-GB"/>
              </w:rPr>
            </w:pPr>
          </w:p>
        </w:tc>
      </w:tr>
      <w:tr w:rsidRPr="00D43D39" w:rsidR="0060155C" w:rsidTr="001E587F" w14:paraId="1A0D8A3E" w14:textId="77777777">
        <w:tc>
          <w:tcPr>
            <w:tcW w:w="1080" w:type="dxa"/>
            <w:tcBorders>
              <w:top w:val="single" w:color="1A171C" w:sz="4" w:space="0"/>
              <w:left w:val="nil"/>
              <w:bottom w:val="single" w:color="1A171C" w:sz="4" w:space="0"/>
              <w:right w:val="single" w:color="1A171C" w:sz="4" w:space="0"/>
            </w:tcBorders>
            <w:vAlign w:val="center"/>
          </w:tcPr>
          <w:p w:rsidRPr="00D43D39" w:rsidR="0060155C" w:rsidRDefault="0060155C" w14:paraId="199D95A3" w14:textId="630B0321">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0120</w:t>
            </w:r>
          </w:p>
        </w:tc>
        <w:tc>
          <w:tcPr>
            <w:tcW w:w="8003" w:type="dxa"/>
            <w:tcBorders>
              <w:top w:val="single" w:color="1A171C" w:sz="4" w:space="0"/>
              <w:left w:val="single" w:color="1A171C" w:sz="4" w:space="0"/>
              <w:bottom w:val="single" w:color="1A171C" w:sz="4" w:space="0"/>
              <w:right w:val="nil"/>
            </w:tcBorders>
            <w:vAlign w:val="center"/>
          </w:tcPr>
          <w:p w:rsidR="0060155C" w:rsidP="001E587F" w:rsidRDefault="0060155C" w14:paraId="138A38DB" w14:textId="77777777">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Size Indicator 2</w:t>
            </w:r>
          </w:p>
          <w:p w:rsidRPr="00D43D39" w:rsidR="0060155C" w:rsidP="0060155C" w:rsidRDefault="0060155C" w14:paraId="38B3EE58" w14:textId="1E90AFFA">
            <w:pPr>
              <w:spacing w:line="276" w:lineRule="auto"/>
              <w:jc w:val="both"/>
              <w:rPr>
                <w:rFonts w:ascii="Times New Roman" w:hAnsi="Times New Roman" w:eastAsia="Times New Roman" w:cs="Times New Roman"/>
                <w:sz w:val="20"/>
                <w:szCs w:val="20"/>
                <w:lang w:val="en-GB"/>
              </w:rPr>
            </w:pPr>
            <w:r>
              <w:rPr>
                <w:rFonts w:ascii="Times New Roman" w:hAnsi="Times New Roman" w:eastAsia="Times New Roman" w:cs="Times New Roman"/>
                <w:sz w:val="20"/>
                <w:szCs w:val="20"/>
                <w:lang w:val="en-GB"/>
              </w:rPr>
              <w:t>A</w:t>
            </w:r>
            <w:r w:rsidRPr="00D43D39">
              <w:rPr>
                <w:rFonts w:ascii="Times New Roman" w:hAnsi="Times New Roman" w:eastAsia="Times New Roman" w:cs="Times New Roman"/>
                <w:sz w:val="20"/>
                <w:szCs w:val="20"/>
                <w:lang w:val="en-GB"/>
              </w:rPr>
              <w:t xml:space="preserve">ssess how important the bank is in these activities. This assessment </w:t>
            </w:r>
            <w:r w:rsidR="005B2D93">
              <w:rPr>
                <w:rFonts w:ascii="Times New Roman" w:hAnsi="Times New Roman" w:eastAsia="Times New Roman" w:cs="Times New Roman"/>
                <w:sz w:val="20"/>
                <w:szCs w:val="20"/>
                <w:lang w:val="en-GB"/>
              </w:rPr>
              <w:t>is</w:t>
            </w:r>
            <w:r w:rsidRPr="00D43D39">
              <w:rPr>
                <w:rFonts w:ascii="Times New Roman" w:hAnsi="Times New Roman" w:eastAsia="Times New Roman" w:cs="Times New Roman"/>
                <w:sz w:val="20"/>
                <w:szCs w:val="20"/>
                <w:lang w:val="en-GB"/>
              </w:rPr>
              <w:t xml:space="preserve"> expressed qualitatively as ‘High (H), Medium-High (MH), Medium-Low (ML) or Low (L)’. </w:t>
            </w:r>
            <w:r w:rsidR="005B2D93">
              <w:rPr>
                <w:rFonts w:ascii="Times New Roman" w:hAnsi="Times New Roman" w:eastAsia="Times New Roman" w:cs="Times New Roman"/>
                <w:sz w:val="20"/>
                <w:szCs w:val="20"/>
                <w:lang w:val="en-GB"/>
              </w:rPr>
              <w:t>R</w:t>
            </w:r>
            <w:r w:rsidRPr="00D43D39">
              <w:rPr>
                <w:rFonts w:ascii="Times New Roman" w:hAnsi="Times New Roman" w:eastAsia="Times New Roman" w:cs="Times New Roman"/>
                <w:sz w:val="20"/>
                <w:szCs w:val="20"/>
                <w:lang w:val="en-GB"/>
              </w:rPr>
              <w:t xml:space="preserve">eport ‘H’ if the size of the function is large, ‘MH’ if it is medium, ‘ML’ if the small, and ‘L’ if it is negligible. </w:t>
            </w:r>
            <w:r w:rsidR="005B2D93">
              <w:rPr>
                <w:rFonts w:ascii="Times New Roman" w:hAnsi="Times New Roman" w:eastAsia="Times New Roman" w:cs="Times New Roman"/>
                <w:sz w:val="20"/>
                <w:szCs w:val="20"/>
                <w:lang w:val="en-GB"/>
              </w:rPr>
              <w:t>Use m</w:t>
            </w:r>
            <w:r w:rsidRPr="00D43D39">
              <w:rPr>
                <w:rFonts w:ascii="Times New Roman" w:hAnsi="Times New Roman" w:eastAsia="Times New Roman" w:cs="Times New Roman"/>
                <w:sz w:val="20"/>
                <w:szCs w:val="20"/>
                <w:lang w:val="en-GB"/>
              </w:rPr>
              <w:t xml:space="preserve">acro-economic variables such as GDP, population (for Deposits, Lending, Payments, Cash, Settlement, Clearing and Custody Services), or market size (for Capital Markets and Wholesale Funding) as a benchmark for this qualitative assessment. </w:t>
            </w:r>
          </w:p>
          <w:p w:rsidRPr="00CB3292" w:rsidR="00E81894" w:rsidP="00E81894" w:rsidRDefault="00E81894" w14:paraId="48AC0583" w14:textId="77777777">
            <w:pPr>
              <w:pStyle w:val="ListParagraph"/>
              <w:numPr>
                <w:ilvl w:val="0"/>
                <w:numId w:val="124"/>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w:t>
            </w:r>
            <w:r w:rsidRPr="00D43D39">
              <w:rPr>
                <w:rFonts w:ascii="Times New Roman" w:hAnsi="Times New Roman" w:eastAsia="Times New Roman"/>
                <w:b/>
                <w:bCs/>
                <w:sz w:val="20"/>
                <w:szCs w:val="20"/>
              </w:rPr>
              <w:t>number</w:t>
            </w:r>
            <w:r w:rsidRPr="00D43D39">
              <w:rPr>
                <w:rFonts w:ascii="Times New Roman" w:hAnsi="Times New Roman" w:eastAsia="Times New Roman"/>
                <w:sz w:val="20"/>
                <w:szCs w:val="20"/>
              </w:rPr>
              <w:t xml:space="preserve"> of clients (c0040) from a </w:t>
            </w:r>
            <w:r w:rsidRPr="00D43D39">
              <w:rPr>
                <w:rFonts w:ascii="Times New Roman" w:hAnsi="Times New Roman" w:eastAsia="Times New Roman"/>
                <w:b/>
                <w:bCs/>
                <w:sz w:val="20"/>
                <w:szCs w:val="20"/>
              </w:rPr>
              <w:t>national</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at the level of the relevant market</w:t>
            </w:r>
            <w:r w:rsidRPr="00D43D39">
              <w:rPr>
                <w:rFonts w:ascii="Times New Roman" w:hAnsi="Times New Roman" w:eastAsia="Times New Roman"/>
                <w:sz w:val="20"/>
                <w:szCs w:val="20"/>
              </w:rPr>
              <w:t>]:</w:t>
            </w:r>
          </w:p>
          <w:p w:rsidRPr="00D43D39" w:rsidR="00E81894" w:rsidP="00E81894" w:rsidRDefault="00177ED9" w14:paraId="0A5C52BA" w14:textId="331B75DE">
            <w:pPr>
              <w:pStyle w:val="ListParagraph"/>
              <w:numPr>
                <w:ilvl w:val="1"/>
                <w:numId w:val="122"/>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From a national perspective, how large </w:t>
            </w:r>
            <w:r>
              <w:rPr>
                <w:rFonts w:ascii="Times New Roman" w:hAnsi="Times New Roman" w:eastAsia="Times New Roman"/>
                <w:sz w:val="20"/>
                <w:szCs w:val="20"/>
              </w:rPr>
              <w:t>is the estimated</w:t>
            </w:r>
            <w:r w:rsidRPr="00D43D39">
              <w:rPr>
                <w:rFonts w:ascii="Times New Roman" w:hAnsi="Times New Roman" w:eastAsia="Times New Roman"/>
                <w:sz w:val="20"/>
                <w:szCs w:val="20"/>
              </w:rPr>
              <w:t xml:space="preserve"> the total number of clients of </w:t>
            </w:r>
            <w:r>
              <w:rPr>
                <w:rFonts w:ascii="Times New Roman" w:hAnsi="Times New Roman" w:eastAsia="Times New Roman"/>
                <w:sz w:val="20"/>
                <w:szCs w:val="20"/>
              </w:rPr>
              <w:t>the</w:t>
            </w:r>
            <w:r w:rsidRPr="00D43D39">
              <w:rPr>
                <w:rFonts w:ascii="Times New Roman" w:hAnsi="Times New Roman" w:eastAsia="Times New Roman"/>
                <w:sz w:val="20"/>
                <w:szCs w:val="20"/>
              </w:rPr>
              <w:t xml:space="preserve"> institution</w:t>
            </w:r>
            <w:r w:rsidRPr="00D43D39" w:rsidR="00E81894">
              <w:rPr>
                <w:rFonts w:ascii="Times New Roman" w:hAnsi="Times New Roman" w:eastAsia="Times New Roman"/>
                <w:sz w:val="20"/>
                <w:szCs w:val="20"/>
              </w:rPr>
              <w:t>?</w:t>
            </w:r>
          </w:p>
          <w:p w:rsidRPr="00D43D39" w:rsidR="0060155C" w:rsidP="001E587F" w:rsidRDefault="0060155C" w14:paraId="4D8247E9" w14:textId="39588244">
            <w:pPr>
              <w:pStyle w:val="TableParagraph"/>
              <w:spacing w:before="108"/>
              <w:ind w:left="85"/>
              <w:jc w:val="both"/>
              <w:rPr>
                <w:rFonts w:ascii="Times New Roman" w:hAnsi="Times New Roman" w:cs="Times New Roman"/>
                <w:b/>
                <w:bCs/>
                <w:color w:val="000000" w:themeColor="text1"/>
                <w:sz w:val="20"/>
                <w:szCs w:val="20"/>
                <w:lang w:val="en-GB"/>
              </w:rPr>
            </w:pPr>
          </w:p>
        </w:tc>
      </w:tr>
      <w:tr w:rsidRPr="00D43D39" w:rsidR="0060155C" w:rsidTr="001E587F" w14:paraId="279A8F5A" w14:textId="77777777">
        <w:tc>
          <w:tcPr>
            <w:tcW w:w="1080" w:type="dxa"/>
            <w:tcBorders>
              <w:top w:val="single" w:color="1A171C" w:sz="4" w:space="0"/>
              <w:left w:val="nil"/>
              <w:bottom w:val="single" w:color="1A171C" w:sz="4" w:space="0"/>
              <w:right w:val="single" w:color="1A171C" w:sz="4" w:space="0"/>
            </w:tcBorders>
            <w:vAlign w:val="center"/>
          </w:tcPr>
          <w:p w:rsidRPr="00D43D39" w:rsidR="0060155C" w:rsidRDefault="0060155C" w14:paraId="1CDFFAD5" w14:textId="5B0F8836">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0130</w:t>
            </w:r>
          </w:p>
        </w:tc>
        <w:tc>
          <w:tcPr>
            <w:tcW w:w="8003" w:type="dxa"/>
            <w:tcBorders>
              <w:top w:val="single" w:color="1A171C" w:sz="4" w:space="0"/>
              <w:left w:val="single" w:color="1A171C" w:sz="4" w:space="0"/>
              <w:bottom w:val="single" w:color="1A171C" w:sz="4" w:space="0"/>
              <w:right w:val="nil"/>
            </w:tcBorders>
            <w:vAlign w:val="center"/>
          </w:tcPr>
          <w:p w:rsidR="0060155C" w:rsidP="001E587F" w:rsidRDefault="0060155C" w14:paraId="328C1F62" w14:textId="77777777">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Cross border indicator</w:t>
            </w:r>
          </w:p>
          <w:p w:rsidRPr="00D43D39" w:rsidR="0060155C" w:rsidP="0060155C" w:rsidRDefault="0060155C" w14:paraId="449CBA62" w14:textId="77777777">
            <w:pPr>
              <w:spacing w:line="276" w:lineRule="auto"/>
              <w:jc w:val="both"/>
              <w:rPr>
                <w:rFonts w:ascii="Times New Roman" w:hAnsi="Times New Roman" w:eastAsia="Times New Roman" w:cs="Times New Roman"/>
                <w:sz w:val="20"/>
                <w:szCs w:val="20"/>
                <w:lang w:val="en-GB"/>
              </w:rPr>
            </w:pPr>
            <w:r>
              <w:rPr>
                <w:rFonts w:ascii="Times New Roman" w:hAnsi="Times New Roman" w:eastAsia="Times New Roman" w:cs="Times New Roman"/>
                <w:sz w:val="20"/>
                <w:szCs w:val="20"/>
                <w:lang w:val="en-GB"/>
              </w:rPr>
              <w:t>A</w:t>
            </w:r>
            <w:r w:rsidRPr="00D43D39">
              <w:rPr>
                <w:rFonts w:ascii="Times New Roman" w:hAnsi="Times New Roman" w:eastAsia="Times New Roman" w:cs="Times New Roman"/>
                <w:sz w:val="20"/>
                <w:szCs w:val="20"/>
                <w:lang w:val="en-GB"/>
              </w:rPr>
              <w:t>ssess the relative importance of cross-border activities for the different economic functions.</w:t>
            </w:r>
          </w:p>
          <w:p w:rsidRPr="00D43D39" w:rsidR="0060155C" w:rsidP="0060155C" w:rsidRDefault="0060155C" w14:paraId="4BA71BE4" w14:textId="77777777">
            <w:pPr>
              <w:spacing w:line="276" w:lineRule="auto"/>
              <w:jc w:val="both"/>
              <w:rPr>
                <w:rFonts w:ascii="Times New Roman" w:hAnsi="Times New Roman" w:eastAsia="Times New Roman" w:cs="Times New Roman"/>
                <w:sz w:val="20"/>
                <w:szCs w:val="20"/>
                <w:lang w:val="en-GB"/>
              </w:rPr>
            </w:pPr>
            <w:r w:rsidRPr="00D43D39">
              <w:rPr>
                <w:rFonts w:ascii="Times New Roman" w:hAnsi="Times New Roman" w:eastAsia="Times New Roman" w:cs="Times New Roman"/>
                <w:sz w:val="20"/>
                <w:szCs w:val="20"/>
                <w:lang w:val="en-GB"/>
              </w:rPr>
              <w:t xml:space="preserve">This does not need to be assessed in case of reports in which the relevant market is considered to be regional. </w:t>
            </w:r>
          </w:p>
          <w:p w:rsidRPr="005F5507" w:rsidR="00E81894" w:rsidP="00E81894" w:rsidRDefault="00E81894" w14:paraId="478613D2" w14:textId="77777777">
            <w:pPr>
              <w:pStyle w:val="ListParagraph"/>
              <w:numPr>
                <w:ilvl w:val="0"/>
                <w:numId w:val="118"/>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Number of EU countries where it is estimated that the reporting entity has a national market share above 2%. </w:t>
            </w:r>
            <w:r w:rsidRPr="005F5507">
              <w:rPr>
                <w:rFonts w:ascii="Times New Roman" w:hAnsi="Times New Roman" w:eastAsia="Times New Roman"/>
                <w:sz w:val="20"/>
                <w:szCs w:val="20"/>
              </w:rPr>
              <w:t xml:space="preserve">Report: </w:t>
            </w:r>
          </w:p>
          <w:p w:rsidRPr="005F5507" w:rsidR="00E81894" w:rsidP="00E81894" w:rsidRDefault="00E81894" w14:paraId="211E9E86" w14:textId="77777777">
            <w:pPr>
              <w:pStyle w:val="ListParagraph"/>
              <w:numPr>
                <w:ilvl w:val="1"/>
                <w:numId w:val="118"/>
              </w:numPr>
              <w:rPr>
                <w:rFonts w:ascii="Times New Roman" w:hAnsi="Times New Roman" w:eastAsia="Times New Roman"/>
                <w:i/>
                <w:iCs/>
                <w:sz w:val="20"/>
                <w:szCs w:val="20"/>
              </w:rPr>
            </w:pPr>
            <w:r w:rsidRPr="005F5507">
              <w:rPr>
                <w:rFonts w:ascii="Times New Roman" w:hAnsi="Times New Roman" w:eastAsia="Times New Roman"/>
                <w:sz w:val="20"/>
                <w:szCs w:val="20"/>
              </w:rPr>
              <w:t xml:space="preserve">L: ≤1 country; </w:t>
            </w:r>
          </w:p>
          <w:p w:rsidRPr="005F5507" w:rsidR="00E81894" w:rsidP="00E81894" w:rsidRDefault="00E81894" w14:paraId="524A1B78" w14:textId="77777777">
            <w:pPr>
              <w:pStyle w:val="ListParagraph"/>
              <w:numPr>
                <w:ilvl w:val="1"/>
                <w:numId w:val="118"/>
              </w:numPr>
              <w:rPr>
                <w:rFonts w:ascii="Times New Roman" w:hAnsi="Times New Roman" w:eastAsia="Times New Roman"/>
                <w:i/>
                <w:iCs/>
                <w:sz w:val="20"/>
                <w:szCs w:val="20"/>
              </w:rPr>
            </w:pPr>
            <w:r w:rsidRPr="005F5507">
              <w:rPr>
                <w:rFonts w:ascii="Times New Roman" w:hAnsi="Times New Roman" w:eastAsia="Times New Roman"/>
                <w:sz w:val="20"/>
                <w:szCs w:val="20"/>
              </w:rPr>
              <w:t xml:space="preserve">ML: [2-3 countries]; </w:t>
            </w:r>
          </w:p>
          <w:p w:rsidRPr="005F5507" w:rsidR="00E81894" w:rsidP="00E81894" w:rsidRDefault="00E81894" w14:paraId="00776337" w14:textId="77777777">
            <w:pPr>
              <w:pStyle w:val="ListParagraph"/>
              <w:numPr>
                <w:ilvl w:val="1"/>
                <w:numId w:val="118"/>
              </w:numPr>
              <w:rPr>
                <w:rFonts w:ascii="Times New Roman" w:hAnsi="Times New Roman" w:eastAsia="Times New Roman"/>
                <w:i/>
                <w:iCs/>
                <w:sz w:val="20"/>
                <w:szCs w:val="20"/>
              </w:rPr>
            </w:pPr>
            <w:r w:rsidRPr="005F5507">
              <w:rPr>
                <w:rFonts w:ascii="Times New Roman" w:hAnsi="Times New Roman" w:eastAsia="Times New Roman"/>
                <w:sz w:val="20"/>
                <w:szCs w:val="20"/>
              </w:rPr>
              <w:t xml:space="preserve">MH: [4-5 countries], </w:t>
            </w:r>
          </w:p>
          <w:p w:rsidRPr="005F5507" w:rsidR="00E81894" w:rsidP="005F5507" w:rsidRDefault="00E81894" w14:paraId="6164FAC7" w14:textId="000CA736">
            <w:pPr>
              <w:pStyle w:val="ListParagraph"/>
              <w:numPr>
                <w:ilvl w:val="1"/>
                <w:numId w:val="118"/>
              </w:numPr>
              <w:rPr>
                <w:rFonts w:ascii="Times New Roman" w:hAnsi="Times New Roman" w:eastAsia="Times New Roman"/>
                <w:i/>
                <w:iCs/>
                <w:sz w:val="20"/>
                <w:szCs w:val="20"/>
              </w:rPr>
            </w:pPr>
            <w:r w:rsidRPr="005F5507">
              <w:rPr>
                <w:rFonts w:ascii="Times New Roman" w:hAnsi="Times New Roman" w:eastAsia="Times New Roman"/>
                <w:sz w:val="20"/>
                <w:szCs w:val="20"/>
              </w:rPr>
              <w:t>H: &gt;5 countries.</w:t>
            </w:r>
          </w:p>
          <w:p w:rsidRPr="00D43D39" w:rsidR="0060155C" w:rsidP="005F5507" w:rsidRDefault="0060155C" w14:paraId="57A6731A" w14:textId="6A6151CD">
            <w:pPr>
              <w:pStyle w:val="TableParagraph"/>
              <w:spacing w:before="108"/>
              <w:jc w:val="both"/>
              <w:rPr>
                <w:rFonts w:ascii="Times New Roman" w:hAnsi="Times New Roman" w:cs="Times New Roman"/>
                <w:b/>
                <w:bCs/>
                <w:color w:val="000000" w:themeColor="text1"/>
                <w:sz w:val="20"/>
                <w:szCs w:val="20"/>
                <w:lang w:val="en-GB"/>
              </w:rPr>
            </w:pPr>
          </w:p>
        </w:tc>
      </w:tr>
      <w:tr w:rsidRPr="00D43D39" w:rsidR="0060155C" w:rsidTr="001E587F" w14:paraId="65885632" w14:textId="77777777">
        <w:tc>
          <w:tcPr>
            <w:tcW w:w="1080" w:type="dxa"/>
            <w:tcBorders>
              <w:top w:val="single" w:color="1A171C" w:sz="4" w:space="0"/>
              <w:left w:val="nil"/>
              <w:bottom w:val="single" w:color="1A171C" w:sz="4" w:space="0"/>
              <w:right w:val="single" w:color="1A171C" w:sz="4" w:space="0"/>
            </w:tcBorders>
            <w:vAlign w:val="center"/>
          </w:tcPr>
          <w:p w:rsidRPr="00D43D39" w:rsidR="0060155C" w:rsidRDefault="0060155C" w14:paraId="7E57CBB5" w14:textId="06767DFD">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0140</w:t>
            </w:r>
          </w:p>
        </w:tc>
        <w:tc>
          <w:tcPr>
            <w:tcW w:w="8003" w:type="dxa"/>
            <w:tcBorders>
              <w:top w:val="single" w:color="1A171C" w:sz="4" w:space="0"/>
              <w:left w:val="single" w:color="1A171C" w:sz="4" w:space="0"/>
              <w:bottom w:val="single" w:color="1A171C" w:sz="4" w:space="0"/>
              <w:right w:val="nil"/>
            </w:tcBorders>
            <w:vAlign w:val="center"/>
          </w:tcPr>
          <w:p w:rsidR="0060155C" w:rsidP="001E587F" w:rsidRDefault="0060155C" w14:paraId="1F2CB86F" w14:textId="3293FE15">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Relevance – </w:t>
            </w:r>
          </w:p>
          <w:p w:rsidR="0060155C" w:rsidP="001E587F" w:rsidRDefault="0060155C" w14:paraId="744D1E7F" w14:textId="77777777">
            <w:pPr>
              <w:pStyle w:val="TableParagraph"/>
              <w:spacing w:before="108"/>
              <w:ind w:left="85"/>
              <w:jc w:val="both"/>
              <w:rPr>
                <w:rFonts w:ascii="Times New Roman" w:hAnsi="Times New Roman" w:eastAsia="Times New Roman"/>
                <w:sz w:val="20"/>
                <w:szCs w:val="20"/>
              </w:rPr>
            </w:pPr>
            <w:r>
              <w:rPr>
                <w:rFonts w:ascii="Times New Roman" w:hAnsi="Times New Roman" w:eastAsia="Times New Roman"/>
                <w:sz w:val="20"/>
                <w:szCs w:val="20"/>
              </w:rPr>
              <w:t>O</w:t>
            </w:r>
            <w:r w:rsidRPr="00D43D39">
              <w:rPr>
                <w:rFonts w:ascii="Times New Roman" w:hAnsi="Times New Roman" w:eastAsia="Times New Roman"/>
                <w:sz w:val="20"/>
                <w:szCs w:val="20"/>
              </w:rPr>
              <w:t>n a local, regional, national or European level, as appropriate for the market concerned. The relevance of the institution may be assessed on the basis of the market share, the interconnectedness, the complexity and cross- border activities.</w:t>
            </w:r>
          </w:p>
          <w:p w:rsidR="0060155C" w:rsidP="001E587F" w:rsidRDefault="0060155C" w14:paraId="216F9C60" w14:textId="77777777">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Market Share</w:t>
            </w:r>
          </w:p>
          <w:p w:rsidR="005B2D93" w:rsidP="0060155C" w:rsidRDefault="0060155C" w14:paraId="1781B2C4" w14:textId="77777777">
            <w:pPr>
              <w:spacing w:line="276" w:lineRule="auto"/>
              <w:jc w:val="both"/>
              <w:rPr>
                <w:rFonts w:ascii="Times New Roman" w:hAnsi="Times New Roman" w:eastAsia="Times New Roman" w:cs="Times New Roman"/>
                <w:sz w:val="20"/>
                <w:szCs w:val="20"/>
                <w:lang w:val="en-GB"/>
              </w:rPr>
            </w:pPr>
            <w:r>
              <w:rPr>
                <w:rFonts w:ascii="Times New Roman" w:hAnsi="Times New Roman" w:eastAsia="Times New Roman" w:cs="Times New Roman"/>
                <w:sz w:val="20"/>
                <w:szCs w:val="20"/>
                <w:lang w:val="en-GB"/>
              </w:rPr>
              <w:t>A</w:t>
            </w:r>
            <w:r w:rsidRPr="00D43D39">
              <w:rPr>
                <w:rFonts w:ascii="Times New Roman" w:hAnsi="Times New Roman" w:eastAsia="Times New Roman" w:cs="Times New Roman"/>
                <w:sz w:val="20"/>
                <w:szCs w:val="20"/>
                <w:lang w:val="en-GB"/>
              </w:rPr>
              <w:t>ssess how important the reporting entity’s market share</w:t>
            </w:r>
            <w:r w:rsidR="005B2D93">
              <w:rPr>
                <w:rFonts w:ascii="Times New Roman" w:hAnsi="Times New Roman" w:eastAsia="Times New Roman" w:cs="Times New Roman"/>
                <w:sz w:val="20"/>
                <w:szCs w:val="20"/>
                <w:lang w:val="en-GB"/>
              </w:rPr>
              <w:t xml:space="preserve"> is</w:t>
            </w:r>
            <w:r w:rsidRPr="00D43D39">
              <w:rPr>
                <w:rFonts w:ascii="Times New Roman" w:hAnsi="Times New Roman" w:eastAsia="Times New Roman" w:cs="Times New Roman"/>
                <w:sz w:val="20"/>
                <w:szCs w:val="20"/>
                <w:lang w:val="en-GB"/>
              </w:rPr>
              <w:t xml:space="preserve">, compared to the national or other relevant market, as indicated in the template. This assessment </w:t>
            </w:r>
            <w:r w:rsidR="005B2D93">
              <w:rPr>
                <w:rFonts w:ascii="Times New Roman" w:hAnsi="Times New Roman" w:eastAsia="Times New Roman" w:cs="Times New Roman"/>
                <w:sz w:val="20"/>
                <w:szCs w:val="20"/>
                <w:lang w:val="en-GB"/>
              </w:rPr>
              <w:t>is</w:t>
            </w:r>
            <w:r w:rsidRPr="00D43D39">
              <w:rPr>
                <w:rFonts w:ascii="Times New Roman" w:hAnsi="Times New Roman" w:eastAsia="Times New Roman" w:cs="Times New Roman"/>
                <w:sz w:val="20"/>
                <w:szCs w:val="20"/>
                <w:lang w:val="en-GB"/>
              </w:rPr>
              <w:t xml:space="preserve"> expressed qualitatively as </w:t>
            </w:r>
          </w:p>
          <w:p w:rsidRPr="005F5507" w:rsidR="005B2D93" w:rsidP="005F5507" w:rsidRDefault="0060155C" w14:paraId="3D8D9789" w14:textId="28B4FD54">
            <w:pPr>
              <w:pStyle w:val="ListParagraph"/>
              <w:numPr>
                <w:ilvl w:val="0"/>
                <w:numId w:val="276"/>
              </w:numPr>
              <w:spacing w:line="276" w:lineRule="auto"/>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High (H), </w:t>
            </w:r>
            <w:r w:rsidRPr="005F5507" w:rsidR="005B2D93">
              <w:rPr>
                <w:rFonts w:ascii="Times New Roman" w:hAnsi="Times New Roman" w:eastAsia="Times New Roman"/>
                <w:sz w:val="20"/>
                <w:szCs w:val="20"/>
              </w:rPr>
              <w:t>if the market share is large</w:t>
            </w:r>
          </w:p>
          <w:p w:rsidRPr="005F5507" w:rsidR="005B2D93" w:rsidP="005F5507" w:rsidRDefault="0060155C" w14:paraId="6FEF42BD" w14:textId="12A4654C">
            <w:pPr>
              <w:pStyle w:val="ListParagraph"/>
              <w:numPr>
                <w:ilvl w:val="0"/>
                <w:numId w:val="276"/>
              </w:numPr>
              <w:spacing w:line="276" w:lineRule="auto"/>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Medium-High (MH), </w:t>
            </w:r>
            <w:r w:rsidRPr="005F5507" w:rsidR="005B2D93">
              <w:rPr>
                <w:rFonts w:ascii="Times New Roman" w:hAnsi="Times New Roman" w:eastAsia="Times New Roman"/>
                <w:sz w:val="20"/>
                <w:szCs w:val="20"/>
              </w:rPr>
              <w:t>if the market share is medium</w:t>
            </w:r>
          </w:p>
          <w:p w:rsidRPr="005F5507" w:rsidR="005B2D93" w:rsidP="005F5507" w:rsidRDefault="0060155C" w14:paraId="5DE0A3D4" w14:textId="5B07782A">
            <w:pPr>
              <w:pStyle w:val="ListParagraph"/>
              <w:numPr>
                <w:ilvl w:val="0"/>
                <w:numId w:val="276"/>
              </w:numPr>
              <w:spacing w:line="276" w:lineRule="auto"/>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Medium-Low (ML) </w:t>
            </w:r>
            <w:r w:rsidRPr="005F5507" w:rsidR="005B2D93">
              <w:rPr>
                <w:rFonts w:ascii="Times New Roman" w:hAnsi="Times New Roman" w:eastAsia="Times New Roman"/>
                <w:sz w:val="20"/>
                <w:szCs w:val="20"/>
              </w:rPr>
              <w:t xml:space="preserve">if the market share is small </w:t>
            </w:r>
            <w:r w:rsidRPr="005F5507">
              <w:rPr>
                <w:rFonts w:ascii="Times New Roman" w:hAnsi="Times New Roman" w:eastAsia="Times New Roman"/>
                <w:sz w:val="20"/>
                <w:szCs w:val="20"/>
              </w:rPr>
              <w:t xml:space="preserve">or </w:t>
            </w:r>
          </w:p>
          <w:p w:rsidRPr="005F5507" w:rsidR="005B2D93" w:rsidP="005F5507" w:rsidRDefault="0060155C" w14:paraId="442F2880" w14:textId="4064CDD0">
            <w:pPr>
              <w:pStyle w:val="ListParagraph"/>
              <w:numPr>
                <w:ilvl w:val="0"/>
                <w:numId w:val="276"/>
              </w:numPr>
              <w:spacing w:line="276" w:lineRule="auto"/>
              <w:jc w:val="both"/>
              <w:rPr>
                <w:rFonts w:ascii="Times New Roman" w:hAnsi="Times New Roman" w:eastAsia="Times New Roman"/>
                <w:sz w:val="20"/>
                <w:szCs w:val="20"/>
              </w:rPr>
            </w:pPr>
            <w:r w:rsidRPr="005F5507">
              <w:rPr>
                <w:rFonts w:ascii="Times New Roman" w:hAnsi="Times New Roman" w:eastAsia="Times New Roman"/>
                <w:sz w:val="20"/>
                <w:szCs w:val="20"/>
              </w:rPr>
              <w:t>Low (L)’</w:t>
            </w:r>
            <w:r w:rsidRPr="005F5507" w:rsidR="005B2D93">
              <w:rPr>
                <w:rFonts w:ascii="Times New Roman" w:hAnsi="Times New Roman" w:eastAsia="Times New Roman"/>
                <w:sz w:val="20"/>
                <w:szCs w:val="20"/>
              </w:rPr>
              <w:t xml:space="preserve"> if the market share is negligible</w:t>
            </w:r>
            <w:r w:rsidRPr="005F5507">
              <w:rPr>
                <w:rFonts w:ascii="Times New Roman" w:hAnsi="Times New Roman" w:eastAsia="Times New Roman"/>
                <w:sz w:val="20"/>
                <w:szCs w:val="20"/>
              </w:rPr>
              <w:t xml:space="preserve">. </w:t>
            </w:r>
          </w:p>
          <w:p w:rsidR="005B2D93" w:rsidP="0060155C" w:rsidRDefault="0060155C" w14:paraId="0DB12248" w14:textId="77777777">
            <w:pPr>
              <w:spacing w:line="276" w:lineRule="auto"/>
              <w:jc w:val="both"/>
              <w:rPr>
                <w:rFonts w:ascii="Times New Roman" w:hAnsi="Times New Roman" w:eastAsia="Times New Roman" w:cs="Times New Roman"/>
                <w:sz w:val="20"/>
                <w:szCs w:val="20"/>
                <w:lang w:val="en-GB"/>
              </w:rPr>
            </w:pPr>
            <w:r w:rsidRPr="00D43D39">
              <w:rPr>
                <w:rFonts w:ascii="Times New Roman" w:hAnsi="Times New Roman" w:eastAsia="Times New Roman" w:cs="Times New Roman"/>
                <w:sz w:val="20"/>
                <w:szCs w:val="20"/>
                <w:lang w:val="en-GB"/>
              </w:rPr>
              <w:t xml:space="preserve">This assessment </w:t>
            </w:r>
            <w:r w:rsidR="005B2D93">
              <w:rPr>
                <w:rFonts w:ascii="Times New Roman" w:hAnsi="Times New Roman" w:eastAsia="Times New Roman" w:cs="Times New Roman"/>
                <w:sz w:val="20"/>
                <w:szCs w:val="20"/>
                <w:lang w:val="en-GB"/>
              </w:rPr>
              <w:t>t</w:t>
            </w:r>
            <w:r w:rsidRPr="00D43D39">
              <w:rPr>
                <w:rFonts w:ascii="Times New Roman" w:hAnsi="Times New Roman" w:eastAsia="Times New Roman" w:cs="Times New Roman"/>
                <w:sz w:val="20"/>
                <w:szCs w:val="20"/>
                <w:lang w:val="en-GB"/>
              </w:rPr>
              <w:t>ake</w:t>
            </w:r>
            <w:r w:rsidR="005B2D93">
              <w:rPr>
                <w:rFonts w:ascii="Times New Roman" w:hAnsi="Times New Roman" w:eastAsia="Times New Roman" w:cs="Times New Roman"/>
                <w:sz w:val="20"/>
                <w:szCs w:val="20"/>
                <w:lang w:val="en-GB"/>
              </w:rPr>
              <w:t>s</w:t>
            </w:r>
            <w:r w:rsidRPr="00D43D39">
              <w:rPr>
                <w:rFonts w:ascii="Times New Roman" w:hAnsi="Times New Roman" w:eastAsia="Times New Roman" w:cs="Times New Roman"/>
                <w:sz w:val="20"/>
                <w:szCs w:val="20"/>
                <w:lang w:val="en-GB"/>
              </w:rPr>
              <w:t xml:space="preserve"> into account the market structure of the reporting entity’s country (or other relevant market), and market shares reported in part </w:t>
            </w:r>
          </w:p>
          <w:p w:rsidR="0060155C" w:rsidP="0060155C" w:rsidRDefault="0060155C" w14:paraId="7CBEF084" w14:textId="5F7CCC77">
            <w:pPr>
              <w:spacing w:line="276" w:lineRule="auto"/>
              <w:jc w:val="both"/>
              <w:rPr>
                <w:rFonts w:ascii="Times New Roman" w:hAnsi="Times New Roman" w:eastAsia="Times New Roman" w:cs="Times New Roman"/>
                <w:sz w:val="20"/>
                <w:szCs w:val="20"/>
                <w:lang w:val="en-GB"/>
              </w:rPr>
            </w:pPr>
            <w:r w:rsidRPr="00D43D39">
              <w:rPr>
                <w:rFonts w:ascii="Times New Roman" w:hAnsi="Times New Roman" w:eastAsia="Times New Roman" w:cs="Times New Roman"/>
                <w:sz w:val="20"/>
                <w:szCs w:val="20"/>
                <w:lang w:val="en-GB"/>
              </w:rPr>
              <w:t>2.Quantitative data:</w:t>
            </w:r>
          </w:p>
          <w:p w:rsidRPr="00CB3292" w:rsidR="00177ED9" w:rsidP="00177ED9" w:rsidRDefault="00177ED9" w14:paraId="4B75ABF8" w14:textId="77777777">
            <w:pPr>
              <w:pStyle w:val="ListParagraph"/>
              <w:numPr>
                <w:ilvl w:val="0"/>
                <w:numId w:val="117"/>
              </w:numPr>
              <w:spacing w:line="276" w:lineRule="auto"/>
              <w:jc w:val="both"/>
              <w:rPr>
                <w:rFonts w:ascii="Times New Roman" w:hAnsi="Times New Roman" w:eastAsia="Times New Roman"/>
                <w:i/>
                <w:iCs/>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 xml:space="preserve">national </w:t>
            </w:r>
            <w:r w:rsidRPr="00D43D39">
              <w:rPr>
                <w:rFonts w:ascii="Times New Roman" w:hAnsi="Times New Roman" w:eastAsia="Times New Roman"/>
                <w:sz w:val="20"/>
                <w:szCs w:val="20"/>
              </w:rPr>
              <w:t>market share (reported in c0020, except in cases where the report is provided for a different relevant market level, in which case an assessment of the relevant market share is expected).</w:t>
            </w:r>
          </w:p>
          <w:p w:rsidRPr="00D43D39" w:rsidR="005B2D93" w:rsidP="0060155C" w:rsidRDefault="005B2D93" w14:paraId="51BCE6CB" w14:textId="77777777">
            <w:pPr>
              <w:spacing w:line="276" w:lineRule="auto"/>
              <w:jc w:val="both"/>
              <w:rPr>
                <w:rFonts w:ascii="Times New Roman" w:hAnsi="Times New Roman" w:eastAsia="Times New Roman" w:cs="Times New Roman"/>
                <w:sz w:val="20"/>
                <w:szCs w:val="20"/>
                <w:lang w:val="en-GB"/>
              </w:rPr>
            </w:pPr>
          </w:p>
          <w:p w:rsidRPr="00D43D39" w:rsidR="0060155C" w:rsidP="001E587F" w:rsidRDefault="0060155C" w14:paraId="092EDAB0" w14:textId="4B193769">
            <w:pPr>
              <w:pStyle w:val="TableParagraph"/>
              <w:spacing w:before="108"/>
              <w:ind w:left="85"/>
              <w:jc w:val="both"/>
              <w:rPr>
                <w:rFonts w:ascii="Times New Roman" w:hAnsi="Times New Roman" w:cs="Times New Roman"/>
                <w:b/>
                <w:bCs/>
                <w:color w:val="000000" w:themeColor="text1"/>
                <w:sz w:val="20"/>
                <w:szCs w:val="20"/>
                <w:lang w:val="en-GB"/>
              </w:rPr>
            </w:pPr>
          </w:p>
        </w:tc>
      </w:tr>
      <w:tr w:rsidRPr="00D43D39" w:rsidR="0060155C" w:rsidTr="001E587F" w14:paraId="6104B22E" w14:textId="77777777">
        <w:tc>
          <w:tcPr>
            <w:tcW w:w="1080" w:type="dxa"/>
            <w:tcBorders>
              <w:top w:val="single" w:color="1A171C" w:sz="4" w:space="0"/>
              <w:left w:val="nil"/>
              <w:bottom w:val="single" w:color="1A171C" w:sz="4" w:space="0"/>
              <w:right w:val="single" w:color="1A171C" w:sz="4" w:space="0"/>
            </w:tcBorders>
            <w:vAlign w:val="center"/>
          </w:tcPr>
          <w:p w:rsidRPr="00D43D39" w:rsidR="0060155C" w:rsidRDefault="0060155C" w14:paraId="59359417" w14:textId="1794E00D">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0150</w:t>
            </w:r>
          </w:p>
        </w:tc>
        <w:tc>
          <w:tcPr>
            <w:tcW w:w="8003" w:type="dxa"/>
            <w:tcBorders>
              <w:top w:val="single" w:color="1A171C" w:sz="4" w:space="0"/>
              <w:left w:val="single" w:color="1A171C" w:sz="4" w:space="0"/>
              <w:bottom w:val="single" w:color="1A171C" w:sz="4" w:space="0"/>
              <w:right w:val="nil"/>
            </w:tcBorders>
            <w:vAlign w:val="center"/>
          </w:tcPr>
          <w:p w:rsidR="0060155C" w:rsidP="001E587F" w:rsidRDefault="0060155C" w14:paraId="773D4280" w14:textId="77777777">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Market Structure – Market concentration</w:t>
            </w:r>
          </w:p>
          <w:p w:rsidRPr="00CB3292" w:rsidR="0060155C" w:rsidP="0060155C" w:rsidRDefault="0060155C" w14:paraId="042D2602"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The market concentration, measured by the number of competitors currently performing </w:t>
            </w:r>
          </w:p>
          <w:p w:rsidRPr="00CB3292" w:rsidR="0060155C" w:rsidP="0060155C" w:rsidRDefault="0060155C" w14:paraId="5317D7CB"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similar economic functions and/or offering similar services on equal terms (i.e. to a </w:t>
            </w:r>
          </w:p>
          <w:p w:rsidRPr="00CB3292" w:rsidR="0060155C" w:rsidP="0060155C" w:rsidRDefault="0060155C" w14:paraId="54BE6202"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comparable extent and quality and at a comparable cost) that potentially take over </w:t>
            </w:r>
          </w:p>
          <w:p w:rsidRPr="00CB3292" w:rsidR="0060155C" w:rsidP="0060155C" w:rsidRDefault="0060155C" w14:paraId="26C2C9B5"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(part of) the clients and/or business of the reporting entity within a reasonable timeframe. </w:t>
            </w:r>
          </w:p>
          <w:p w:rsidR="005B2D93" w:rsidP="0060155C" w:rsidRDefault="0060155C" w14:paraId="1986737B"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This has to be reported in buckets, which are the same for each sub-function </w:t>
            </w:r>
          </w:p>
          <w:p w:rsidRPr="005F5507" w:rsidR="005B2D93" w:rsidP="005F5507" w:rsidRDefault="0060155C" w14:paraId="31E2392B" w14:textId="77777777">
            <w:pPr>
              <w:pStyle w:val="ListParagraph"/>
              <w:numPr>
                <w:ilvl w:val="0"/>
                <w:numId w:val="277"/>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L: ≥20; </w:t>
            </w:r>
          </w:p>
          <w:p w:rsidRPr="005F5507" w:rsidR="005B2D93" w:rsidP="005F5507" w:rsidRDefault="0060155C" w14:paraId="6829F052" w14:textId="01FFD1CE">
            <w:pPr>
              <w:pStyle w:val="ListParagraph"/>
              <w:numPr>
                <w:ilvl w:val="0"/>
                <w:numId w:val="277"/>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ML: </w:t>
            </w:r>
            <w:r w:rsidRPr="005F5507" w:rsidR="005B2D93">
              <w:rPr>
                <w:rFonts w:ascii="Times New Roman" w:hAnsi="Times New Roman" w:eastAsia="Times New Roman"/>
                <w:sz w:val="20"/>
                <w:szCs w:val="20"/>
              </w:rPr>
              <w:t>(</w:t>
            </w:r>
            <w:r w:rsidRPr="005F5507">
              <w:rPr>
                <w:rFonts w:ascii="Times New Roman" w:hAnsi="Times New Roman" w:eastAsia="Times New Roman"/>
                <w:sz w:val="20"/>
                <w:szCs w:val="20"/>
              </w:rPr>
              <w:t xml:space="preserve">10-20); </w:t>
            </w:r>
          </w:p>
          <w:p w:rsidRPr="005F5507" w:rsidR="005B2D93" w:rsidP="005F5507" w:rsidRDefault="0060155C" w14:paraId="0FE2830B" w14:textId="77777777">
            <w:pPr>
              <w:pStyle w:val="ListParagraph"/>
              <w:numPr>
                <w:ilvl w:val="0"/>
                <w:numId w:val="277"/>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MH: </w:t>
            </w:r>
            <w:r w:rsidRPr="005F5507" w:rsidR="005B2D93">
              <w:rPr>
                <w:rFonts w:ascii="Times New Roman" w:hAnsi="Times New Roman" w:eastAsia="Times New Roman"/>
                <w:sz w:val="20"/>
                <w:szCs w:val="20"/>
              </w:rPr>
              <w:t>(</w:t>
            </w:r>
            <w:r w:rsidRPr="005F5507">
              <w:rPr>
                <w:rFonts w:ascii="Times New Roman" w:hAnsi="Times New Roman" w:eastAsia="Times New Roman"/>
                <w:sz w:val="20"/>
                <w:szCs w:val="20"/>
              </w:rPr>
              <w:t xml:space="preserve">5-10), </w:t>
            </w:r>
          </w:p>
          <w:p w:rsidRPr="005F5507" w:rsidR="0060155C" w:rsidP="00E81894" w:rsidRDefault="0060155C" w14:paraId="657A31B0" w14:textId="77777777">
            <w:pPr>
              <w:pStyle w:val="ListParagraph"/>
              <w:numPr>
                <w:ilvl w:val="0"/>
                <w:numId w:val="277"/>
              </w:numPr>
              <w:jc w:val="both"/>
              <w:rPr>
                <w:rFonts w:ascii="Times New Roman" w:hAnsi="Times New Roman"/>
                <w:b/>
                <w:bCs/>
                <w:color w:val="000000" w:themeColor="text1"/>
                <w:sz w:val="20"/>
                <w:szCs w:val="20"/>
              </w:rPr>
            </w:pPr>
            <w:r w:rsidRPr="005F5507">
              <w:rPr>
                <w:rFonts w:ascii="Times New Roman" w:hAnsi="Times New Roman" w:eastAsia="Times New Roman"/>
                <w:sz w:val="20"/>
                <w:szCs w:val="20"/>
              </w:rPr>
              <w:t>H: &lt;5</w:t>
            </w:r>
          </w:p>
          <w:p w:rsidRPr="005F5507" w:rsidR="00E81894" w:rsidP="005F5507" w:rsidRDefault="00E81894" w14:paraId="1BD113D1" w14:textId="77777777">
            <w:pPr>
              <w:ind w:left="360"/>
              <w:jc w:val="both"/>
              <w:rPr>
                <w:rFonts w:ascii="Times New Roman" w:hAnsi="Times New Roman" w:eastAsia="Times New Roman"/>
                <w:i/>
                <w:iCs/>
                <w:sz w:val="20"/>
                <w:szCs w:val="20"/>
              </w:rPr>
            </w:pPr>
            <w:r w:rsidRPr="005F5507">
              <w:rPr>
                <w:rFonts w:ascii="Times New Roman" w:hAnsi="Times New Roman" w:eastAsia="Times New Roman"/>
                <w:sz w:val="20"/>
                <w:szCs w:val="20"/>
              </w:rPr>
              <w:t xml:space="preserve">Expert judgement of the size of the </w:t>
            </w:r>
            <w:r w:rsidRPr="005F5507">
              <w:rPr>
                <w:rFonts w:ascii="Times New Roman" w:hAnsi="Times New Roman" w:eastAsia="Times New Roman"/>
                <w:b/>
                <w:bCs/>
                <w:sz w:val="20"/>
                <w:szCs w:val="20"/>
              </w:rPr>
              <w:t xml:space="preserve">national </w:t>
            </w:r>
            <w:r w:rsidRPr="005F5507">
              <w:rPr>
                <w:rFonts w:ascii="Times New Roman" w:hAnsi="Times New Roman" w:eastAsia="Times New Roman"/>
                <w:sz w:val="20"/>
                <w:szCs w:val="20"/>
              </w:rPr>
              <w:t>market share (reported in c0020, except in cases where the report is provided for a different relevant market level, in which case an assessment of the relevant market share is expected).</w:t>
            </w:r>
          </w:p>
          <w:p w:rsidRPr="005F5507" w:rsidR="00E81894" w:rsidP="005F5507" w:rsidRDefault="00E81894" w14:paraId="777F12E4" w14:textId="6C67CEEC">
            <w:pPr>
              <w:jc w:val="both"/>
              <w:rPr>
                <w:rFonts w:ascii="Times New Roman" w:hAnsi="Times New Roman"/>
                <w:b/>
                <w:bCs/>
                <w:color w:val="000000" w:themeColor="text1"/>
                <w:sz w:val="20"/>
                <w:szCs w:val="20"/>
              </w:rPr>
            </w:pPr>
          </w:p>
        </w:tc>
      </w:tr>
      <w:tr w:rsidRPr="00D43D39" w:rsidR="0060155C" w:rsidTr="001E587F" w14:paraId="7E8C567B" w14:textId="77777777">
        <w:tc>
          <w:tcPr>
            <w:tcW w:w="1080" w:type="dxa"/>
            <w:tcBorders>
              <w:top w:val="single" w:color="1A171C" w:sz="4" w:space="0"/>
              <w:left w:val="nil"/>
              <w:bottom w:val="single" w:color="1A171C" w:sz="4" w:space="0"/>
              <w:right w:val="single" w:color="1A171C" w:sz="4" w:space="0"/>
            </w:tcBorders>
            <w:vAlign w:val="center"/>
          </w:tcPr>
          <w:p w:rsidRPr="00D43D39" w:rsidR="0060155C" w:rsidRDefault="0060155C" w14:paraId="6F3D86F0" w14:textId="6F6E0AFB">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0160</w:t>
            </w:r>
          </w:p>
        </w:tc>
        <w:tc>
          <w:tcPr>
            <w:tcW w:w="8003" w:type="dxa"/>
            <w:tcBorders>
              <w:top w:val="single" w:color="1A171C" w:sz="4" w:space="0"/>
              <w:left w:val="single" w:color="1A171C" w:sz="4" w:space="0"/>
              <w:bottom w:val="single" w:color="1A171C" w:sz="4" w:space="0"/>
              <w:right w:val="nil"/>
            </w:tcBorders>
            <w:vAlign w:val="center"/>
          </w:tcPr>
          <w:p w:rsidRPr="005F5507" w:rsidR="0060155C" w:rsidP="0060155C" w:rsidRDefault="0060155C" w14:paraId="3EB19AE6" w14:textId="77777777">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Timing - </w:t>
            </w:r>
            <w:r w:rsidRPr="00177ED9">
              <w:rPr>
                <w:rFonts w:ascii="Times New Roman" w:hAnsi="Times New Roman" w:cs="Times New Roman"/>
                <w:b/>
                <w:bCs/>
                <w:color w:val="000000" w:themeColor="text1"/>
                <w:sz w:val="20"/>
                <w:szCs w:val="20"/>
                <w:lang w:val="en-GB"/>
              </w:rPr>
              <w:t>Expected time for substitution</w:t>
            </w:r>
          </w:p>
          <w:p w:rsidRPr="00CB3292" w:rsidR="0060155C" w:rsidP="0060155C" w:rsidRDefault="0060155C" w14:paraId="55C5F5F1" w14:textId="77777777">
            <w:pPr>
              <w:jc w:val="both"/>
              <w:rPr>
                <w:rFonts w:ascii="Times New Roman" w:hAnsi="Times New Roman" w:eastAsia="Times New Roman" w:cs="Times New Roman"/>
                <w:sz w:val="20"/>
                <w:szCs w:val="20"/>
                <w:lang w:val="en-GB"/>
              </w:rPr>
            </w:pPr>
            <w:r>
              <w:rPr>
                <w:rFonts w:ascii="Times New Roman" w:hAnsi="Times New Roman" w:eastAsia="Times New Roman" w:cs="Times New Roman"/>
                <w:sz w:val="20"/>
                <w:szCs w:val="20"/>
                <w:lang w:val="en-GB"/>
              </w:rPr>
              <w:t>E</w:t>
            </w:r>
            <w:r w:rsidRPr="00CB3292">
              <w:rPr>
                <w:rFonts w:ascii="Times New Roman" w:hAnsi="Times New Roman" w:eastAsia="Times New Roman" w:cs="Times New Roman"/>
                <w:sz w:val="20"/>
                <w:szCs w:val="20"/>
                <w:lang w:val="en-GB"/>
              </w:rPr>
              <w:t>stimate the time necessary for the economic function provided by the reporting</w:t>
            </w:r>
          </w:p>
          <w:p w:rsidRPr="00CB3292" w:rsidR="0060155C" w:rsidP="0060155C" w:rsidRDefault="0060155C" w14:paraId="2678F7F1"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entity to be absorbed by the market in a crisis situation. This includes: </w:t>
            </w:r>
          </w:p>
          <w:p w:rsidRPr="005F5507" w:rsidR="0060155C" w:rsidP="005F5507" w:rsidRDefault="0060155C" w14:paraId="0B26EC0D" w14:textId="1E7740D5">
            <w:pPr>
              <w:pStyle w:val="ListParagraph"/>
              <w:numPr>
                <w:ilvl w:val="0"/>
                <w:numId w:val="274"/>
              </w:numPr>
              <w:jc w:val="both"/>
              <w:rPr>
                <w:rFonts w:ascii="Times New Roman" w:hAnsi="Times New Roman" w:eastAsia="Times New Roman"/>
                <w:sz w:val="20"/>
                <w:szCs w:val="20"/>
              </w:rPr>
            </w:pPr>
            <w:r w:rsidRPr="005F5507">
              <w:rPr>
                <w:rFonts w:ascii="Times New Roman" w:hAnsi="Times New Roman" w:eastAsia="Times New Roman"/>
                <w:sz w:val="20"/>
                <w:szCs w:val="20"/>
              </w:rPr>
              <w:t>the expected time needed by one or several competitor(s) to accomplish the legal</w:t>
            </w:r>
            <w:r w:rsidRPr="005F5507" w:rsidR="005B2D93">
              <w:rPr>
                <w:rFonts w:ascii="Times New Roman" w:hAnsi="Times New Roman" w:eastAsia="Times New Roman"/>
                <w:sz w:val="20"/>
                <w:szCs w:val="20"/>
              </w:rPr>
              <w:t xml:space="preserve"> </w:t>
            </w:r>
            <w:r w:rsidRPr="005F5507">
              <w:rPr>
                <w:rFonts w:ascii="Times New Roman" w:hAnsi="Times New Roman" w:eastAsia="Times New Roman"/>
                <w:sz w:val="20"/>
                <w:szCs w:val="20"/>
              </w:rPr>
              <w:t xml:space="preserve">and technical steps to take over the function; as well as  </w:t>
            </w:r>
          </w:p>
          <w:p w:rsidRPr="005F5507" w:rsidR="0060155C" w:rsidP="005F5507" w:rsidRDefault="0060155C" w14:paraId="6F3A5456" w14:textId="4F734C55">
            <w:pPr>
              <w:pStyle w:val="ListParagraph"/>
              <w:numPr>
                <w:ilvl w:val="0"/>
                <w:numId w:val="274"/>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the time required by users of the service to move to another service provider. </w:t>
            </w:r>
          </w:p>
          <w:p w:rsidRPr="00CB3292" w:rsidR="0060155C" w:rsidP="0060155C" w:rsidRDefault="0060155C" w14:paraId="2BC24820" w14:textId="77777777">
            <w:pPr>
              <w:jc w:val="both"/>
              <w:rPr>
                <w:rFonts w:ascii="Times New Roman" w:hAnsi="Times New Roman" w:eastAsia="Times New Roman" w:cs="Times New Roman"/>
                <w:sz w:val="20"/>
                <w:szCs w:val="20"/>
                <w:lang w:val="en-GB"/>
              </w:rPr>
            </w:pPr>
          </w:p>
          <w:p w:rsidR="0060155C" w:rsidP="005B2D93" w:rsidRDefault="0060155C" w14:paraId="554B3E0E" w14:textId="1E88D6BF">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For deposits, it</w:t>
            </w:r>
            <w:r w:rsidR="005B2D93">
              <w:rPr>
                <w:rFonts w:ascii="Times New Roman" w:hAnsi="Times New Roman" w:eastAsia="Times New Roman" w:cs="Times New Roman"/>
                <w:sz w:val="20"/>
                <w:szCs w:val="20"/>
                <w:lang w:val="en-GB"/>
              </w:rPr>
              <w:t xml:space="preserve"> </w:t>
            </w:r>
            <w:r w:rsidRPr="00CB3292">
              <w:rPr>
                <w:rFonts w:ascii="Times New Roman" w:hAnsi="Times New Roman" w:eastAsia="Times New Roman" w:cs="Times New Roman"/>
                <w:sz w:val="20"/>
                <w:szCs w:val="20"/>
                <w:lang w:val="en-GB"/>
              </w:rPr>
              <w:t>mainly concerns the financial, operational and technical capacity of alternative providers</w:t>
            </w:r>
            <w:r w:rsidR="005B2D93">
              <w:rPr>
                <w:rFonts w:ascii="Times New Roman" w:hAnsi="Times New Roman" w:eastAsia="Times New Roman" w:cs="Times New Roman"/>
                <w:sz w:val="20"/>
                <w:szCs w:val="20"/>
                <w:lang w:val="en-GB"/>
              </w:rPr>
              <w:t xml:space="preserve"> </w:t>
            </w:r>
            <w:r w:rsidRPr="00CB3292">
              <w:rPr>
                <w:rFonts w:ascii="Times New Roman" w:hAnsi="Times New Roman" w:eastAsia="Times New Roman" w:cs="Times New Roman"/>
                <w:sz w:val="20"/>
                <w:szCs w:val="20"/>
                <w:lang w:val="en-GB"/>
              </w:rPr>
              <w:t>to offer deposit-taking services to the reporting bank’s customers and not the transfer of</w:t>
            </w:r>
            <w:r w:rsidR="005B2D93">
              <w:rPr>
                <w:rFonts w:ascii="Times New Roman" w:hAnsi="Times New Roman" w:eastAsia="Times New Roman" w:cs="Times New Roman"/>
                <w:sz w:val="20"/>
                <w:szCs w:val="20"/>
                <w:lang w:val="en-GB"/>
              </w:rPr>
              <w:t xml:space="preserve"> </w:t>
            </w:r>
            <w:r w:rsidRPr="00CB3292">
              <w:rPr>
                <w:rFonts w:ascii="Times New Roman" w:hAnsi="Times New Roman" w:eastAsia="Times New Roman" w:cs="Times New Roman"/>
                <w:sz w:val="20"/>
                <w:szCs w:val="20"/>
                <w:lang w:val="en-GB"/>
              </w:rPr>
              <w:t>the deposits to another provider as the consequence of an act by an authority or the</w:t>
            </w:r>
            <w:r w:rsidR="005B2D93">
              <w:rPr>
                <w:rFonts w:ascii="Times New Roman" w:hAnsi="Times New Roman" w:eastAsia="Times New Roman" w:cs="Times New Roman"/>
                <w:sz w:val="20"/>
                <w:szCs w:val="20"/>
                <w:lang w:val="en-GB"/>
              </w:rPr>
              <w:t xml:space="preserve"> </w:t>
            </w:r>
            <w:r w:rsidRPr="00CB3292">
              <w:rPr>
                <w:rFonts w:ascii="Times New Roman" w:hAnsi="Times New Roman" w:eastAsia="Times New Roman" w:cs="Times New Roman"/>
                <w:sz w:val="20"/>
                <w:szCs w:val="20"/>
                <w:lang w:val="en-GB"/>
              </w:rPr>
              <w:t xml:space="preserve">receipt of compensation from the DGS. </w:t>
            </w:r>
          </w:p>
          <w:p w:rsidRPr="00CB3292" w:rsidR="005B2D93" w:rsidRDefault="005B2D93" w14:paraId="232F538E" w14:textId="77777777">
            <w:pPr>
              <w:jc w:val="both"/>
              <w:rPr>
                <w:rFonts w:ascii="Times New Roman" w:hAnsi="Times New Roman" w:eastAsia="Times New Roman" w:cs="Times New Roman"/>
                <w:sz w:val="20"/>
                <w:szCs w:val="20"/>
                <w:lang w:val="en-GB"/>
              </w:rPr>
            </w:pPr>
          </w:p>
          <w:p w:rsidR="0060155C" w:rsidP="005B2D93" w:rsidRDefault="0060155C" w14:paraId="20966E27" w14:textId="24E7E538">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As a proxy for the former, </w:t>
            </w:r>
            <w:r w:rsidR="005B2D93">
              <w:rPr>
                <w:rFonts w:ascii="Times New Roman" w:hAnsi="Times New Roman" w:eastAsia="Times New Roman" w:cs="Times New Roman"/>
                <w:sz w:val="20"/>
                <w:szCs w:val="20"/>
                <w:lang w:val="en-GB"/>
              </w:rPr>
              <w:t>p</w:t>
            </w:r>
            <w:r w:rsidRPr="00CB3292">
              <w:rPr>
                <w:rFonts w:ascii="Times New Roman" w:hAnsi="Times New Roman" w:eastAsia="Times New Roman" w:cs="Times New Roman"/>
                <w:sz w:val="20"/>
                <w:szCs w:val="20"/>
                <w:lang w:val="en-GB"/>
              </w:rPr>
              <w:t xml:space="preserve">rovide an estimate of the time it would take </w:t>
            </w:r>
            <w:r w:rsidR="005B2D93">
              <w:rPr>
                <w:rFonts w:ascii="Times New Roman" w:hAnsi="Times New Roman" w:eastAsia="Times New Roman" w:cs="Times New Roman"/>
                <w:sz w:val="20"/>
                <w:szCs w:val="20"/>
                <w:lang w:val="en-GB"/>
              </w:rPr>
              <w:t xml:space="preserve">the reporting entity </w:t>
            </w:r>
            <w:r w:rsidRPr="00CB3292">
              <w:rPr>
                <w:rFonts w:ascii="Times New Roman" w:hAnsi="Times New Roman" w:eastAsia="Times New Roman" w:cs="Times New Roman"/>
                <w:sz w:val="20"/>
                <w:szCs w:val="20"/>
                <w:lang w:val="en-GB"/>
              </w:rPr>
              <w:t>to</w:t>
            </w:r>
            <w:r w:rsidR="005B2D93">
              <w:rPr>
                <w:rFonts w:ascii="Times New Roman" w:hAnsi="Times New Roman" w:eastAsia="Times New Roman" w:cs="Times New Roman"/>
                <w:sz w:val="20"/>
                <w:szCs w:val="20"/>
                <w:lang w:val="en-GB"/>
              </w:rPr>
              <w:t xml:space="preserve"> </w:t>
            </w:r>
            <w:r w:rsidRPr="00CB3292">
              <w:rPr>
                <w:rFonts w:ascii="Times New Roman" w:hAnsi="Times New Roman" w:eastAsia="Times New Roman" w:cs="Times New Roman"/>
                <w:sz w:val="20"/>
                <w:szCs w:val="20"/>
                <w:lang w:val="en-GB"/>
              </w:rPr>
              <w:t xml:space="preserve">absorb in </w:t>
            </w:r>
            <w:r w:rsidR="005B2D93">
              <w:rPr>
                <w:rFonts w:ascii="Times New Roman" w:hAnsi="Times New Roman" w:eastAsia="Times New Roman" w:cs="Times New Roman"/>
                <w:sz w:val="20"/>
                <w:szCs w:val="20"/>
                <w:lang w:val="en-GB"/>
              </w:rPr>
              <w:t>its</w:t>
            </w:r>
            <w:r w:rsidRPr="00CB3292">
              <w:rPr>
                <w:rFonts w:ascii="Times New Roman" w:hAnsi="Times New Roman" w:eastAsia="Times New Roman" w:cs="Times New Roman"/>
                <w:sz w:val="20"/>
                <w:szCs w:val="20"/>
                <w:lang w:val="en-GB"/>
              </w:rPr>
              <w:t xml:space="preserve"> own business (part of) the service provided by another institution, at a</w:t>
            </w:r>
            <w:r w:rsidR="005B2D93">
              <w:rPr>
                <w:rFonts w:ascii="Times New Roman" w:hAnsi="Times New Roman" w:eastAsia="Times New Roman" w:cs="Times New Roman"/>
                <w:sz w:val="20"/>
                <w:szCs w:val="20"/>
                <w:lang w:val="en-GB"/>
              </w:rPr>
              <w:t xml:space="preserve"> </w:t>
            </w:r>
            <w:r w:rsidRPr="00CB3292">
              <w:rPr>
                <w:rFonts w:ascii="Times New Roman" w:hAnsi="Times New Roman" w:eastAsia="Times New Roman" w:cs="Times New Roman"/>
                <w:sz w:val="20"/>
                <w:szCs w:val="20"/>
                <w:lang w:val="en-GB"/>
              </w:rPr>
              <w:t xml:space="preserve">reasonable cost, in a crisis situation. </w:t>
            </w:r>
            <w:r>
              <w:rPr>
                <w:rFonts w:ascii="Times New Roman" w:hAnsi="Times New Roman" w:eastAsia="Times New Roman" w:cs="Times New Roman"/>
                <w:sz w:val="20"/>
                <w:szCs w:val="20"/>
                <w:lang w:val="en-GB"/>
              </w:rPr>
              <w:t>R</w:t>
            </w:r>
            <w:r w:rsidRPr="00CB3292">
              <w:rPr>
                <w:rFonts w:ascii="Times New Roman" w:hAnsi="Times New Roman" w:eastAsia="Times New Roman" w:cs="Times New Roman"/>
                <w:sz w:val="20"/>
                <w:szCs w:val="20"/>
                <w:lang w:val="en-GB"/>
              </w:rPr>
              <w:t>eport the estimated time to substitution in</w:t>
            </w:r>
            <w:r>
              <w:rPr>
                <w:rFonts w:ascii="Times New Roman" w:hAnsi="Times New Roman" w:eastAsia="Times New Roman" w:cs="Times New Roman"/>
                <w:sz w:val="20"/>
                <w:szCs w:val="20"/>
                <w:lang w:val="en-GB"/>
              </w:rPr>
              <w:t xml:space="preserve"> </w:t>
            </w:r>
            <w:r w:rsidRPr="00CB3292">
              <w:rPr>
                <w:rFonts w:ascii="Times New Roman" w:hAnsi="Times New Roman" w:eastAsia="Times New Roman" w:cs="Times New Roman"/>
                <w:sz w:val="20"/>
                <w:szCs w:val="20"/>
                <w:lang w:val="en-GB"/>
              </w:rPr>
              <w:t>the buckets provided in the template:</w:t>
            </w:r>
          </w:p>
          <w:p w:rsidR="005B2D93" w:rsidP="005B2D93" w:rsidRDefault="005B2D93" w14:paraId="1FD13592" w14:textId="77777777">
            <w:pPr>
              <w:jc w:val="both"/>
              <w:rPr>
                <w:rFonts w:ascii="Times New Roman" w:hAnsi="Times New Roman" w:cs="Times New Roman"/>
                <w:color w:val="000000" w:themeColor="text1"/>
                <w:sz w:val="20"/>
                <w:szCs w:val="20"/>
                <w:lang w:val="en-GB"/>
              </w:rPr>
            </w:pPr>
          </w:p>
          <w:p w:rsidR="00177ED9" w:rsidP="00177ED9" w:rsidRDefault="00177ED9" w14:paraId="7CDE60C5"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Buckets: </w:t>
            </w:r>
          </w:p>
          <w:p w:rsidRPr="005F5507" w:rsidR="00177ED9" w:rsidP="005F5507" w:rsidRDefault="00177ED9" w14:paraId="1E786379" w14:textId="77777777">
            <w:pPr>
              <w:pStyle w:val="ListParagraph"/>
              <w:numPr>
                <w:ilvl w:val="0"/>
                <w:numId w:val="280"/>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L: &lt; 1 week; </w:t>
            </w:r>
          </w:p>
          <w:p w:rsidRPr="005F5507" w:rsidR="00177ED9" w:rsidP="005F5507" w:rsidRDefault="00177ED9" w14:paraId="37BE9FA1" w14:textId="77777777">
            <w:pPr>
              <w:pStyle w:val="ListParagraph"/>
              <w:numPr>
                <w:ilvl w:val="0"/>
                <w:numId w:val="280"/>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ML: [1 week-1 month]; </w:t>
            </w:r>
          </w:p>
          <w:p w:rsidRPr="005F5507" w:rsidR="00177ED9" w:rsidP="005F5507" w:rsidRDefault="00177ED9" w14:paraId="149E1D9B" w14:textId="77777777">
            <w:pPr>
              <w:pStyle w:val="ListParagraph"/>
              <w:numPr>
                <w:ilvl w:val="0"/>
                <w:numId w:val="280"/>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MH: [1-6 months], </w:t>
            </w:r>
          </w:p>
          <w:p w:rsidRPr="005F5507" w:rsidR="00177ED9" w:rsidP="005F5507" w:rsidRDefault="00177ED9" w14:paraId="0A05A0C8" w14:textId="26FEB623">
            <w:pPr>
              <w:pStyle w:val="ListParagraph"/>
              <w:numPr>
                <w:ilvl w:val="0"/>
                <w:numId w:val="280"/>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H: &gt;6 months  </w:t>
            </w:r>
          </w:p>
          <w:p w:rsidRPr="00CB3292" w:rsidR="00177ED9" w:rsidP="00177ED9" w:rsidRDefault="00177ED9" w14:paraId="14F5CB50" w14:textId="77777777">
            <w:pPr>
              <w:jc w:val="both"/>
              <w:rPr>
                <w:rFonts w:ascii="Times New Roman" w:hAnsi="Times New Roman" w:eastAsia="Times New Roman" w:cs="Times New Roman"/>
                <w:sz w:val="20"/>
                <w:szCs w:val="20"/>
                <w:lang w:val="en-GB"/>
              </w:rPr>
            </w:pPr>
          </w:p>
          <w:p w:rsidRPr="005F5507" w:rsidR="00177ED9" w:rsidP="005F5507" w:rsidRDefault="00177ED9" w14:paraId="266EAA69" w14:textId="7C53397C">
            <w:pPr>
              <w:jc w:val="both"/>
              <w:rPr>
                <w:rFonts w:ascii="Times New Roman" w:hAnsi="Times New Roman" w:cs="Times New Roman"/>
                <w:color w:val="000000" w:themeColor="text1"/>
                <w:sz w:val="20"/>
                <w:szCs w:val="20"/>
                <w:lang w:val="en-GB"/>
              </w:rPr>
            </w:pPr>
          </w:p>
        </w:tc>
      </w:tr>
      <w:tr w:rsidRPr="00D43D39" w:rsidR="0060155C" w:rsidTr="001E587F" w14:paraId="3DC9DF94" w14:textId="77777777">
        <w:tc>
          <w:tcPr>
            <w:tcW w:w="1080" w:type="dxa"/>
            <w:tcBorders>
              <w:top w:val="single" w:color="1A171C" w:sz="4" w:space="0"/>
              <w:left w:val="nil"/>
              <w:bottom w:val="single" w:color="1A171C" w:sz="4" w:space="0"/>
              <w:right w:val="single" w:color="1A171C" w:sz="4" w:space="0"/>
            </w:tcBorders>
            <w:vAlign w:val="center"/>
          </w:tcPr>
          <w:p w:rsidRPr="00D43D39" w:rsidR="0060155C" w:rsidRDefault="0060155C" w14:paraId="066B4F36" w14:textId="33B51461">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0170 - 0180</w:t>
            </w:r>
          </w:p>
        </w:tc>
        <w:tc>
          <w:tcPr>
            <w:tcW w:w="8003" w:type="dxa"/>
            <w:tcBorders>
              <w:top w:val="single" w:color="1A171C" w:sz="4" w:space="0"/>
              <w:left w:val="single" w:color="1A171C" w:sz="4" w:space="0"/>
              <w:bottom w:val="single" w:color="1A171C" w:sz="4" w:space="0"/>
              <w:right w:val="nil"/>
            </w:tcBorders>
            <w:vAlign w:val="center"/>
          </w:tcPr>
          <w:p w:rsidRPr="00D43D39" w:rsidR="0060155C" w:rsidP="001E587F" w:rsidRDefault="0060155C" w14:paraId="5DCA87D5" w14:textId="592D2E5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Ability for substitution</w:t>
            </w:r>
          </w:p>
        </w:tc>
      </w:tr>
      <w:tr w:rsidRPr="00D43D39" w:rsidR="0060155C" w:rsidTr="001E587F" w14:paraId="7E0E6CAA" w14:textId="77777777">
        <w:tc>
          <w:tcPr>
            <w:tcW w:w="1080" w:type="dxa"/>
            <w:tcBorders>
              <w:top w:val="single" w:color="1A171C" w:sz="4" w:space="0"/>
              <w:left w:val="nil"/>
              <w:bottom w:val="single" w:color="1A171C" w:sz="4" w:space="0"/>
              <w:right w:val="single" w:color="1A171C" w:sz="4" w:space="0"/>
            </w:tcBorders>
            <w:vAlign w:val="center"/>
          </w:tcPr>
          <w:p w:rsidRPr="00D43D39" w:rsidR="0060155C" w:rsidRDefault="0060155C" w14:paraId="180E4644" w14:textId="38832900">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0170</w:t>
            </w:r>
          </w:p>
        </w:tc>
        <w:tc>
          <w:tcPr>
            <w:tcW w:w="8003" w:type="dxa"/>
            <w:tcBorders>
              <w:top w:val="single" w:color="1A171C" w:sz="4" w:space="0"/>
              <w:left w:val="single" w:color="1A171C" w:sz="4" w:space="0"/>
              <w:bottom w:val="single" w:color="1A171C" w:sz="4" w:space="0"/>
              <w:right w:val="nil"/>
            </w:tcBorders>
            <w:vAlign w:val="center"/>
          </w:tcPr>
          <w:p w:rsidRPr="00D43D39" w:rsidR="0060155C" w:rsidP="0060155C" w:rsidRDefault="0060155C" w14:paraId="5014C008" w14:textId="77777777">
            <w:pPr>
              <w:jc w:val="both"/>
              <w:rPr>
                <w:rFonts w:ascii="Times New Roman" w:hAnsi="Times New Roman" w:eastAsia="Times New Roman" w:cs="Times New Roman"/>
                <w:b/>
                <w:bCs/>
                <w:color w:val="000000" w:themeColor="text1"/>
                <w:sz w:val="20"/>
                <w:szCs w:val="20"/>
                <w:lang w:val="en-GB"/>
              </w:rPr>
            </w:pPr>
            <w:r w:rsidRPr="00D43D39">
              <w:rPr>
                <w:rFonts w:ascii="Times New Roman" w:hAnsi="Times New Roman" w:eastAsia="Times New Roman" w:cs="Times New Roman"/>
                <w:b/>
                <w:bCs/>
                <w:color w:val="000000" w:themeColor="text1"/>
                <w:sz w:val="20"/>
                <w:szCs w:val="20"/>
                <w:lang w:val="en-GB"/>
              </w:rPr>
              <w:t>Legal barriers to entry or expansion</w:t>
            </w:r>
          </w:p>
          <w:p w:rsidRPr="00D43D39" w:rsidR="0060155C" w:rsidP="0060155C" w:rsidRDefault="0060155C" w14:paraId="4717D85C" w14:textId="77777777">
            <w:pPr>
              <w:jc w:val="both"/>
              <w:rPr>
                <w:rFonts w:ascii="Times New Roman" w:hAnsi="Times New Roman" w:eastAsia="Times New Roman" w:cs="Times New Roman"/>
                <w:b/>
                <w:bCs/>
                <w:color w:val="000000" w:themeColor="text1"/>
                <w:sz w:val="20"/>
                <w:szCs w:val="20"/>
                <w:lang w:val="en-GB"/>
              </w:rPr>
            </w:pPr>
          </w:p>
          <w:p w:rsidR="005B2D93" w:rsidP="0060155C" w:rsidRDefault="0060155C" w14:paraId="68501147" w14:textId="74A1FC2E">
            <w:pPr>
              <w:jc w:val="both"/>
              <w:rPr>
                <w:rFonts w:ascii="Times New Roman" w:hAnsi="Times New Roman" w:eastAsia="Times New Roman" w:cs="Times New Roman"/>
                <w:color w:val="000000" w:themeColor="text1"/>
                <w:sz w:val="20"/>
                <w:szCs w:val="20"/>
                <w:lang w:val="en-GB"/>
              </w:rPr>
            </w:pPr>
            <w:r w:rsidRPr="00D43D39">
              <w:rPr>
                <w:rFonts w:ascii="Times New Roman" w:hAnsi="Times New Roman" w:eastAsia="Times New Roman" w:cs="Times New Roman"/>
                <w:color w:val="000000" w:themeColor="text1"/>
                <w:sz w:val="20"/>
                <w:szCs w:val="20"/>
                <w:lang w:val="en-GB"/>
              </w:rPr>
              <w:t>Legal barriers for competitors to offer the service. Legal requirements for performing the</w:t>
            </w:r>
            <w:r w:rsidR="005B2D93">
              <w:rPr>
                <w:rFonts w:ascii="Times New Roman" w:hAnsi="Times New Roman" w:eastAsia="Times New Roman" w:cs="Times New Roman"/>
                <w:color w:val="000000" w:themeColor="text1"/>
                <w:sz w:val="20"/>
                <w:szCs w:val="20"/>
                <w:lang w:val="en-GB"/>
              </w:rPr>
              <w:t xml:space="preserve"> </w:t>
            </w:r>
            <w:r w:rsidRPr="00D43D39">
              <w:rPr>
                <w:rFonts w:ascii="Times New Roman" w:hAnsi="Times New Roman" w:eastAsia="Times New Roman" w:cs="Times New Roman"/>
                <w:color w:val="000000" w:themeColor="text1"/>
                <w:sz w:val="20"/>
                <w:szCs w:val="20"/>
                <w:lang w:val="en-GB"/>
              </w:rPr>
              <w:t xml:space="preserve">business of credit institutions (e.g. banking licences or capital requirements) </w:t>
            </w:r>
            <w:r w:rsidR="00AF1118">
              <w:rPr>
                <w:rFonts w:ascii="Times New Roman" w:hAnsi="Times New Roman" w:eastAsia="Times New Roman" w:cs="Times New Roman"/>
                <w:color w:val="000000" w:themeColor="text1"/>
                <w:sz w:val="20"/>
                <w:szCs w:val="20"/>
                <w:lang w:val="en-GB"/>
              </w:rPr>
              <w:t>are</w:t>
            </w:r>
            <w:r w:rsidRPr="00D43D39">
              <w:rPr>
                <w:rFonts w:ascii="Times New Roman" w:hAnsi="Times New Roman" w:eastAsia="Times New Roman" w:cs="Times New Roman"/>
                <w:color w:val="000000" w:themeColor="text1"/>
                <w:sz w:val="20"/>
                <w:szCs w:val="20"/>
                <w:lang w:val="en-GB"/>
              </w:rPr>
              <w:t xml:space="preserve"> not </w:t>
            </w:r>
            <w:r w:rsidR="00AF1118">
              <w:rPr>
                <w:rFonts w:ascii="Times New Roman" w:hAnsi="Times New Roman" w:eastAsia="Times New Roman" w:cs="Times New Roman"/>
                <w:color w:val="000000" w:themeColor="text1"/>
                <w:sz w:val="20"/>
                <w:szCs w:val="20"/>
                <w:lang w:val="en-GB"/>
              </w:rPr>
              <w:t>to</w:t>
            </w:r>
            <w:r w:rsidR="005B2D93">
              <w:rPr>
                <w:rFonts w:ascii="Times New Roman" w:hAnsi="Times New Roman" w:eastAsia="Times New Roman" w:cs="Times New Roman"/>
                <w:color w:val="000000" w:themeColor="text1"/>
                <w:sz w:val="20"/>
                <w:szCs w:val="20"/>
                <w:lang w:val="en-GB"/>
              </w:rPr>
              <w:t xml:space="preserve"> </w:t>
            </w:r>
            <w:r w:rsidRPr="00D43D39">
              <w:rPr>
                <w:rFonts w:ascii="Times New Roman" w:hAnsi="Times New Roman" w:eastAsia="Times New Roman" w:cs="Times New Roman"/>
                <w:color w:val="000000" w:themeColor="text1"/>
                <w:sz w:val="20"/>
                <w:szCs w:val="20"/>
                <w:lang w:val="en-GB"/>
              </w:rPr>
              <w:t xml:space="preserve">be considered as </w:t>
            </w:r>
            <w:r w:rsidRPr="00D43D39">
              <w:rPr>
                <w:rFonts w:ascii="Times New Roman" w:hAnsi="Times New Roman" w:eastAsia="Times New Roman" w:cs="Times New Roman"/>
                <w:color w:val="000000" w:themeColor="text1"/>
                <w:sz w:val="20"/>
                <w:szCs w:val="20"/>
                <w:lang w:val="en-GB"/>
              </w:rPr>
              <w:t xml:space="preserve">unsurmountable barriers in the presence of alternative providers. This indicator has to be reported in buckets, which are the same for each sub-function: </w:t>
            </w:r>
          </w:p>
          <w:p w:rsidRPr="005F5507" w:rsidR="005B2D93" w:rsidP="005F5507" w:rsidRDefault="0060155C" w14:paraId="270C7C52" w14:textId="77777777">
            <w:pPr>
              <w:pStyle w:val="ListParagraph"/>
              <w:numPr>
                <w:ilvl w:val="0"/>
                <w:numId w:val="275"/>
              </w:numPr>
              <w:jc w:val="both"/>
              <w:rPr>
                <w:rFonts w:ascii="Times New Roman" w:hAnsi="Times New Roman" w:eastAsia="Times New Roman"/>
                <w:color w:val="000000" w:themeColor="text1"/>
                <w:sz w:val="20"/>
                <w:szCs w:val="20"/>
              </w:rPr>
            </w:pPr>
            <w:r w:rsidRPr="005F5507">
              <w:rPr>
                <w:rFonts w:ascii="Times New Roman" w:hAnsi="Times New Roman" w:eastAsia="Times New Roman"/>
                <w:color w:val="000000" w:themeColor="text1"/>
                <w:sz w:val="20"/>
                <w:szCs w:val="20"/>
              </w:rPr>
              <w:t xml:space="preserve">L: no major barriers, </w:t>
            </w:r>
          </w:p>
          <w:p w:rsidRPr="005F5507" w:rsidR="005B2D93" w:rsidP="005F5507" w:rsidRDefault="0060155C" w14:paraId="0EE6D24C" w14:textId="77777777">
            <w:pPr>
              <w:pStyle w:val="ListParagraph"/>
              <w:numPr>
                <w:ilvl w:val="0"/>
                <w:numId w:val="275"/>
              </w:numPr>
              <w:jc w:val="both"/>
              <w:rPr>
                <w:rFonts w:ascii="Times New Roman" w:hAnsi="Times New Roman" w:eastAsia="Times New Roman"/>
                <w:color w:val="000000" w:themeColor="text1"/>
                <w:sz w:val="20"/>
                <w:szCs w:val="20"/>
              </w:rPr>
            </w:pPr>
            <w:r w:rsidRPr="005F5507">
              <w:rPr>
                <w:rFonts w:ascii="Times New Roman" w:hAnsi="Times New Roman" w:eastAsia="Times New Roman"/>
                <w:color w:val="000000" w:themeColor="text1"/>
                <w:sz w:val="20"/>
                <w:szCs w:val="20"/>
              </w:rPr>
              <w:t xml:space="preserve">ML: some barriers, </w:t>
            </w:r>
          </w:p>
          <w:p w:rsidRPr="005F5507" w:rsidR="005B2D93" w:rsidP="005F5507" w:rsidRDefault="0060155C" w14:paraId="533F9AFA" w14:textId="77777777">
            <w:pPr>
              <w:pStyle w:val="ListParagraph"/>
              <w:numPr>
                <w:ilvl w:val="0"/>
                <w:numId w:val="275"/>
              </w:numPr>
              <w:jc w:val="both"/>
              <w:rPr>
                <w:rFonts w:ascii="Times New Roman" w:hAnsi="Times New Roman" w:eastAsia="Times New Roman"/>
                <w:color w:val="000000" w:themeColor="text1"/>
                <w:sz w:val="20"/>
                <w:szCs w:val="20"/>
              </w:rPr>
            </w:pPr>
            <w:r w:rsidRPr="005F5507">
              <w:rPr>
                <w:rFonts w:ascii="Times New Roman" w:hAnsi="Times New Roman" w:eastAsia="Times New Roman"/>
                <w:color w:val="000000" w:themeColor="text1"/>
                <w:sz w:val="20"/>
                <w:szCs w:val="20"/>
              </w:rPr>
              <w:t xml:space="preserve">MH: substantial (but surmountable) barriers, </w:t>
            </w:r>
          </w:p>
          <w:p w:rsidRPr="005F5507" w:rsidR="0060155C" w:rsidP="005F5507" w:rsidRDefault="0060155C" w14:paraId="27802833" w14:textId="481E7371">
            <w:pPr>
              <w:pStyle w:val="ListParagraph"/>
              <w:numPr>
                <w:ilvl w:val="0"/>
                <w:numId w:val="275"/>
              </w:numPr>
              <w:jc w:val="both"/>
              <w:rPr>
                <w:rFonts w:ascii="Times New Roman" w:hAnsi="Times New Roman" w:eastAsia="Times New Roman"/>
                <w:color w:val="000000" w:themeColor="text1"/>
                <w:sz w:val="20"/>
                <w:szCs w:val="20"/>
              </w:rPr>
            </w:pPr>
            <w:r w:rsidRPr="005F5507">
              <w:rPr>
                <w:rFonts w:ascii="Times New Roman" w:hAnsi="Times New Roman" w:eastAsia="Times New Roman"/>
                <w:color w:val="000000" w:themeColor="text1"/>
                <w:sz w:val="20"/>
                <w:szCs w:val="20"/>
              </w:rPr>
              <w:t xml:space="preserve">H: critical </w:t>
            </w:r>
          </w:p>
          <w:p w:rsidRPr="00D43D39" w:rsidR="0060155C" w:rsidP="0060155C" w:rsidRDefault="0060155C" w14:paraId="76AA4B0F" w14:textId="7A92F8BA">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eastAsia="Times New Roman" w:cs="Times New Roman"/>
                <w:color w:val="000000" w:themeColor="text1"/>
                <w:sz w:val="20"/>
                <w:szCs w:val="20"/>
                <w:lang w:val="en-GB"/>
              </w:rPr>
              <w:t>(difficult to surmount) barriers.</w:t>
            </w:r>
          </w:p>
        </w:tc>
      </w:tr>
      <w:tr w:rsidRPr="00D43D39" w:rsidR="0060155C" w:rsidTr="005F5507" w14:paraId="0B3AC99A" w14:textId="77777777">
        <w:tc>
          <w:tcPr>
            <w:tcW w:w="1080" w:type="dxa"/>
            <w:tcBorders>
              <w:top w:val="single" w:color="1A171C" w:sz="4" w:space="0"/>
              <w:left w:val="nil"/>
              <w:bottom w:val="single" w:color="1A171C" w:sz="4" w:space="0"/>
              <w:right w:val="single" w:color="1A171C" w:sz="4" w:space="0"/>
            </w:tcBorders>
            <w:vAlign w:val="center"/>
          </w:tcPr>
          <w:p w:rsidR="0060155C" w:rsidP="0060155C" w:rsidRDefault="0060155C" w14:paraId="66EBC9C1" w14:textId="22F0B07F">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0180</w:t>
            </w:r>
          </w:p>
        </w:tc>
        <w:tc>
          <w:tcPr>
            <w:tcW w:w="8003" w:type="dxa"/>
            <w:tcBorders>
              <w:top w:val="single" w:color="1A171C" w:sz="4" w:space="0"/>
              <w:left w:val="single" w:color="1A171C" w:sz="4" w:space="0"/>
              <w:bottom w:val="single" w:color="1A171C" w:sz="4" w:space="0"/>
              <w:right w:val="nil"/>
            </w:tcBorders>
          </w:tcPr>
          <w:p w:rsidRPr="00D43D39" w:rsidR="0060155C" w:rsidP="0060155C" w:rsidRDefault="0060155C" w14:paraId="34B3F69E" w14:textId="77777777">
            <w:pPr>
              <w:jc w:val="both"/>
              <w:rPr>
                <w:rFonts w:ascii="Times New Roman" w:hAnsi="Times New Roman" w:eastAsia="Times New Roman" w:cs="Times New Roman"/>
                <w:b/>
                <w:bCs/>
                <w:color w:val="000000" w:themeColor="text1"/>
                <w:sz w:val="20"/>
                <w:szCs w:val="20"/>
                <w:lang w:val="en-GB"/>
              </w:rPr>
            </w:pPr>
            <w:r w:rsidRPr="00D43D39">
              <w:rPr>
                <w:rFonts w:ascii="Times New Roman" w:hAnsi="Times New Roman" w:eastAsia="Times New Roman" w:cs="Times New Roman"/>
                <w:b/>
                <w:bCs/>
                <w:color w:val="000000" w:themeColor="text1"/>
                <w:sz w:val="20"/>
                <w:szCs w:val="20"/>
                <w:lang w:val="en-GB"/>
              </w:rPr>
              <w:t>Operational requirements to entry or expansion</w:t>
            </w:r>
          </w:p>
          <w:p w:rsidRPr="00D43D39" w:rsidR="0060155C" w:rsidP="0060155C" w:rsidRDefault="0060155C" w14:paraId="7708CB62" w14:textId="77777777">
            <w:pPr>
              <w:jc w:val="both"/>
              <w:rPr>
                <w:rFonts w:ascii="Times New Roman" w:hAnsi="Times New Roman" w:eastAsia="Times New Roman" w:cs="Times New Roman"/>
                <w:b/>
                <w:bCs/>
                <w:color w:val="000000" w:themeColor="text1"/>
                <w:sz w:val="20"/>
                <w:szCs w:val="20"/>
                <w:lang w:val="en-GB"/>
              </w:rPr>
            </w:pPr>
          </w:p>
          <w:p w:rsidR="005B2D93" w:rsidP="0060155C" w:rsidRDefault="0060155C" w14:paraId="168B4FC0" w14:textId="5C7AD3A5">
            <w:pPr>
              <w:jc w:val="both"/>
              <w:rPr>
                <w:rFonts w:ascii="Times New Roman" w:hAnsi="Times New Roman" w:eastAsia="Times New Roman" w:cs="Times New Roman"/>
                <w:color w:val="000000" w:themeColor="text1"/>
                <w:sz w:val="20"/>
                <w:szCs w:val="20"/>
                <w:lang w:val="en-GB"/>
              </w:rPr>
            </w:pPr>
            <w:r w:rsidRPr="00D43D39">
              <w:rPr>
                <w:rFonts w:ascii="Times New Roman" w:hAnsi="Times New Roman" w:eastAsia="Times New Roman" w:cs="Times New Roman"/>
                <w:color w:val="000000" w:themeColor="text1"/>
                <w:sz w:val="20"/>
                <w:szCs w:val="20"/>
                <w:lang w:val="en-GB"/>
              </w:rPr>
              <w:t>Organisational, technical, and infrastructural requirements for competitors to offer the service. Offering the services related to the (sub-)function requires providers to invest in</w:t>
            </w:r>
            <w:r w:rsidR="005B2D93">
              <w:rPr>
                <w:rFonts w:ascii="Times New Roman" w:hAnsi="Times New Roman" w:eastAsia="Times New Roman" w:cs="Times New Roman"/>
                <w:color w:val="000000" w:themeColor="text1"/>
                <w:sz w:val="20"/>
                <w:szCs w:val="20"/>
                <w:lang w:val="en-GB"/>
              </w:rPr>
              <w:t xml:space="preserve"> </w:t>
            </w:r>
            <w:r w:rsidRPr="00D43D39">
              <w:rPr>
                <w:rFonts w:ascii="Times New Roman" w:hAnsi="Times New Roman" w:eastAsia="Times New Roman" w:cs="Times New Roman"/>
                <w:color w:val="000000" w:themeColor="text1"/>
                <w:sz w:val="20"/>
                <w:szCs w:val="20"/>
                <w:lang w:val="en-GB"/>
              </w:rPr>
              <w:t xml:space="preserve">(new or additional) infrastructure -or to modify their organizations. </w:t>
            </w:r>
            <w:r>
              <w:rPr>
                <w:rFonts w:ascii="Times New Roman" w:hAnsi="Times New Roman" w:eastAsia="Times New Roman" w:cs="Times New Roman"/>
                <w:color w:val="000000" w:themeColor="text1"/>
                <w:sz w:val="20"/>
                <w:szCs w:val="20"/>
                <w:lang w:val="en-GB"/>
              </w:rPr>
              <w:t>A</w:t>
            </w:r>
            <w:r w:rsidRPr="00D43D39">
              <w:rPr>
                <w:rFonts w:ascii="Times New Roman" w:hAnsi="Times New Roman" w:eastAsia="Times New Roman" w:cs="Times New Roman"/>
                <w:color w:val="000000" w:themeColor="text1"/>
                <w:sz w:val="20"/>
                <w:szCs w:val="20"/>
                <w:lang w:val="en-GB"/>
              </w:rPr>
              <w:t xml:space="preserve">ssess the ability of the market to absorb the given business, in terms for example of capital requirements. For lending, take into account the associated RWAs (reported in Q.17). </w:t>
            </w:r>
          </w:p>
          <w:p w:rsidR="005B2D93" w:rsidP="0060155C" w:rsidRDefault="0060155C" w14:paraId="44FEE3A0" w14:textId="77777777">
            <w:pPr>
              <w:jc w:val="both"/>
              <w:rPr>
                <w:rFonts w:ascii="Times New Roman" w:hAnsi="Times New Roman" w:eastAsia="Times New Roman" w:cs="Times New Roman"/>
                <w:color w:val="000000" w:themeColor="text1"/>
                <w:sz w:val="20"/>
                <w:szCs w:val="20"/>
                <w:lang w:val="en-GB"/>
              </w:rPr>
            </w:pPr>
            <w:r w:rsidRPr="00D43D39">
              <w:rPr>
                <w:rFonts w:ascii="Times New Roman" w:hAnsi="Times New Roman" w:eastAsia="Times New Roman" w:cs="Times New Roman"/>
                <w:color w:val="000000" w:themeColor="text1"/>
                <w:sz w:val="20"/>
                <w:szCs w:val="20"/>
                <w:lang w:val="en-GB"/>
              </w:rPr>
              <w:t xml:space="preserve">This indicator has to be reported in buckets, which are the same for each sub-function: </w:t>
            </w:r>
          </w:p>
          <w:p w:rsidRPr="005F5507" w:rsidR="005B2D93" w:rsidP="005F5507" w:rsidRDefault="0060155C" w14:paraId="2853581B" w14:textId="77777777">
            <w:pPr>
              <w:pStyle w:val="ListParagraph"/>
              <w:numPr>
                <w:ilvl w:val="0"/>
                <w:numId w:val="278"/>
              </w:numPr>
              <w:jc w:val="both"/>
              <w:rPr>
                <w:rFonts w:ascii="Times New Roman" w:hAnsi="Times New Roman" w:eastAsia="Times New Roman"/>
                <w:color w:val="000000" w:themeColor="text1"/>
                <w:sz w:val="20"/>
                <w:szCs w:val="20"/>
              </w:rPr>
            </w:pPr>
            <w:r w:rsidRPr="005F5507">
              <w:rPr>
                <w:rFonts w:ascii="Times New Roman" w:hAnsi="Times New Roman" w:eastAsia="Times New Roman"/>
                <w:color w:val="000000" w:themeColor="text1"/>
                <w:sz w:val="20"/>
                <w:szCs w:val="20"/>
              </w:rPr>
              <w:t xml:space="preserve">L: no </w:t>
            </w:r>
            <w:r w:rsidRPr="005F5507" w:rsidR="005B2D93">
              <w:rPr>
                <w:rFonts w:ascii="Times New Roman" w:hAnsi="Times New Roman" w:eastAsia="Times New Roman"/>
                <w:color w:val="000000" w:themeColor="text1"/>
                <w:sz w:val="20"/>
                <w:szCs w:val="20"/>
              </w:rPr>
              <w:t xml:space="preserve"> </w:t>
            </w:r>
            <w:r w:rsidRPr="005F5507">
              <w:rPr>
                <w:rFonts w:ascii="Times New Roman" w:hAnsi="Times New Roman" w:eastAsia="Times New Roman"/>
                <w:color w:val="000000" w:themeColor="text1"/>
                <w:sz w:val="20"/>
                <w:szCs w:val="20"/>
              </w:rPr>
              <w:t xml:space="preserve">major requirements, </w:t>
            </w:r>
          </w:p>
          <w:p w:rsidRPr="005F5507" w:rsidR="005B2D93" w:rsidP="005F5507" w:rsidRDefault="0060155C" w14:paraId="4BA386FF" w14:textId="77777777">
            <w:pPr>
              <w:pStyle w:val="ListParagraph"/>
              <w:numPr>
                <w:ilvl w:val="0"/>
                <w:numId w:val="278"/>
              </w:numPr>
              <w:jc w:val="both"/>
              <w:rPr>
                <w:rFonts w:ascii="Times New Roman" w:hAnsi="Times New Roman" w:eastAsia="Times New Roman"/>
                <w:color w:val="000000" w:themeColor="text1"/>
                <w:sz w:val="20"/>
                <w:szCs w:val="20"/>
              </w:rPr>
            </w:pPr>
            <w:r w:rsidRPr="005F5507">
              <w:rPr>
                <w:rFonts w:ascii="Times New Roman" w:hAnsi="Times New Roman" w:eastAsia="Times New Roman"/>
                <w:color w:val="000000" w:themeColor="text1"/>
                <w:sz w:val="20"/>
                <w:szCs w:val="20"/>
              </w:rPr>
              <w:t xml:space="preserve">ML: some requirements, </w:t>
            </w:r>
          </w:p>
          <w:p w:rsidRPr="005F5507" w:rsidR="005B2D93" w:rsidP="005F5507" w:rsidRDefault="0060155C" w14:paraId="27377D4A" w14:textId="62BB4C5B">
            <w:pPr>
              <w:pStyle w:val="ListParagraph"/>
              <w:numPr>
                <w:ilvl w:val="0"/>
                <w:numId w:val="278"/>
              </w:numPr>
              <w:jc w:val="both"/>
              <w:rPr>
                <w:rFonts w:ascii="Times New Roman" w:hAnsi="Times New Roman" w:eastAsia="Times New Roman"/>
                <w:color w:val="000000" w:themeColor="text1"/>
                <w:sz w:val="20"/>
                <w:szCs w:val="20"/>
              </w:rPr>
            </w:pPr>
            <w:r w:rsidRPr="005F5507">
              <w:rPr>
                <w:rFonts w:ascii="Times New Roman" w:hAnsi="Times New Roman" w:eastAsia="Times New Roman"/>
                <w:color w:val="000000" w:themeColor="text1"/>
                <w:sz w:val="20"/>
                <w:szCs w:val="20"/>
              </w:rPr>
              <w:t xml:space="preserve">MH: substantial (but surmountable) requirements, </w:t>
            </w:r>
          </w:p>
          <w:p w:rsidRPr="005F5507" w:rsidR="0060155C" w:rsidP="005F5507" w:rsidRDefault="0060155C" w14:paraId="4E7570BC" w14:textId="5B7EB6CB">
            <w:pPr>
              <w:pStyle w:val="ListParagraph"/>
              <w:numPr>
                <w:ilvl w:val="0"/>
                <w:numId w:val="278"/>
              </w:numPr>
              <w:jc w:val="both"/>
              <w:rPr>
                <w:rFonts w:ascii="Times New Roman" w:hAnsi="Times New Roman" w:eastAsia="Times New Roman"/>
                <w:color w:val="000000" w:themeColor="text1"/>
                <w:sz w:val="20"/>
                <w:szCs w:val="20"/>
              </w:rPr>
            </w:pPr>
            <w:r w:rsidRPr="005F5507">
              <w:rPr>
                <w:rFonts w:ascii="Times New Roman" w:hAnsi="Times New Roman" w:eastAsia="Times New Roman"/>
                <w:color w:val="000000" w:themeColor="text1"/>
                <w:sz w:val="20"/>
                <w:szCs w:val="20"/>
              </w:rPr>
              <w:t>H: critical (difficult to surmount) requirements.</w:t>
            </w:r>
          </w:p>
          <w:p w:rsidR="00177ED9" w:rsidP="00E81894" w:rsidRDefault="00E81894" w14:paraId="620262B4"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Buckets: </w:t>
            </w:r>
          </w:p>
          <w:p w:rsidRPr="005F5507" w:rsidR="00177ED9" w:rsidP="005F5507" w:rsidRDefault="00E81894" w14:paraId="35EA442D" w14:textId="77777777">
            <w:pPr>
              <w:pStyle w:val="ListParagraph"/>
              <w:numPr>
                <w:ilvl w:val="0"/>
                <w:numId w:val="281"/>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L: &lt; 1 week; </w:t>
            </w:r>
          </w:p>
          <w:p w:rsidRPr="005F5507" w:rsidR="00177ED9" w:rsidP="005F5507" w:rsidRDefault="00E81894" w14:paraId="5D367282" w14:textId="77777777">
            <w:pPr>
              <w:pStyle w:val="ListParagraph"/>
              <w:numPr>
                <w:ilvl w:val="0"/>
                <w:numId w:val="281"/>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ML: [1 week-1 month]; </w:t>
            </w:r>
          </w:p>
          <w:p w:rsidRPr="005F5507" w:rsidR="00177ED9" w:rsidP="005F5507" w:rsidRDefault="00E81894" w14:paraId="32EB3A20" w14:textId="77777777">
            <w:pPr>
              <w:pStyle w:val="ListParagraph"/>
              <w:numPr>
                <w:ilvl w:val="0"/>
                <w:numId w:val="281"/>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MH: [1-6 months], </w:t>
            </w:r>
          </w:p>
          <w:p w:rsidRPr="005F5507" w:rsidR="00E81894" w:rsidP="005F5507" w:rsidRDefault="00E81894" w14:paraId="11313513" w14:textId="0CD3C2F7">
            <w:pPr>
              <w:pStyle w:val="ListParagraph"/>
              <w:numPr>
                <w:ilvl w:val="0"/>
                <w:numId w:val="281"/>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H: &gt;6 months  </w:t>
            </w:r>
          </w:p>
          <w:p w:rsidRPr="00D43D39" w:rsidR="0060155C" w:rsidP="0060155C" w:rsidRDefault="0060155C" w14:paraId="7EA7ECF7" w14:textId="77777777">
            <w:pPr>
              <w:pStyle w:val="TableParagraph"/>
              <w:spacing w:before="108"/>
              <w:ind w:left="85"/>
              <w:jc w:val="both"/>
              <w:rPr>
                <w:rFonts w:ascii="Times New Roman" w:hAnsi="Times New Roman" w:cs="Times New Roman"/>
                <w:b/>
                <w:bCs/>
                <w:color w:val="000000" w:themeColor="text1"/>
                <w:sz w:val="20"/>
                <w:szCs w:val="20"/>
                <w:lang w:val="en-GB"/>
              </w:rPr>
            </w:pPr>
          </w:p>
        </w:tc>
      </w:tr>
      <w:tr w:rsidRPr="00DC20B3" w:rsidR="00DC20B3" w:rsidTr="00DC20B3" w14:paraId="071B6781" w14:textId="77777777">
        <w:tc>
          <w:tcPr>
            <w:tcW w:w="1080" w:type="dxa"/>
            <w:tcBorders>
              <w:top w:val="single" w:color="1A171C" w:sz="4" w:space="0"/>
              <w:left w:val="nil"/>
              <w:bottom w:val="single" w:color="1A171C" w:sz="4" w:space="0"/>
              <w:right w:val="single" w:color="1A171C" w:sz="4" w:space="0"/>
            </w:tcBorders>
            <w:vAlign w:val="center"/>
          </w:tcPr>
          <w:p w:rsidRPr="00DC20B3" w:rsidR="00DC20B3" w:rsidDel="005B562A" w:rsidP="00CB3292" w:rsidRDefault="00DC20B3" w14:paraId="31F7606F" w14:textId="247849DC">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0190 - 0210</w:t>
            </w:r>
          </w:p>
        </w:tc>
        <w:tc>
          <w:tcPr>
            <w:tcW w:w="8003" w:type="dxa"/>
            <w:tcBorders>
              <w:top w:val="single" w:color="1A171C" w:sz="4" w:space="0"/>
              <w:left w:val="single" w:color="1A171C" w:sz="4" w:space="0"/>
              <w:bottom w:val="single" w:color="1A171C" w:sz="4" w:space="0"/>
              <w:right w:val="nil"/>
            </w:tcBorders>
            <w:vAlign w:val="center"/>
          </w:tcPr>
          <w:p w:rsidRPr="00DC20B3" w:rsidR="00DC20B3" w:rsidP="00DC20B3" w:rsidRDefault="00DC20B3" w14:paraId="7A3B49E1" w14:textId="77777777">
            <w:pPr>
              <w:pStyle w:val="TableParagraph"/>
              <w:spacing w:before="108"/>
              <w:jc w:val="both"/>
              <w:rPr>
                <w:rFonts w:ascii="Times New Roman" w:hAnsi="Times New Roman" w:cs="Times New Roman"/>
                <w:b/>
                <w:bCs/>
                <w:color w:val="000000" w:themeColor="text1"/>
                <w:sz w:val="20"/>
                <w:szCs w:val="20"/>
                <w:lang w:val="en-GB"/>
              </w:rPr>
            </w:pPr>
            <w:r w:rsidRPr="00DC20B3">
              <w:rPr>
                <w:rFonts w:ascii="Times New Roman" w:hAnsi="Times New Roman" w:cs="Times New Roman"/>
                <w:b/>
                <w:bCs/>
                <w:color w:val="000000" w:themeColor="text1"/>
                <w:sz w:val="20"/>
                <w:szCs w:val="20"/>
                <w:lang w:val="en-GB"/>
              </w:rPr>
              <w:t>Onboarding capacity</w:t>
            </w:r>
          </w:p>
          <w:p w:rsidRPr="005F5507" w:rsidR="00DC20B3" w:rsidP="00DC20B3" w:rsidRDefault="00DC20B3" w14:paraId="4F8E287C" w14:textId="1D8A875D">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The institutions </w:t>
            </w:r>
            <w:r w:rsidR="00AF1118">
              <w:rPr>
                <w:rFonts w:ascii="Times New Roman" w:hAnsi="Times New Roman" w:cs="Times New Roman"/>
                <w:color w:val="000000" w:themeColor="text1"/>
                <w:sz w:val="20"/>
                <w:szCs w:val="20"/>
                <w:lang w:val="en-GB"/>
              </w:rPr>
              <w:t>are expected to</w:t>
            </w:r>
            <w:r w:rsidRPr="005F5507">
              <w:rPr>
                <w:rFonts w:ascii="Times New Roman" w:hAnsi="Times New Roman" w:cs="Times New Roman"/>
                <w:color w:val="000000" w:themeColor="text1"/>
                <w:sz w:val="20"/>
                <w:szCs w:val="20"/>
                <w:lang w:val="en-GB"/>
              </w:rPr>
              <w:t xml:space="preserve"> provide the timeframe for on-boarding of new customers since a new customer has applied for a bank service, namely the timeframe (in terms of working days). Institutions are requested to provide the number of applications where the institution has validated the request for a bank service.</w:t>
            </w:r>
          </w:p>
          <w:p w:rsidR="00DC20B3" w:rsidP="00DC20B3" w:rsidRDefault="00DC20B3" w14:paraId="1B2FE355" w14:textId="7E8D87B7">
            <w:pPr>
              <w:pStyle w:val="TableParagraph"/>
              <w:spacing w:before="108"/>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w:t>
            </w:r>
            <w:r w:rsidRPr="005F5507">
              <w:rPr>
                <w:rFonts w:ascii="Times New Roman" w:hAnsi="Times New Roman" w:cs="Times New Roman"/>
                <w:color w:val="000000" w:themeColor="text1"/>
                <w:sz w:val="20"/>
                <w:szCs w:val="20"/>
                <w:lang w:val="en-GB"/>
              </w:rPr>
              <w:t xml:space="preserve">he onboarding capacity in terms of number of new accounts </w:t>
            </w:r>
            <w:r w:rsidR="002526C2">
              <w:rPr>
                <w:rFonts w:ascii="Times New Roman" w:hAnsi="Times New Roman" w:cs="Times New Roman"/>
                <w:color w:val="000000" w:themeColor="text1"/>
                <w:sz w:val="20"/>
                <w:szCs w:val="20"/>
                <w:lang w:val="en-GB"/>
              </w:rPr>
              <w:t>is expressed</w:t>
            </w:r>
            <w:r>
              <w:rPr>
                <w:rFonts w:ascii="Times New Roman" w:hAnsi="Times New Roman" w:cs="Times New Roman"/>
                <w:color w:val="000000" w:themeColor="text1"/>
                <w:sz w:val="20"/>
                <w:szCs w:val="20"/>
                <w:lang w:val="en-GB"/>
              </w:rPr>
              <w:t xml:space="preserve"> over:</w:t>
            </w:r>
          </w:p>
          <w:p w:rsidRPr="00DC20B3" w:rsidR="00DC20B3" w:rsidP="005F5507" w:rsidRDefault="00DC20B3" w14:paraId="6DCDB165" w14:textId="2AE18BDE">
            <w:pPr>
              <w:pStyle w:val="TableParagraph"/>
              <w:numPr>
                <w:ilvl w:val="0"/>
                <w:numId w:val="285"/>
              </w:numPr>
              <w:spacing w:before="108"/>
              <w:jc w:val="both"/>
              <w:rPr>
                <w:rFonts w:ascii="Times New Roman" w:hAnsi="Times New Roman" w:cs="Times New Roman"/>
                <w:b/>
                <w:bCs/>
                <w:color w:val="000000" w:themeColor="text1"/>
                <w:sz w:val="20"/>
                <w:szCs w:val="20"/>
                <w:lang w:val="en-GB"/>
              </w:rPr>
            </w:pPr>
            <w:r>
              <w:rPr>
                <w:rFonts w:ascii="Times New Roman" w:hAnsi="Times New Roman" w:cs="Times New Roman"/>
                <w:color w:val="000000" w:themeColor="text1"/>
                <w:sz w:val="20"/>
                <w:szCs w:val="20"/>
                <w:lang w:val="en-GB"/>
              </w:rPr>
              <w:t>1 working day</w:t>
            </w:r>
          </w:p>
        </w:tc>
      </w:tr>
      <w:tr w:rsidRPr="00D43D39" w:rsidR="008E4D28" w:rsidTr="008E4D28" w14:paraId="41E71BCA"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8E4D28" w:rsidRDefault="00FA489E" w14:paraId="3401A7A8" w14:textId="7A5F2FA5">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0220 - 0240</w:t>
            </w:r>
          </w:p>
        </w:tc>
        <w:tc>
          <w:tcPr>
            <w:tcW w:w="8003" w:type="dxa"/>
            <w:tcBorders>
              <w:top w:val="single" w:color="1A171C" w:sz="4" w:space="0"/>
              <w:left w:val="single" w:color="1A171C" w:sz="4" w:space="0"/>
              <w:bottom w:val="single" w:color="1A171C" w:sz="4" w:space="0"/>
              <w:right w:val="nil"/>
            </w:tcBorders>
            <w:vAlign w:val="center"/>
          </w:tcPr>
          <w:p w:rsidRPr="008E4D28" w:rsidR="008E4D28" w:rsidP="008E4D28" w:rsidRDefault="008E4D28" w14:paraId="3E89A761" w14:textId="74A31A96">
            <w:pPr>
              <w:pStyle w:val="TableParagraph"/>
              <w:spacing w:before="108"/>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Criticality Assessment</w:t>
            </w:r>
          </w:p>
        </w:tc>
      </w:tr>
      <w:tr w:rsidRPr="00D43D39" w:rsidR="008E4D28" w:rsidTr="008E4D28" w14:paraId="2BC36FF1"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8E4D28" w:rsidRDefault="00FA489E" w14:paraId="0B665354" w14:textId="41345E82">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0220</w:t>
            </w:r>
          </w:p>
        </w:tc>
        <w:tc>
          <w:tcPr>
            <w:tcW w:w="8003" w:type="dxa"/>
            <w:tcBorders>
              <w:top w:val="single" w:color="1A171C" w:sz="4" w:space="0"/>
              <w:left w:val="single" w:color="1A171C" w:sz="4" w:space="0"/>
              <w:bottom w:val="single" w:color="1A171C" w:sz="4" w:space="0"/>
              <w:right w:val="nil"/>
            </w:tcBorders>
            <w:vAlign w:val="center"/>
          </w:tcPr>
          <w:p w:rsidRPr="008E4D28" w:rsidR="008E4D28" w:rsidP="008E4D28" w:rsidRDefault="008E4D28" w14:paraId="6F978405" w14:textId="77777777">
            <w:pPr>
              <w:pStyle w:val="TableParagraph"/>
              <w:spacing w:before="108"/>
              <w:jc w:val="both"/>
              <w:rPr>
                <w:rFonts w:ascii="Times New Roman" w:hAnsi="Times New Roman" w:cs="Times New Roman"/>
                <w:b/>
                <w:bCs/>
                <w:color w:val="000000" w:themeColor="text1"/>
                <w:sz w:val="20"/>
                <w:szCs w:val="20"/>
                <w:lang w:val="en-GB"/>
              </w:rPr>
            </w:pPr>
            <w:r w:rsidRPr="008E4D28">
              <w:rPr>
                <w:rFonts w:ascii="Times New Roman" w:hAnsi="Times New Roman" w:cs="Times New Roman"/>
                <w:b/>
                <w:bCs/>
                <w:color w:val="000000" w:themeColor="text1"/>
                <w:sz w:val="20"/>
                <w:szCs w:val="20"/>
                <w:lang w:val="en-GB"/>
              </w:rPr>
              <w:t xml:space="preserve">Impact on market </w:t>
            </w:r>
          </w:p>
          <w:p w:rsidRPr="005F5507" w:rsidR="008E4D28" w:rsidP="008E4D28" w:rsidRDefault="008E4D28" w14:paraId="22B0B119"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p>
          <w:p w:rsidRPr="005F5507" w:rsidR="008E4D28" w:rsidP="008E4D28" w:rsidRDefault="008E4D28" w14:paraId="6F86DA88"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This assessment shall be expressed qualitatively as ‘High (H)’, ‘Medium-High (MH)’, ‘Medium-Low (ML)’ or Low (L)’.</w:t>
            </w:r>
          </w:p>
          <w:p w:rsidRPr="008E4D28" w:rsidR="008E4D28" w:rsidP="008E4D28" w:rsidRDefault="008E4D28" w14:paraId="237A7411" w14:textId="77777777">
            <w:pPr>
              <w:pStyle w:val="TableParagraph"/>
              <w:spacing w:before="108"/>
              <w:jc w:val="both"/>
              <w:rPr>
                <w:rFonts w:ascii="Times New Roman" w:hAnsi="Times New Roman" w:cs="Times New Roman"/>
                <w:b/>
                <w:bCs/>
                <w:color w:val="000000" w:themeColor="text1"/>
                <w:sz w:val="20"/>
                <w:szCs w:val="20"/>
                <w:lang w:val="en-GB"/>
              </w:rPr>
            </w:pPr>
            <w:r w:rsidRPr="005F5507">
              <w:rPr>
                <w:rFonts w:ascii="Times New Roman" w:hAnsi="Times New Roman" w:cs="Times New Roman"/>
                <w:color w:val="000000" w:themeColor="text1"/>
                <w:sz w:val="20"/>
                <w:szCs w:val="20"/>
                <w:lang w:val="en-GB"/>
              </w:rPr>
              <w:t>‘H’ shall be selected if the discontinuation has a major impact on the national market; ‘MH’ if the impact is significant; ‘ML’ if the impact is material, but limited; and ‘L’ if the impact is low.</w:t>
            </w:r>
          </w:p>
        </w:tc>
      </w:tr>
      <w:tr w:rsidRPr="00D43D39" w:rsidR="008E4D28" w:rsidTr="008E4D28" w14:paraId="47223959"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8E4D28" w:rsidRDefault="00FA489E" w14:paraId="03AA3A22" w14:textId="4DAACE90">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0230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3484EC11" w14:textId="77777777">
            <w:pPr>
              <w:pStyle w:val="TableParagraph"/>
              <w:spacing w:before="108"/>
              <w:jc w:val="both"/>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Substitutability</w:t>
            </w:r>
          </w:p>
          <w:p w:rsidRPr="005F5507" w:rsidR="008E4D28" w:rsidP="008E4D28" w:rsidRDefault="008E4D28" w14:paraId="6A61071D"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Article 6(3) of Delegated regulation (EU) 2016/778.</w:t>
            </w:r>
          </w:p>
          <w:p w:rsidRPr="005F5507" w:rsidR="008E4D28" w:rsidP="008E4D28" w:rsidRDefault="008E4D28" w14:paraId="275AD38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 function is considered substitutable where it can be replaced in an acceptable manner and within a reasonable timeframe thereby avoiding systemic problems for the real economy and the financial markets. The following shall be taken into account:</w:t>
            </w:r>
          </w:p>
          <w:p w:rsidRPr="005F5507" w:rsidR="008E4D28" w:rsidP="008E4D28" w:rsidRDefault="008E4D28" w14:paraId="6272B744"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 the structure of the market for that function and the availability of substitute providers; </w:t>
            </w:r>
          </w:p>
          <w:p w:rsidRPr="005F5507" w:rsidR="008E4D28" w:rsidP="008E4D28" w:rsidRDefault="008E4D28" w14:paraId="65ED8CE2"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(b) the ability of other providers in terms of capacity, the requirements for performing the function, and potential barriers to entry or expansion; </w:t>
            </w:r>
          </w:p>
          <w:p w:rsidRPr="005F5507" w:rsidR="008E4D28" w:rsidP="008E4D28" w:rsidRDefault="008E4D28" w14:paraId="6542AA7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(c) the incentive of other providers to take on these activities; </w:t>
            </w:r>
          </w:p>
          <w:p w:rsidRPr="005F5507" w:rsidR="008E4D28" w:rsidP="008E4D28" w:rsidRDefault="008E4D28" w14:paraId="49938F4C"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p>
          <w:p w:rsidRPr="005F5507" w:rsidR="008E4D28" w:rsidP="008E4D28" w:rsidRDefault="008E4D28" w14:paraId="3CED2330"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t>
            </w:r>
          </w:p>
          <w:p w:rsidRPr="005F5507" w:rsidR="008E4D28" w:rsidP="008E4D28" w:rsidRDefault="008E4D28" w14:paraId="706BB456"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‘H’ shall be selected if a function can easily be provided by another bank under comparable conditions within a reasonable timeframe;</w:t>
            </w:r>
          </w:p>
          <w:p w:rsidRPr="005F5507" w:rsidR="008E4D28" w:rsidP="008E4D28" w:rsidRDefault="008E4D28" w14:paraId="6EF24784"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‘L’ if  a function cannot be easily or rapidly substituted; </w:t>
            </w:r>
          </w:p>
          <w:p w:rsidRPr="005F5507" w:rsidR="008E4D28" w:rsidP="008E4D28" w:rsidRDefault="008E4D28" w14:paraId="5FAE91F4"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‘MH’ and ‘ML’ for intermediate cases taking into account different dimensions (e.g. market share, market concentration, time to substitution, as well as legal barriers to and operational requirements for entry or expansion).</w:t>
            </w:r>
          </w:p>
        </w:tc>
      </w:tr>
      <w:tr w:rsidRPr="00D43D39" w:rsidR="008E4D28" w:rsidTr="008E4D28" w14:paraId="46522796" w14:textId="77777777">
        <w:tc>
          <w:tcPr>
            <w:tcW w:w="1080" w:type="dxa"/>
            <w:tcBorders>
              <w:top w:val="single" w:color="1A171C" w:sz="4" w:space="0"/>
              <w:left w:val="nil"/>
              <w:bottom w:val="single" w:color="1A171C" w:sz="4" w:space="0"/>
              <w:right w:val="single" w:color="1A171C" w:sz="4" w:space="0"/>
            </w:tcBorders>
            <w:vAlign w:val="center"/>
          </w:tcPr>
          <w:p w:rsidRPr="00D43D39" w:rsidR="008E4D28" w:rsidP="008E4D28" w:rsidRDefault="00FA489E" w14:paraId="06FEE0E7" w14:textId="4BDA507E">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0240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7B06C206" w14:textId="77777777">
            <w:pPr>
              <w:pStyle w:val="TableParagraph"/>
              <w:spacing w:before="108"/>
              <w:jc w:val="both"/>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Critical Function</w:t>
            </w:r>
          </w:p>
          <w:p w:rsidRPr="005F5507" w:rsidR="008E4D28" w:rsidP="008E4D28" w:rsidRDefault="008E4D28" w14:paraId="4D4E64A7"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In this column it shall be reported whether, taking into account the impact and substitutability analysis performed by the institution, the economic function is considered to be critical in the market for the relevant country.</w:t>
            </w:r>
          </w:p>
          <w:p w:rsidRPr="005F5507" w:rsidR="008E4D28" w:rsidP="008E4D28" w:rsidRDefault="008E4D28" w14:paraId="537839E7"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Report ‘Yes’ or ‘No’</w:t>
            </w:r>
          </w:p>
        </w:tc>
      </w:tr>
      <w:tr w:rsidRPr="00CB3292" w:rsidR="008E4D28" w:rsidTr="008E4D28" w14:paraId="7952DA9E" w14:textId="77777777">
        <w:tc>
          <w:tcPr>
            <w:tcW w:w="1080" w:type="dxa"/>
            <w:tcBorders>
              <w:top w:val="single" w:color="1A171C" w:sz="4" w:space="0"/>
              <w:left w:val="nil"/>
              <w:bottom w:val="single" w:color="1A171C" w:sz="4" w:space="0"/>
              <w:right w:val="single" w:color="1A171C" w:sz="4" w:space="0"/>
            </w:tcBorders>
            <w:vAlign w:val="center"/>
          </w:tcPr>
          <w:p w:rsidRPr="00D43D39" w:rsidR="008E4D28" w:rsidDel="005B562A" w:rsidP="008E4D28" w:rsidRDefault="00FA489E" w14:paraId="58C58912" w14:textId="3D372BE3">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0250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2D2860BD" w14:textId="77777777">
            <w:pPr>
              <w:pStyle w:val="TableParagraph"/>
              <w:spacing w:before="108"/>
              <w:jc w:val="both"/>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Comments from the Group</w:t>
            </w:r>
          </w:p>
          <w:p w:rsidRPr="005F5507" w:rsidR="008E4D28" w:rsidP="008E4D28" w:rsidRDefault="008E4D28" w14:paraId="01140D67"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This field enables the reporting entity to explain any assumptions used in assessing the criticality of the function(s) reported.</w:t>
            </w:r>
          </w:p>
        </w:tc>
      </w:tr>
    </w:tbl>
    <w:p w:rsidRPr="00D43D39" w:rsidR="000D0185" w:rsidP="0056559D" w:rsidRDefault="000D0185" w14:paraId="4057CEED" w14:textId="558868C7">
      <w:pPr>
        <w:rPr>
          <w:rFonts w:ascii="Times New Roman" w:hAnsi="Times New Roman" w:cs="Times New Roman"/>
          <w:color w:val="000000" w:themeColor="text1"/>
          <w:sz w:val="20"/>
          <w:szCs w:val="20"/>
          <w:lang w:val="en-GB"/>
        </w:rPr>
      </w:pPr>
    </w:p>
    <w:p w:rsidRPr="00D43D39" w:rsidR="000D0185" w:rsidP="0056559D" w:rsidRDefault="000D0185" w14:paraId="6D287ACC" w14:textId="44FBE283">
      <w:pPr>
        <w:rPr>
          <w:rFonts w:ascii="Times New Roman" w:hAnsi="Times New Roman" w:cs="Times New Roman"/>
          <w:color w:val="000000" w:themeColor="text1"/>
          <w:sz w:val="20"/>
          <w:szCs w:val="20"/>
          <w:lang w:val="en-GB"/>
        </w:rPr>
      </w:pPr>
    </w:p>
    <w:p w:rsidRPr="005F5507" w:rsidR="000D0185" w:rsidP="005F5507" w:rsidRDefault="007B28E7" w14:paraId="0E2DA5EB" w14:textId="4D51EF60">
      <w:pPr>
        <w:pStyle w:val="Instructionsberschrift2"/>
        <w:numPr>
          <w:ilvl w:val="1"/>
          <w:numId w:val="49"/>
        </w:numPr>
        <w:ind w:left="357" w:hanging="357"/>
        <w:rPr>
          <w:rFonts w:ascii="Times New Roman" w:hAnsi="Times New Roman" w:cs="Times New Roman"/>
        </w:rPr>
      </w:pPr>
      <w:bookmarkStart w:name="_Toc172732234" w:id="107"/>
      <w:r w:rsidRPr="005D71E0">
        <w:rPr>
          <w:rFonts w:ascii="Times New Roman" w:hAnsi="Times New Roman" w:cs="Times New Roman"/>
        </w:rPr>
        <w:t xml:space="preserve">7.1 FUNC 1 </w:t>
      </w:r>
      <w:r w:rsidRPr="00043481" w:rsidR="00BB181E">
        <w:rPr>
          <w:rFonts w:ascii="Times New Roman" w:hAnsi="Times New Roman" w:cs="Times New Roman"/>
        </w:rPr>
        <w:t>L</w:t>
      </w:r>
      <w:r w:rsidR="0060155C">
        <w:rPr>
          <w:rFonts w:ascii="Times New Roman" w:hAnsi="Times New Roman" w:cs="Times New Roman"/>
        </w:rPr>
        <w:t>EN</w:t>
      </w:r>
      <w:bookmarkEnd w:id="107"/>
    </w:p>
    <w:p w:rsidRPr="00D43D39" w:rsidR="000D0185" w:rsidP="0056559D" w:rsidRDefault="000D0185" w14:paraId="110F6EC1" w14:textId="6690B3B1">
      <w:pPr>
        <w:rP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080"/>
        <w:gridCol w:w="8003"/>
      </w:tblGrid>
      <w:tr w:rsidRPr="00D43D39" w:rsidR="007B28E7" w:rsidTr="005F5507" w14:paraId="0B21C661" w14:textId="77777777">
        <w:trPr>
          <w:tblHeader/>
        </w:trPr>
        <w:tc>
          <w:tcPr>
            <w:tcW w:w="1080" w:type="dxa"/>
            <w:tcBorders>
              <w:top w:val="single" w:color="1A171C" w:sz="4" w:space="0"/>
              <w:left w:val="nil"/>
              <w:bottom w:val="single" w:color="1A171C" w:sz="4" w:space="0"/>
              <w:right w:val="single" w:color="1A171C" w:sz="4" w:space="0"/>
            </w:tcBorders>
            <w:shd w:val="clear" w:color="auto" w:fill="E4E5E5"/>
          </w:tcPr>
          <w:p w:rsidRPr="00D43D39" w:rsidR="007B28E7" w:rsidP="001E587F" w:rsidRDefault="007B28E7" w14:paraId="1D64D92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bookmarkStart w:name="_Hlk162013303" w:id="108"/>
            <w:r w:rsidRPr="00D43D39">
              <w:rPr>
                <w:rFonts w:ascii="Times New Roman" w:hAnsi="Times New Roman" w:eastAsia="Cambria" w:cs="Times New Roman"/>
                <w:color w:val="000000" w:themeColor="text1"/>
                <w:spacing w:val="-2"/>
                <w:w w:val="95"/>
                <w:sz w:val="20"/>
                <w:szCs w:val="20"/>
                <w:lang w:val="en-GB"/>
              </w:rPr>
              <w:t>Columns</w:t>
            </w:r>
          </w:p>
        </w:tc>
        <w:tc>
          <w:tcPr>
            <w:tcW w:w="8003" w:type="dxa"/>
            <w:tcBorders>
              <w:top w:val="single" w:color="1A171C" w:sz="4" w:space="0"/>
              <w:left w:val="single" w:color="1A171C" w:sz="4" w:space="0"/>
              <w:bottom w:val="single" w:color="1A171C" w:sz="4" w:space="0"/>
              <w:right w:val="nil"/>
            </w:tcBorders>
            <w:shd w:val="clear" w:color="auto" w:fill="E4E5E5"/>
          </w:tcPr>
          <w:p w:rsidRPr="00D43D39" w:rsidR="007B28E7" w:rsidP="001E587F" w:rsidRDefault="007B28E7" w14:paraId="40EACF5C"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7B28E7" w:rsidTr="001E587F" w14:paraId="08D6D62C" w14:textId="77777777">
        <w:tc>
          <w:tcPr>
            <w:tcW w:w="1080" w:type="dxa"/>
            <w:tcBorders>
              <w:top w:val="single" w:color="1A171C" w:sz="4" w:space="0"/>
              <w:left w:val="nil"/>
              <w:bottom w:val="single" w:color="1A171C" w:sz="4" w:space="0"/>
              <w:right w:val="single" w:color="1A171C" w:sz="4" w:space="0"/>
            </w:tcBorders>
            <w:vAlign w:val="center"/>
          </w:tcPr>
          <w:p w:rsidRPr="00D43D39" w:rsidR="007B28E7" w:rsidP="001E587F" w:rsidRDefault="007B28E7" w14:paraId="29C4356E"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0010</w:t>
            </w:r>
          </w:p>
        </w:tc>
        <w:tc>
          <w:tcPr>
            <w:tcW w:w="8003" w:type="dxa"/>
            <w:tcBorders>
              <w:top w:val="single" w:color="1A171C" w:sz="4" w:space="0"/>
              <w:left w:val="single" w:color="1A171C" w:sz="4" w:space="0"/>
              <w:bottom w:val="single" w:color="1A171C" w:sz="4" w:space="0"/>
              <w:right w:val="nil"/>
            </w:tcBorders>
            <w:vAlign w:val="center"/>
          </w:tcPr>
          <w:p w:rsidRPr="00D43D39" w:rsidR="007B28E7" w:rsidP="001E587F" w:rsidRDefault="007B28E7" w14:paraId="67428DA8"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Description of economic function</w:t>
            </w:r>
          </w:p>
          <w:p w:rsidRPr="00D43D39" w:rsidR="007B28E7" w:rsidP="001E587F" w:rsidRDefault="007B28E7" w14:paraId="7F4157EB"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Where the Economic function is of the type ‘Other’ (functions 1.5 – 1.7), a description of that function shall be provided. </w:t>
            </w:r>
          </w:p>
        </w:tc>
      </w:tr>
      <w:tr w:rsidRPr="00D43D39" w:rsidR="007B28E7" w:rsidTr="001E587F" w14:paraId="6BC40F9F" w14:textId="77777777">
        <w:tc>
          <w:tcPr>
            <w:tcW w:w="1080" w:type="dxa"/>
            <w:tcBorders>
              <w:top w:val="single" w:color="1A171C" w:sz="4" w:space="0"/>
              <w:left w:val="nil"/>
              <w:bottom w:val="single" w:color="1A171C" w:sz="4" w:space="0"/>
              <w:right w:val="single" w:color="1A171C" w:sz="4" w:space="0"/>
            </w:tcBorders>
            <w:vAlign w:val="center"/>
          </w:tcPr>
          <w:p w:rsidRPr="00D43D39" w:rsidR="007B28E7" w:rsidP="001E587F" w:rsidRDefault="007B28E7" w14:paraId="34E31CF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0020</w:t>
            </w:r>
          </w:p>
        </w:tc>
        <w:tc>
          <w:tcPr>
            <w:tcW w:w="8003" w:type="dxa"/>
            <w:tcBorders>
              <w:top w:val="single" w:color="1A171C" w:sz="4" w:space="0"/>
              <w:left w:val="single" w:color="1A171C" w:sz="4" w:space="0"/>
              <w:bottom w:val="single" w:color="1A171C" w:sz="4" w:space="0"/>
              <w:right w:val="nil"/>
            </w:tcBorders>
            <w:vAlign w:val="center"/>
          </w:tcPr>
          <w:p w:rsidRPr="00D43D39" w:rsidR="007B28E7" w:rsidP="001E587F" w:rsidRDefault="007B28E7" w14:paraId="07DA23E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Market share </w:t>
            </w:r>
          </w:p>
          <w:p w:rsidRPr="00D43D39" w:rsidR="007B28E7" w:rsidP="001E587F" w:rsidRDefault="007B28E7" w14:paraId="56A0A418"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p>
        </w:tc>
      </w:tr>
      <w:tr w:rsidRPr="00D43D39" w:rsidR="007B28E7" w:rsidTr="001E587F" w14:paraId="1680BB05" w14:textId="77777777">
        <w:tc>
          <w:tcPr>
            <w:tcW w:w="1080" w:type="dxa"/>
            <w:tcBorders>
              <w:top w:val="single" w:color="1A171C" w:sz="4" w:space="0"/>
              <w:left w:val="nil"/>
              <w:bottom w:val="single" w:color="1A171C" w:sz="4" w:space="0"/>
              <w:right w:val="single" w:color="1A171C" w:sz="4" w:space="0"/>
            </w:tcBorders>
            <w:vAlign w:val="center"/>
          </w:tcPr>
          <w:p w:rsidRPr="00D43D39" w:rsidR="007B28E7" w:rsidP="001E587F" w:rsidRDefault="007B28E7" w14:paraId="5B983DF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0030</w:t>
            </w:r>
          </w:p>
        </w:tc>
        <w:tc>
          <w:tcPr>
            <w:tcW w:w="8003" w:type="dxa"/>
            <w:tcBorders>
              <w:top w:val="single" w:color="1A171C" w:sz="4" w:space="0"/>
              <w:left w:val="single" w:color="1A171C" w:sz="4" w:space="0"/>
              <w:bottom w:val="single" w:color="1A171C" w:sz="4" w:space="0"/>
              <w:right w:val="nil"/>
            </w:tcBorders>
            <w:vAlign w:val="center"/>
          </w:tcPr>
          <w:p w:rsidRPr="00D43D39" w:rsidR="007B28E7" w:rsidP="001E587F" w:rsidRDefault="007B28E7" w14:paraId="5491A9C6" w14:textId="77777777">
            <w:pPr>
              <w:pStyle w:val="TableParagraph"/>
              <w:spacing w:before="108"/>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Value outstanding</w:t>
            </w:r>
          </w:p>
          <w:p w:rsidRPr="00D43D39" w:rsidR="007B28E7" w:rsidP="007B28E7" w:rsidRDefault="007B28E7" w14:paraId="6730CC07"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Gross carrying amount of unimpaired and impaired loans and advances (including accrued</w:t>
            </w:r>
          </w:p>
          <w:p w:rsidRPr="00D43D39" w:rsidR="007B28E7" w:rsidP="007B28E7" w:rsidRDefault="007B28E7" w14:paraId="0BAD6823" w14:textId="56101CFB">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interest). Lending stock is taken as a proxy for expected future lending.</w:t>
            </w:r>
          </w:p>
        </w:tc>
      </w:tr>
      <w:tr w:rsidRPr="00D43D39" w:rsidR="007B28E7" w:rsidTr="001E587F" w14:paraId="09DF48C4" w14:textId="77777777">
        <w:tc>
          <w:tcPr>
            <w:tcW w:w="1080" w:type="dxa"/>
            <w:tcBorders>
              <w:top w:val="single" w:color="1A171C" w:sz="4" w:space="0"/>
              <w:left w:val="nil"/>
              <w:bottom w:val="single" w:color="1A171C" w:sz="4" w:space="0"/>
              <w:right w:val="single" w:color="1A171C" w:sz="4" w:space="0"/>
            </w:tcBorders>
            <w:vAlign w:val="center"/>
          </w:tcPr>
          <w:p w:rsidRPr="00D43D39" w:rsidR="007B28E7" w:rsidP="001E587F" w:rsidRDefault="007B28E7" w14:paraId="63935A0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0040</w:t>
            </w:r>
          </w:p>
        </w:tc>
        <w:tc>
          <w:tcPr>
            <w:tcW w:w="8003" w:type="dxa"/>
            <w:tcBorders>
              <w:top w:val="single" w:color="1A171C" w:sz="4" w:space="0"/>
              <w:left w:val="single" w:color="1A171C" w:sz="4" w:space="0"/>
              <w:bottom w:val="single" w:color="1A171C" w:sz="4" w:space="0"/>
              <w:right w:val="nil"/>
            </w:tcBorders>
            <w:vAlign w:val="center"/>
          </w:tcPr>
          <w:p w:rsidRPr="00D43D39" w:rsidR="007B28E7" w:rsidP="001E587F" w:rsidRDefault="007B28E7" w14:paraId="7D3D9937" w14:textId="77777777">
            <w:pPr>
              <w:pStyle w:val="TableParagraph"/>
              <w:spacing w:before="108"/>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Number of Clients</w:t>
            </w:r>
          </w:p>
          <w:p w:rsidRPr="00D43D39" w:rsidR="0031229A" w:rsidP="0031229A" w:rsidRDefault="0031229A" w14:paraId="228CE549"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Total number of clients which were provided with the values reported in c0030 ‘value</w:t>
            </w:r>
          </w:p>
          <w:p w:rsidRPr="00D43D39" w:rsidR="0031229A" w:rsidP="0031229A" w:rsidRDefault="0031229A" w14:paraId="1244D945"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outstanding’. If a client is using multiple loan products / accounts, the client is counted</w:t>
            </w:r>
          </w:p>
          <w:p w:rsidRPr="00D43D39" w:rsidR="007B28E7" w:rsidP="0031229A" w:rsidRDefault="0031229A" w14:paraId="3ED198CA" w14:textId="764FE4EF">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only once.</w:t>
            </w:r>
          </w:p>
        </w:tc>
      </w:tr>
      <w:tr w:rsidRPr="00D43D39" w:rsidR="007B28E7" w:rsidTr="001E587F" w14:paraId="5C7544D9" w14:textId="77777777">
        <w:tc>
          <w:tcPr>
            <w:tcW w:w="1080" w:type="dxa"/>
            <w:tcBorders>
              <w:top w:val="single" w:color="1A171C" w:sz="4" w:space="0"/>
              <w:left w:val="nil"/>
              <w:bottom w:val="single" w:color="1A171C" w:sz="4" w:space="0"/>
              <w:right w:val="single" w:color="1A171C" w:sz="4" w:space="0"/>
            </w:tcBorders>
            <w:vAlign w:val="center"/>
          </w:tcPr>
          <w:p w:rsidRPr="00D43D39" w:rsidR="007B28E7" w:rsidP="001E587F" w:rsidRDefault="007B28E7" w14:paraId="16F6BAEC" w14:textId="6A20A2A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0060</w:t>
            </w:r>
          </w:p>
        </w:tc>
        <w:tc>
          <w:tcPr>
            <w:tcW w:w="8003" w:type="dxa"/>
            <w:tcBorders>
              <w:top w:val="single" w:color="1A171C" w:sz="4" w:space="0"/>
              <w:left w:val="single" w:color="1A171C" w:sz="4" w:space="0"/>
              <w:bottom w:val="single" w:color="1A171C" w:sz="4" w:space="0"/>
              <w:right w:val="nil"/>
            </w:tcBorders>
            <w:vAlign w:val="center"/>
          </w:tcPr>
          <w:p w:rsidRPr="00D43D39" w:rsidR="0031229A" w:rsidP="001E587F" w:rsidRDefault="0031229A" w14:paraId="585E325D"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Value outstanding – cross-border value</w:t>
            </w:r>
          </w:p>
          <w:p w:rsidRPr="00D43D39" w:rsidR="00095A23" w:rsidP="00095A23" w:rsidRDefault="00095A23" w14:paraId="7FC0F9DE" w14:textId="786BD81C">
            <w:pPr>
              <w:pStyle w:val="TableParagraph"/>
              <w:spacing w:before="108"/>
              <w:ind w:left="85"/>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Value outstanding (c0030) of loans to non-residents, see Deposits (c0100) ‘cross-border</w:t>
            </w:r>
          </w:p>
          <w:p w:rsidRPr="00D43D39" w:rsidR="007B28E7" w:rsidP="00095A23" w:rsidRDefault="00095A23" w14:paraId="4010B825" w14:textId="293EBB5A">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z w:val="20"/>
                <w:szCs w:val="20"/>
                <w:lang w:val="en-GB"/>
              </w:rPr>
              <w:t>value’.</w:t>
            </w:r>
          </w:p>
        </w:tc>
      </w:tr>
      <w:bookmarkEnd w:id="108"/>
      <w:tr w:rsidR="003600C0" w:rsidTr="003600C0" w14:paraId="3EB6E84B" w14:textId="77777777">
        <w:tc>
          <w:tcPr>
            <w:tcW w:w="1080" w:type="dxa"/>
            <w:tcBorders>
              <w:top w:val="single" w:color="1A171C" w:sz="4" w:space="0"/>
              <w:left w:val="nil"/>
              <w:bottom w:val="single" w:color="1A171C" w:sz="4" w:space="0"/>
              <w:right w:val="single" w:color="1A171C" w:sz="4" w:space="0"/>
            </w:tcBorders>
            <w:vAlign w:val="center"/>
          </w:tcPr>
          <w:p w:rsidR="003600C0" w:rsidP="00CB3292" w:rsidRDefault="003600C0" w14:paraId="14213565" w14:textId="602CEC8B">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0070 - 0140</w:t>
            </w:r>
          </w:p>
        </w:tc>
        <w:tc>
          <w:tcPr>
            <w:tcW w:w="8003" w:type="dxa"/>
            <w:tcBorders>
              <w:top w:val="single" w:color="1A171C" w:sz="4" w:space="0"/>
              <w:left w:val="single" w:color="1A171C" w:sz="4" w:space="0"/>
              <w:bottom w:val="single" w:color="1A171C" w:sz="4" w:space="0"/>
              <w:right w:val="nil"/>
            </w:tcBorders>
            <w:vAlign w:val="center"/>
          </w:tcPr>
          <w:p w:rsidRPr="003600C0" w:rsidR="003600C0" w:rsidP="00CB3292" w:rsidRDefault="003600C0" w14:paraId="590A2720" w14:textId="77777777">
            <w:pPr>
              <w:pStyle w:val="TableParagraph"/>
              <w:spacing w:before="108"/>
              <w:jc w:val="both"/>
              <w:rPr>
                <w:rFonts w:ascii="Times New Roman" w:hAnsi="Times New Roman" w:cs="Times New Roman"/>
                <w:b/>
                <w:bCs/>
                <w:color w:val="000000" w:themeColor="text1"/>
                <w:sz w:val="20"/>
                <w:szCs w:val="20"/>
                <w:lang w:val="en-GB"/>
              </w:rPr>
            </w:pPr>
            <w:r w:rsidRPr="003600C0">
              <w:rPr>
                <w:rFonts w:ascii="Times New Roman" w:hAnsi="Times New Roman" w:cs="Times New Roman"/>
                <w:b/>
                <w:bCs/>
                <w:color w:val="000000" w:themeColor="text1"/>
                <w:sz w:val="20"/>
                <w:szCs w:val="20"/>
                <w:lang w:val="en-GB"/>
              </w:rPr>
              <w:t>Impact and Substitutability analyses</w:t>
            </w:r>
          </w:p>
          <w:p w:rsidRPr="005F5507" w:rsidR="003600C0" w:rsidP="003600C0" w:rsidRDefault="003600C0" w14:paraId="758BE2BE"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The assessment criteria for the impact on third parties shall include the following elements in accordance with Commission Delegated Regulation (EU) 2016/778 on critical functions:</w:t>
            </w:r>
          </w:p>
          <w:p w:rsidRPr="005F5507" w:rsidR="003600C0" w:rsidP="00CB3292" w:rsidRDefault="003600C0" w14:paraId="1286975A"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nature and reach of the activity, the global, national or regional reach, volume and number of transactions; the number of customers and counterparties; the number of customers for which the institution is the only or principal banking partner.</w:t>
            </w:r>
          </w:p>
          <w:p w:rsidRPr="005F5507" w:rsidR="003600C0" w:rsidP="00CB3292" w:rsidRDefault="003600C0" w14:paraId="506902C7"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p>
          <w:p w:rsidRPr="005F5507" w:rsidR="003600C0" w:rsidP="00CB3292" w:rsidRDefault="003600C0" w14:paraId="679C7723"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nature of the customers and stakeholders affected by the function, such as but not limited to retail customers, corporate customers, interbank customers, central clearing houses and public entities. </w:t>
            </w:r>
          </w:p>
          <w:p w:rsidRPr="005F5507" w:rsidR="003600C0" w:rsidP="00CB3292" w:rsidRDefault="003600C0" w14:paraId="78937AAA"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p>
          <w:p w:rsidRPr="005F5507" w:rsidR="003600C0" w:rsidP="003600C0" w:rsidRDefault="003600C0" w14:paraId="4CD5BCC0" w14:textId="77777777">
            <w:pPr>
              <w:pStyle w:val="TableParagraph"/>
              <w:spacing w:before="108"/>
              <w:jc w:val="both"/>
              <w:rPr>
                <w:rFonts w:ascii="Times New Roman" w:hAnsi="Times New Roman" w:cs="Times New Roman"/>
                <w:color w:val="000000" w:themeColor="text1"/>
                <w:sz w:val="20"/>
                <w:szCs w:val="20"/>
                <w:lang w:val="en-GB"/>
              </w:rPr>
            </w:pPr>
          </w:p>
        </w:tc>
      </w:tr>
      <w:tr w:rsidR="003600C0" w:rsidTr="003600C0" w14:paraId="2F2F61BE" w14:textId="77777777">
        <w:tc>
          <w:tcPr>
            <w:tcW w:w="1080" w:type="dxa"/>
            <w:tcBorders>
              <w:top w:val="single" w:color="1A171C" w:sz="4" w:space="0"/>
              <w:left w:val="nil"/>
              <w:bottom w:val="single" w:color="1A171C" w:sz="4" w:space="0"/>
              <w:right w:val="single" w:color="1A171C" w:sz="4" w:space="0"/>
            </w:tcBorders>
            <w:vAlign w:val="center"/>
          </w:tcPr>
          <w:p w:rsidR="003600C0" w:rsidP="00CB3292" w:rsidRDefault="003600C0" w14:paraId="09FA5739" w14:textId="32360523">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0070 – 0090</w:t>
            </w:r>
          </w:p>
        </w:tc>
        <w:tc>
          <w:tcPr>
            <w:tcW w:w="8003" w:type="dxa"/>
            <w:tcBorders>
              <w:top w:val="single" w:color="1A171C" w:sz="4" w:space="0"/>
              <w:left w:val="single" w:color="1A171C" w:sz="4" w:space="0"/>
              <w:bottom w:val="single" w:color="1A171C" w:sz="4" w:space="0"/>
              <w:right w:val="nil"/>
            </w:tcBorders>
            <w:vAlign w:val="center"/>
          </w:tcPr>
          <w:p w:rsidRPr="00EB5010" w:rsidR="003600C0" w:rsidP="003600C0" w:rsidRDefault="003600C0" w14:paraId="63F0CE3E" w14:textId="77777777">
            <w:pPr>
              <w:pStyle w:val="TableParagraph"/>
              <w:spacing w:before="108"/>
              <w:jc w:val="both"/>
              <w:rPr>
                <w:rFonts w:ascii="Times New Roman" w:hAnsi="Times New Roman" w:cs="Times New Roman"/>
                <w:b/>
                <w:bCs/>
                <w:color w:val="000000" w:themeColor="text1"/>
                <w:sz w:val="20"/>
                <w:szCs w:val="20"/>
                <w:lang w:val="en-GB"/>
              </w:rPr>
            </w:pPr>
            <w:r w:rsidRPr="00EB5010">
              <w:rPr>
                <w:rFonts w:ascii="Times New Roman" w:hAnsi="Times New Roman" w:cs="Times New Roman"/>
                <w:b/>
                <w:bCs/>
                <w:color w:val="000000" w:themeColor="text1"/>
                <w:sz w:val="20"/>
                <w:szCs w:val="20"/>
                <w:lang w:val="en-GB"/>
              </w:rPr>
              <w:t xml:space="preserve">Nature and Reach </w:t>
            </w:r>
          </w:p>
          <w:p w:rsidRPr="005F5507" w:rsidR="003600C0" w:rsidP="003600C0" w:rsidRDefault="003600C0" w14:paraId="282504A1"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The global, national or regional reach, volume and number of transactions; the number of customers and counterparties; the number of customers for which the institution is the only or principal banking partner.</w:t>
            </w:r>
          </w:p>
        </w:tc>
      </w:tr>
      <w:tr w:rsidRPr="00D43D39" w:rsidR="003600C0" w:rsidTr="003600C0" w14:paraId="2F46E07D"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47C573EA" w14:textId="5A7395BA">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0070</w:t>
            </w:r>
          </w:p>
        </w:tc>
        <w:tc>
          <w:tcPr>
            <w:tcW w:w="8003" w:type="dxa"/>
            <w:tcBorders>
              <w:top w:val="single" w:color="1A171C" w:sz="4" w:space="0"/>
              <w:left w:val="single" w:color="1A171C" w:sz="4" w:space="0"/>
              <w:bottom w:val="single" w:color="1A171C" w:sz="4" w:space="0"/>
              <w:right w:val="nil"/>
            </w:tcBorders>
            <w:vAlign w:val="center"/>
          </w:tcPr>
          <w:p w:rsidRPr="00EB5010" w:rsidR="003600C0" w:rsidP="003600C0" w:rsidRDefault="003600C0" w14:paraId="7CFCB331" w14:textId="77777777">
            <w:pPr>
              <w:pStyle w:val="TableParagraph"/>
              <w:spacing w:before="108"/>
              <w:jc w:val="both"/>
              <w:rPr>
                <w:rFonts w:ascii="Times New Roman" w:hAnsi="Times New Roman" w:cs="Times New Roman"/>
                <w:b/>
                <w:bCs/>
                <w:color w:val="000000" w:themeColor="text1"/>
                <w:sz w:val="20"/>
                <w:szCs w:val="20"/>
                <w:lang w:val="en-GB"/>
              </w:rPr>
            </w:pPr>
            <w:r w:rsidRPr="00EB5010">
              <w:rPr>
                <w:rFonts w:ascii="Times New Roman" w:hAnsi="Times New Roman" w:cs="Times New Roman"/>
                <w:b/>
                <w:bCs/>
                <w:color w:val="000000" w:themeColor="text1"/>
                <w:sz w:val="20"/>
                <w:szCs w:val="20"/>
                <w:lang w:val="en-GB"/>
              </w:rPr>
              <w:t>Size Indicator 1</w:t>
            </w:r>
          </w:p>
          <w:p w:rsidRPr="005F5507" w:rsidR="003600C0" w:rsidP="003600C0" w:rsidRDefault="003600C0" w14:paraId="0573612E" w14:textId="59555D2A">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Assess how important the bank is in these activities. This assessment </w:t>
            </w:r>
            <w:r w:rsidR="002526C2">
              <w:rPr>
                <w:rFonts w:ascii="Times New Roman" w:hAnsi="Times New Roman" w:cs="Times New Roman"/>
                <w:color w:val="000000" w:themeColor="text1"/>
                <w:sz w:val="20"/>
                <w:szCs w:val="20"/>
                <w:lang w:val="en-GB"/>
              </w:rPr>
              <w:t>is</w:t>
            </w:r>
            <w:r w:rsidRPr="005F5507">
              <w:rPr>
                <w:rFonts w:ascii="Times New Roman" w:hAnsi="Times New Roman" w:cs="Times New Roman"/>
                <w:color w:val="000000" w:themeColor="text1"/>
                <w:sz w:val="20"/>
                <w:szCs w:val="20"/>
                <w:lang w:val="en-GB"/>
              </w:rPr>
              <w: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p>
          <w:p w:rsidRPr="00CB3292" w:rsidR="00E3753D" w:rsidP="00E3753D" w:rsidRDefault="00E3753D" w14:paraId="6698E451" w14:textId="77777777">
            <w:pPr>
              <w:pStyle w:val="ListParagraph"/>
              <w:numPr>
                <w:ilvl w:val="0"/>
                <w:numId w:val="130"/>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value</w:t>
            </w:r>
            <w:r w:rsidRPr="00D43D39">
              <w:rPr>
                <w:rFonts w:ascii="Times New Roman" w:hAnsi="Times New Roman" w:eastAsia="Times New Roman"/>
                <w:sz w:val="20"/>
                <w:szCs w:val="20"/>
              </w:rPr>
              <w:t xml:space="preserve"> of loans outstanding and committed (c0030 + c0040) from an </w:t>
            </w:r>
            <w:r w:rsidRPr="00D43D39">
              <w:rPr>
                <w:rFonts w:ascii="Times New Roman" w:hAnsi="Times New Roman" w:eastAsia="Times New Roman"/>
                <w:b/>
                <w:bCs/>
                <w:sz w:val="20"/>
                <w:szCs w:val="20"/>
              </w:rPr>
              <w:t>EU</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[one level higher than the relevant market].</w:t>
            </w:r>
            <w:r w:rsidRPr="00D43D39">
              <w:rPr>
                <w:rFonts w:ascii="Times New Roman" w:hAnsi="Times New Roman" w:eastAsia="Times New Roman"/>
                <w:sz w:val="20"/>
                <w:szCs w:val="20"/>
              </w:rPr>
              <w:t xml:space="preserve"> In the assessment of this size indicator, also take into account the potential future lending flows. You may use the existing lending stock as a proxy for future lending flows, if you </w:t>
            </w:r>
            <w:r w:rsidRPr="00D43D39">
              <w:rPr>
                <w:rFonts w:ascii="Times New Roman" w:hAnsi="Times New Roman" w:eastAsia="Times New Roman"/>
                <w:sz w:val="20"/>
                <w:szCs w:val="20"/>
              </w:rPr>
              <w:t xml:space="preserve">consider that past activity accurately reflects planned lending activity in the short to medium term. </w:t>
            </w:r>
          </w:p>
          <w:p w:rsidRPr="00D43D39" w:rsidR="00E3753D" w:rsidP="00E3753D" w:rsidRDefault="00E3753D" w14:paraId="127BF2E9" w14:textId="77777777">
            <w:pPr>
              <w:pStyle w:val="ListParagraph"/>
              <w:numPr>
                <w:ilvl w:val="1"/>
                <w:numId w:val="127"/>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From an EU perspective, how large do you believe the value of loans outstanding and committed, as a proxy for future lending flows, is?</w:t>
            </w:r>
          </w:p>
          <w:p w:rsidRPr="005F5507" w:rsidR="003600C0" w:rsidP="003600C0" w:rsidRDefault="003600C0" w14:paraId="3663D749" w14:textId="77777777">
            <w:pPr>
              <w:pStyle w:val="TableParagraph"/>
              <w:spacing w:before="108"/>
              <w:jc w:val="both"/>
              <w:rPr>
                <w:rFonts w:ascii="Times New Roman" w:hAnsi="Times New Roman" w:cs="Times New Roman"/>
                <w:color w:val="000000" w:themeColor="text1"/>
                <w:sz w:val="20"/>
                <w:szCs w:val="20"/>
                <w:lang w:val="en-GB"/>
              </w:rPr>
            </w:pPr>
          </w:p>
        </w:tc>
      </w:tr>
      <w:tr w:rsidRPr="00D43D39" w:rsidR="003600C0" w:rsidTr="003600C0" w14:paraId="10FEDE43"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4D1EF480" w14:textId="6CF89935">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0080</w:t>
            </w:r>
          </w:p>
        </w:tc>
        <w:tc>
          <w:tcPr>
            <w:tcW w:w="8003" w:type="dxa"/>
            <w:tcBorders>
              <w:top w:val="single" w:color="1A171C" w:sz="4" w:space="0"/>
              <w:left w:val="single" w:color="1A171C" w:sz="4" w:space="0"/>
              <w:bottom w:val="single" w:color="1A171C" w:sz="4" w:space="0"/>
              <w:right w:val="nil"/>
            </w:tcBorders>
            <w:vAlign w:val="center"/>
          </w:tcPr>
          <w:p w:rsidRPr="00EB5010" w:rsidR="003600C0" w:rsidP="003600C0" w:rsidRDefault="003600C0" w14:paraId="3796AB37" w14:textId="77777777">
            <w:pPr>
              <w:pStyle w:val="TableParagraph"/>
              <w:spacing w:before="108"/>
              <w:jc w:val="both"/>
              <w:rPr>
                <w:rFonts w:ascii="Times New Roman" w:hAnsi="Times New Roman" w:cs="Times New Roman"/>
                <w:b/>
                <w:bCs/>
                <w:color w:val="000000" w:themeColor="text1"/>
                <w:sz w:val="20"/>
                <w:szCs w:val="20"/>
                <w:lang w:val="en-GB"/>
              </w:rPr>
            </w:pPr>
            <w:r w:rsidRPr="00EB5010">
              <w:rPr>
                <w:rFonts w:ascii="Times New Roman" w:hAnsi="Times New Roman" w:cs="Times New Roman"/>
                <w:b/>
                <w:bCs/>
                <w:color w:val="000000" w:themeColor="text1"/>
                <w:sz w:val="20"/>
                <w:szCs w:val="20"/>
                <w:lang w:val="en-GB"/>
              </w:rPr>
              <w:t>Size Indicator 2</w:t>
            </w:r>
          </w:p>
          <w:p w:rsidRPr="005F5507" w:rsidR="003600C0" w:rsidP="003600C0" w:rsidRDefault="003600C0" w14:paraId="2A333938"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p>
          <w:p w:rsidRPr="00CB3292" w:rsidR="00E3753D" w:rsidP="00E3753D" w:rsidRDefault="00E3753D" w14:paraId="61FA1CF8" w14:textId="77777777">
            <w:pPr>
              <w:pStyle w:val="ListParagraph"/>
              <w:numPr>
                <w:ilvl w:val="0"/>
                <w:numId w:val="121"/>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w:t>
            </w:r>
            <w:r w:rsidRPr="00D43D39">
              <w:rPr>
                <w:rFonts w:ascii="Times New Roman" w:hAnsi="Times New Roman" w:eastAsia="Times New Roman"/>
                <w:b/>
                <w:bCs/>
                <w:sz w:val="20"/>
                <w:szCs w:val="20"/>
              </w:rPr>
              <w:t>number</w:t>
            </w:r>
            <w:r w:rsidRPr="00D43D39">
              <w:rPr>
                <w:rFonts w:ascii="Times New Roman" w:hAnsi="Times New Roman" w:eastAsia="Times New Roman"/>
                <w:sz w:val="20"/>
                <w:szCs w:val="20"/>
              </w:rPr>
              <w:t xml:space="preserve"> of clients (c0050) from a </w:t>
            </w:r>
            <w:r w:rsidRPr="00D43D39">
              <w:rPr>
                <w:rFonts w:ascii="Times New Roman" w:hAnsi="Times New Roman" w:eastAsia="Times New Roman"/>
                <w:b/>
                <w:bCs/>
                <w:sz w:val="20"/>
                <w:szCs w:val="20"/>
              </w:rPr>
              <w:t>national</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[at the level of the relevant market]</w:t>
            </w:r>
            <w:r w:rsidRPr="00D43D39">
              <w:rPr>
                <w:rFonts w:ascii="Times New Roman" w:hAnsi="Times New Roman" w:eastAsia="Times New Roman"/>
                <w:sz w:val="20"/>
                <w:szCs w:val="20"/>
              </w:rPr>
              <w:t>:</w:t>
            </w:r>
          </w:p>
          <w:p w:rsidRPr="00D43D39" w:rsidR="00E3753D" w:rsidP="00E3753D" w:rsidRDefault="00E3753D" w14:paraId="53363FE4" w14:textId="0CB69792">
            <w:pPr>
              <w:pStyle w:val="ListParagraph"/>
              <w:numPr>
                <w:ilvl w:val="1"/>
                <w:numId w:val="121"/>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From a national perspective, how large </w:t>
            </w:r>
            <w:r w:rsidR="00177ED9">
              <w:rPr>
                <w:rFonts w:ascii="Times New Roman" w:hAnsi="Times New Roman" w:eastAsia="Times New Roman"/>
                <w:sz w:val="20"/>
                <w:szCs w:val="20"/>
              </w:rPr>
              <w:t>is the estimated</w:t>
            </w:r>
            <w:r w:rsidRPr="00D43D39">
              <w:rPr>
                <w:rFonts w:ascii="Times New Roman" w:hAnsi="Times New Roman" w:eastAsia="Times New Roman"/>
                <w:sz w:val="20"/>
                <w:szCs w:val="20"/>
              </w:rPr>
              <w:t xml:space="preserve"> the total number of clients of </w:t>
            </w:r>
            <w:r w:rsidR="00177ED9">
              <w:rPr>
                <w:rFonts w:ascii="Times New Roman" w:hAnsi="Times New Roman" w:eastAsia="Times New Roman"/>
                <w:sz w:val="20"/>
                <w:szCs w:val="20"/>
              </w:rPr>
              <w:t>the</w:t>
            </w:r>
            <w:r w:rsidRPr="00D43D39">
              <w:rPr>
                <w:rFonts w:ascii="Times New Roman" w:hAnsi="Times New Roman" w:eastAsia="Times New Roman"/>
                <w:sz w:val="20"/>
                <w:szCs w:val="20"/>
              </w:rPr>
              <w:t xml:space="preserve"> institution?</w:t>
            </w:r>
          </w:p>
          <w:p w:rsidRPr="005F5507" w:rsidR="00E3753D" w:rsidP="00E3753D" w:rsidRDefault="00E3753D" w14:paraId="0690F572" w14:textId="77777777">
            <w:pPr>
              <w:pStyle w:val="ListParagraph"/>
              <w:numPr>
                <w:ilvl w:val="0"/>
                <w:numId w:val="121"/>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Number of EU countries where the reporting entity has a market share above 2% (expressed in value of outstanding loans). </w:t>
            </w:r>
            <w:r>
              <w:rPr>
                <w:rFonts w:ascii="Times New Roman" w:hAnsi="Times New Roman" w:eastAsia="Times New Roman"/>
                <w:sz w:val="20"/>
                <w:szCs w:val="20"/>
              </w:rPr>
              <w:t>Report</w:t>
            </w:r>
            <w:r w:rsidRPr="00D43D39">
              <w:rPr>
                <w:rFonts w:ascii="Times New Roman" w:hAnsi="Times New Roman" w:eastAsia="Times New Roman"/>
                <w:sz w:val="20"/>
                <w:szCs w:val="20"/>
              </w:rPr>
              <w:t xml:space="preserve">: </w:t>
            </w:r>
          </w:p>
          <w:p w:rsidRPr="005F5507" w:rsidR="00E3753D" w:rsidP="005F5507" w:rsidRDefault="00E3753D" w14:paraId="62FCA5CB" w14:textId="77777777">
            <w:pPr>
              <w:pStyle w:val="ListParagraph"/>
              <w:numPr>
                <w:ilvl w:val="1"/>
                <w:numId w:val="279"/>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L: ≤1 country; </w:t>
            </w:r>
          </w:p>
          <w:p w:rsidRPr="005F5507" w:rsidR="00E3753D" w:rsidP="005F5507" w:rsidRDefault="00E3753D" w14:paraId="40B7D99C" w14:textId="77777777">
            <w:pPr>
              <w:pStyle w:val="ListParagraph"/>
              <w:numPr>
                <w:ilvl w:val="1"/>
                <w:numId w:val="279"/>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ML: [2-3 countries]; </w:t>
            </w:r>
          </w:p>
          <w:p w:rsidRPr="005F5507" w:rsidR="00E3753D" w:rsidP="005F5507" w:rsidRDefault="00E3753D" w14:paraId="4BD2967C" w14:textId="77777777">
            <w:pPr>
              <w:pStyle w:val="ListParagraph"/>
              <w:numPr>
                <w:ilvl w:val="1"/>
                <w:numId w:val="279"/>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MH: [4-5 countries], </w:t>
            </w:r>
          </w:p>
          <w:p w:rsidRPr="00CB3292" w:rsidR="00E3753D" w:rsidP="005F5507" w:rsidRDefault="00E3753D" w14:paraId="402A9E75" w14:textId="682418A6">
            <w:pPr>
              <w:pStyle w:val="ListParagraph"/>
              <w:numPr>
                <w:ilvl w:val="1"/>
                <w:numId w:val="279"/>
              </w:numPr>
              <w:rPr>
                <w:rFonts w:ascii="Times New Roman" w:hAnsi="Times New Roman" w:eastAsia="Times New Roman"/>
                <w:i/>
                <w:iCs/>
                <w:sz w:val="20"/>
                <w:szCs w:val="20"/>
              </w:rPr>
            </w:pPr>
            <w:r w:rsidRPr="00D43D39">
              <w:rPr>
                <w:rFonts w:ascii="Times New Roman" w:hAnsi="Times New Roman" w:eastAsia="Times New Roman"/>
                <w:sz w:val="20"/>
                <w:szCs w:val="20"/>
              </w:rPr>
              <w:t>H: &gt;5 countries.</w:t>
            </w:r>
          </w:p>
          <w:p w:rsidRPr="005F5507" w:rsidR="003600C0" w:rsidP="003600C0" w:rsidRDefault="003600C0" w14:paraId="0A26E3D3" w14:textId="77777777">
            <w:pPr>
              <w:pStyle w:val="TableParagraph"/>
              <w:spacing w:before="108"/>
              <w:jc w:val="both"/>
              <w:rPr>
                <w:rFonts w:ascii="Times New Roman" w:hAnsi="Times New Roman" w:cs="Times New Roman"/>
                <w:color w:val="000000" w:themeColor="text1"/>
                <w:sz w:val="20"/>
                <w:szCs w:val="20"/>
                <w:lang w:val="en-GB"/>
              </w:rPr>
            </w:pPr>
          </w:p>
        </w:tc>
      </w:tr>
      <w:tr w:rsidRPr="00D43D39" w:rsidR="003600C0" w:rsidTr="003600C0" w14:paraId="13ACFBCF"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1CA16431" w14:textId="3646CA4B">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0090</w:t>
            </w:r>
          </w:p>
        </w:tc>
        <w:tc>
          <w:tcPr>
            <w:tcW w:w="8003" w:type="dxa"/>
            <w:tcBorders>
              <w:top w:val="single" w:color="1A171C" w:sz="4" w:space="0"/>
              <w:left w:val="single" w:color="1A171C" w:sz="4" w:space="0"/>
              <w:bottom w:val="single" w:color="1A171C" w:sz="4" w:space="0"/>
              <w:right w:val="nil"/>
            </w:tcBorders>
            <w:vAlign w:val="center"/>
          </w:tcPr>
          <w:p w:rsidRPr="00EB5010" w:rsidR="003600C0" w:rsidP="003600C0" w:rsidRDefault="003600C0" w14:paraId="768D79F3" w14:textId="77777777">
            <w:pPr>
              <w:pStyle w:val="TableParagraph"/>
              <w:spacing w:before="108"/>
              <w:jc w:val="both"/>
              <w:rPr>
                <w:rFonts w:ascii="Times New Roman" w:hAnsi="Times New Roman" w:cs="Times New Roman"/>
                <w:b/>
                <w:bCs/>
                <w:color w:val="000000" w:themeColor="text1"/>
                <w:sz w:val="20"/>
                <w:szCs w:val="20"/>
                <w:lang w:val="en-GB"/>
              </w:rPr>
            </w:pPr>
            <w:r w:rsidRPr="00EB5010">
              <w:rPr>
                <w:rFonts w:ascii="Times New Roman" w:hAnsi="Times New Roman" w:cs="Times New Roman"/>
                <w:b/>
                <w:bCs/>
                <w:color w:val="000000" w:themeColor="text1"/>
                <w:sz w:val="20"/>
                <w:szCs w:val="20"/>
                <w:lang w:val="en-GB"/>
              </w:rPr>
              <w:t>Cross border indicator</w:t>
            </w:r>
          </w:p>
          <w:p w:rsidRPr="005F5507" w:rsidR="003600C0" w:rsidP="003600C0" w:rsidRDefault="003600C0" w14:paraId="2C8C4A6D"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Assess the relative importance of cross-border activities for the different economic functions.</w:t>
            </w:r>
          </w:p>
          <w:p w:rsidRPr="005F5507" w:rsidR="003600C0" w:rsidP="003600C0" w:rsidRDefault="003600C0" w14:paraId="1D1007D9"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does not need to be assessed in case of reports in which the relevant market is considered to be regional. </w:t>
            </w:r>
          </w:p>
          <w:p w:rsidR="002B447C" w:rsidP="00CB3292" w:rsidRDefault="002B447C" w14:paraId="47D95F6F" w14:textId="77777777">
            <w:pPr>
              <w:pStyle w:val="TableParagraph"/>
              <w:spacing w:before="108"/>
              <w:jc w:val="both"/>
              <w:rPr>
                <w:rFonts w:ascii="Times New Roman" w:hAnsi="Times New Roman" w:eastAsia="Times New Roman"/>
                <w:sz w:val="20"/>
                <w:szCs w:val="20"/>
              </w:rPr>
            </w:pPr>
            <w:r w:rsidRPr="00D43D39">
              <w:rPr>
                <w:rFonts w:ascii="Times New Roman" w:hAnsi="Times New Roman" w:eastAsia="Times New Roman"/>
                <w:sz w:val="20"/>
                <w:szCs w:val="20"/>
              </w:rPr>
              <w:t xml:space="preserve">Number of EU countries where the reporting entity has a market share above 2% (expressed in value of outstanding loans). </w:t>
            </w:r>
            <w:r>
              <w:rPr>
                <w:rFonts w:ascii="Times New Roman" w:hAnsi="Times New Roman" w:eastAsia="Times New Roman"/>
                <w:sz w:val="20"/>
                <w:szCs w:val="20"/>
              </w:rPr>
              <w:t>Report</w:t>
            </w:r>
            <w:r w:rsidRPr="00D43D39">
              <w:rPr>
                <w:rFonts w:ascii="Times New Roman" w:hAnsi="Times New Roman" w:eastAsia="Times New Roman"/>
                <w:sz w:val="20"/>
                <w:szCs w:val="20"/>
              </w:rPr>
              <w:t xml:space="preserve">: </w:t>
            </w:r>
          </w:p>
          <w:p w:rsidR="002B447C" w:rsidP="005F5507" w:rsidRDefault="002B447C" w14:paraId="196D520A" w14:textId="77777777">
            <w:pPr>
              <w:pStyle w:val="TableParagraph"/>
              <w:numPr>
                <w:ilvl w:val="0"/>
                <w:numId w:val="282"/>
              </w:numPr>
              <w:spacing w:before="108"/>
              <w:jc w:val="both"/>
              <w:rPr>
                <w:rFonts w:ascii="Times New Roman" w:hAnsi="Times New Roman" w:eastAsia="Times New Roman"/>
                <w:sz w:val="20"/>
                <w:szCs w:val="20"/>
              </w:rPr>
            </w:pPr>
            <w:r w:rsidRPr="00D43D39">
              <w:rPr>
                <w:rFonts w:ascii="Times New Roman" w:hAnsi="Times New Roman" w:eastAsia="Times New Roman"/>
                <w:sz w:val="20"/>
                <w:szCs w:val="20"/>
              </w:rPr>
              <w:t xml:space="preserve">L: ≤1 country; </w:t>
            </w:r>
          </w:p>
          <w:p w:rsidR="002B447C" w:rsidP="005F5507" w:rsidRDefault="002B447C" w14:paraId="6558EAC6" w14:textId="77777777">
            <w:pPr>
              <w:pStyle w:val="TableParagraph"/>
              <w:numPr>
                <w:ilvl w:val="0"/>
                <w:numId w:val="282"/>
              </w:numPr>
              <w:spacing w:before="108"/>
              <w:jc w:val="both"/>
              <w:rPr>
                <w:rFonts w:ascii="Times New Roman" w:hAnsi="Times New Roman" w:eastAsia="Times New Roman"/>
                <w:sz w:val="20"/>
                <w:szCs w:val="20"/>
              </w:rPr>
            </w:pPr>
            <w:r w:rsidRPr="00D43D39">
              <w:rPr>
                <w:rFonts w:ascii="Times New Roman" w:hAnsi="Times New Roman" w:eastAsia="Times New Roman"/>
                <w:sz w:val="20"/>
                <w:szCs w:val="20"/>
              </w:rPr>
              <w:t xml:space="preserve">ML: [2-3 countries]; </w:t>
            </w:r>
          </w:p>
          <w:p w:rsidR="002B447C" w:rsidP="005F5507" w:rsidRDefault="002B447C" w14:paraId="18791065" w14:textId="77777777">
            <w:pPr>
              <w:pStyle w:val="TableParagraph"/>
              <w:numPr>
                <w:ilvl w:val="0"/>
                <w:numId w:val="282"/>
              </w:numPr>
              <w:spacing w:before="108"/>
              <w:jc w:val="both"/>
              <w:rPr>
                <w:rFonts w:ascii="Times New Roman" w:hAnsi="Times New Roman" w:eastAsia="Times New Roman"/>
                <w:sz w:val="20"/>
                <w:szCs w:val="20"/>
              </w:rPr>
            </w:pPr>
            <w:r w:rsidRPr="00D43D39">
              <w:rPr>
                <w:rFonts w:ascii="Times New Roman" w:hAnsi="Times New Roman" w:eastAsia="Times New Roman"/>
                <w:sz w:val="20"/>
                <w:szCs w:val="20"/>
              </w:rPr>
              <w:t xml:space="preserve">MH: [4-5 countries], </w:t>
            </w:r>
          </w:p>
          <w:p w:rsidRPr="005F5507" w:rsidR="003600C0" w:rsidP="005F5507" w:rsidRDefault="002B447C" w14:paraId="0B09D7EB" w14:textId="1F33921C">
            <w:pPr>
              <w:pStyle w:val="TableParagraph"/>
              <w:numPr>
                <w:ilvl w:val="0"/>
                <w:numId w:val="282"/>
              </w:numPr>
              <w:spacing w:before="108"/>
              <w:jc w:val="both"/>
              <w:rPr>
                <w:rFonts w:ascii="Times New Roman" w:hAnsi="Times New Roman" w:cs="Times New Roman"/>
                <w:color w:val="000000" w:themeColor="text1"/>
                <w:sz w:val="20"/>
                <w:szCs w:val="20"/>
                <w:lang w:val="en-GB"/>
              </w:rPr>
            </w:pPr>
            <w:r w:rsidRPr="00D43D39">
              <w:rPr>
                <w:rFonts w:ascii="Times New Roman" w:hAnsi="Times New Roman" w:eastAsia="Times New Roman"/>
                <w:sz w:val="20"/>
                <w:szCs w:val="20"/>
              </w:rPr>
              <w:t>H: &gt;5 countries</w:t>
            </w:r>
          </w:p>
        </w:tc>
      </w:tr>
      <w:tr w:rsidRPr="00D43D39" w:rsidR="003600C0" w:rsidTr="003600C0" w14:paraId="3443AAEB"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6E44F8D5" w14:textId="3A90DB1D">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81894">
              <w:rPr>
                <w:rFonts w:ascii="Times New Roman" w:hAnsi="Times New Roman" w:eastAsia="Cambria" w:cs="Times New Roman"/>
                <w:color w:val="000000" w:themeColor="text1"/>
                <w:spacing w:val="-2"/>
                <w:w w:val="95"/>
                <w:sz w:val="20"/>
                <w:szCs w:val="20"/>
                <w:lang w:val="en-GB"/>
              </w:rPr>
              <w:t>00</w:t>
            </w:r>
          </w:p>
        </w:tc>
        <w:tc>
          <w:tcPr>
            <w:tcW w:w="8003" w:type="dxa"/>
            <w:tcBorders>
              <w:top w:val="single" w:color="1A171C" w:sz="4" w:space="0"/>
              <w:left w:val="single" w:color="1A171C" w:sz="4" w:space="0"/>
              <w:bottom w:val="single" w:color="1A171C" w:sz="4" w:space="0"/>
              <w:right w:val="nil"/>
            </w:tcBorders>
            <w:vAlign w:val="center"/>
          </w:tcPr>
          <w:p w:rsidRPr="005F5507" w:rsidR="003600C0" w:rsidP="003600C0" w:rsidRDefault="003600C0" w14:paraId="670AEBE7" w14:textId="77777777">
            <w:pPr>
              <w:pStyle w:val="TableParagraph"/>
              <w:spacing w:before="108"/>
              <w:jc w:val="both"/>
              <w:rPr>
                <w:rFonts w:ascii="Times New Roman" w:hAnsi="Times New Roman" w:cs="Times New Roman"/>
                <w:color w:val="000000" w:themeColor="text1"/>
                <w:sz w:val="20"/>
                <w:szCs w:val="20"/>
                <w:lang w:val="en-GB"/>
              </w:rPr>
            </w:pPr>
            <w:r w:rsidRPr="00EB5010">
              <w:rPr>
                <w:rFonts w:ascii="Times New Roman" w:hAnsi="Times New Roman" w:cs="Times New Roman"/>
                <w:b/>
                <w:bCs/>
                <w:color w:val="000000" w:themeColor="text1"/>
                <w:sz w:val="20"/>
                <w:szCs w:val="20"/>
                <w:lang w:val="en-GB"/>
              </w:rPr>
              <w:t xml:space="preserve">Relevance </w:t>
            </w:r>
            <w:r w:rsidRPr="005F5507">
              <w:rPr>
                <w:rFonts w:ascii="Times New Roman" w:hAnsi="Times New Roman" w:cs="Times New Roman"/>
                <w:color w:val="000000" w:themeColor="text1"/>
                <w:sz w:val="20"/>
                <w:szCs w:val="20"/>
                <w:lang w:val="en-GB"/>
              </w:rPr>
              <w:t xml:space="preserve">– </w:t>
            </w:r>
          </w:p>
          <w:p w:rsidRPr="005F5507" w:rsidR="003600C0" w:rsidP="003600C0" w:rsidRDefault="003600C0" w14:paraId="2908E5BF"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On a local, regional, national or European level, as appropriate for the market concerned. The relevance of the institution may be assessed on the basis of the market share, the interconnectedness, the complexity and cross- border activities.</w:t>
            </w:r>
          </w:p>
          <w:p w:rsidRPr="008B5E5B" w:rsidR="003600C0" w:rsidP="003600C0" w:rsidRDefault="003600C0" w14:paraId="55628848" w14:textId="77777777">
            <w:pPr>
              <w:pStyle w:val="TableParagraph"/>
              <w:spacing w:before="108"/>
              <w:jc w:val="both"/>
              <w:rPr>
                <w:rFonts w:ascii="Times New Roman" w:hAnsi="Times New Roman" w:cs="Times New Roman"/>
                <w:b/>
                <w:bCs/>
                <w:color w:val="000000" w:themeColor="text1"/>
                <w:sz w:val="20"/>
                <w:szCs w:val="20"/>
                <w:lang w:val="en-GB"/>
              </w:rPr>
            </w:pPr>
            <w:r w:rsidRPr="008B5E5B">
              <w:rPr>
                <w:rFonts w:ascii="Times New Roman" w:hAnsi="Times New Roman" w:cs="Times New Roman"/>
                <w:b/>
                <w:bCs/>
                <w:color w:val="000000" w:themeColor="text1"/>
                <w:sz w:val="20"/>
                <w:szCs w:val="20"/>
                <w:lang w:val="en-GB"/>
              </w:rPr>
              <w:t>Market Share</w:t>
            </w:r>
          </w:p>
          <w:p w:rsidRPr="005F5507" w:rsidR="003600C0" w:rsidP="003600C0" w:rsidRDefault="003600C0" w14:paraId="40131F54"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Assess how important the reporting entity’s market share is, compared to the national or other relevant market, as indicated in the template. This assessment is expressed qualitatively as </w:t>
            </w:r>
          </w:p>
          <w:p w:rsidRPr="005F5507" w:rsidR="003600C0" w:rsidP="00CB3292" w:rsidRDefault="003600C0" w14:paraId="38A5A5F1"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High (H), if the market share is large</w:t>
            </w:r>
          </w:p>
          <w:p w:rsidRPr="005F5507" w:rsidR="003600C0" w:rsidP="00CB3292" w:rsidRDefault="003600C0" w14:paraId="45DBF2E1"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Medium-High (MH), if the market share is medium</w:t>
            </w:r>
          </w:p>
          <w:p w:rsidRPr="005F5507" w:rsidR="003600C0" w:rsidP="00CB3292" w:rsidRDefault="003600C0" w14:paraId="220183E6"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Medium-Low (ML) if the market share is small or </w:t>
            </w:r>
          </w:p>
          <w:p w:rsidRPr="005F5507" w:rsidR="003600C0" w:rsidP="00CB3292" w:rsidRDefault="003600C0" w14:paraId="2F2DC015"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Low (L)’ if the market share is negligible. </w:t>
            </w:r>
          </w:p>
          <w:p w:rsidRPr="005F5507" w:rsidR="003600C0" w:rsidP="003600C0" w:rsidRDefault="003600C0" w14:paraId="092EC1F2"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assessment takes into account the market structure of the reporting entity’s country (or other </w:t>
            </w:r>
            <w:r w:rsidRPr="005F5507">
              <w:rPr>
                <w:rFonts w:ascii="Times New Roman" w:hAnsi="Times New Roman" w:cs="Times New Roman"/>
                <w:color w:val="000000" w:themeColor="text1"/>
                <w:sz w:val="20"/>
                <w:szCs w:val="20"/>
                <w:lang w:val="en-GB"/>
              </w:rPr>
              <w:t xml:space="preserve">relevant market), and market shares reported in part </w:t>
            </w:r>
          </w:p>
          <w:p w:rsidRPr="005F5507" w:rsidR="003600C0" w:rsidP="003600C0" w:rsidRDefault="003600C0" w14:paraId="61D30BFF"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2.Quantitative data:</w:t>
            </w:r>
          </w:p>
          <w:p w:rsidRPr="00CB3292" w:rsidR="008B5E5B" w:rsidP="008B5E5B" w:rsidRDefault="008B5E5B" w14:paraId="6CDF3F05" w14:textId="77777777">
            <w:pPr>
              <w:pStyle w:val="ListParagraph"/>
              <w:numPr>
                <w:ilvl w:val="0"/>
                <w:numId w:val="117"/>
              </w:numPr>
              <w:spacing w:line="276" w:lineRule="auto"/>
              <w:jc w:val="both"/>
              <w:rPr>
                <w:rFonts w:ascii="Times New Roman" w:hAnsi="Times New Roman" w:eastAsia="Times New Roman"/>
                <w:i/>
                <w:iCs/>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 xml:space="preserve">national </w:t>
            </w:r>
            <w:r w:rsidRPr="00D43D39">
              <w:rPr>
                <w:rFonts w:ascii="Times New Roman" w:hAnsi="Times New Roman" w:eastAsia="Times New Roman"/>
                <w:sz w:val="20"/>
                <w:szCs w:val="20"/>
              </w:rPr>
              <w:t>market share (reported in c0020, except in cases where the report is provided for a different relevant market level, in which case an assessment of the relevant market share is expected).</w:t>
            </w:r>
          </w:p>
          <w:p w:rsidRPr="005F5507" w:rsidR="003600C0" w:rsidP="003600C0" w:rsidRDefault="003600C0" w14:paraId="7880207B" w14:textId="77777777">
            <w:pPr>
              <w:pStyle w:val="TableParagraph"/>
              <w:spacing w:before="108"/>
              <w:rPr>
                <w:rFonts w:ascii="Times New Roman" w:hAnsi="Times New Roman" w:cs="Times New Roman"/>
                <w:color w:val="000000" w:themeColor="text1"/>
                <w:sz w:val="20"/>
                <w:szCs w:val="20"/>
                <w:lang w:val="en-GB"/>
              </w:rPr>
            </w:pPr>
          </w:p>
          <w:p w:rsidRPr="005F5507" w:rsidR="003600C0" w:rsidP="003600C0" w:rsidRDefault="003600C0" w14:paraId="666B0FA2"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67C1984C"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2300D6E2" w14:textId="4EFADF83">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81894">
              <w:rPr>
                <w:rFonts w:ascii="Times New Roman" w:hAnsi="Times New Roman" w:eastAsia="Cambria" w:cs="Times New Roman"/>
                <w:color w:val="000000" w:themeColor="text1"/>
                <w:spacing w:val="-2"/>
                <w:w w:val="95"/>
                <w:sz w:val="20"/>
                <w:szCs w:val="20"/>
                <w:lang w:val="en-GB"/>
              </w:rPr>
              <w:t>1</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B5010" w:rsidR="003600C0" w:rsidP="003600C0" w:rsidRDefault="003600C0" w14:paraId="724069F3" w14:textId="77777777">
            <w:pPr>
              <w:pStyle w:val="TableParagraph"/>
              <w:spacing w:before="108"/>
              <w:jc w:val="both"/>
              <w:rPr>
                <w:rFonts w:ascii="Times New Roman" w:hAnsi="Times New Roman" w:cs="Times New Roman"/>
                <w:b/>
                <w:bCs/>
                <w:color w:val="000000" w:themeColor="text1"/>
                <w:sz w:val="20"/>
                <w:szCs w:val="20"/>
                <w:lang w:val="en-GB"/>
              </w:rPr>
            </w:pPr>
            <w:r w:rsidRPr="00EB5010">
              <w:rPr>
                <w:rFonts w:ascii="Times New Roman" w:hAnsi="Times New Roman" w:cs="Times New Roman"/>
                <w:b/>
                <w:bCs/>
                <w:color w:val="000000" w:themeColor="text1"/>
                <w:sz w:val="20"/>
                <w:szCs w:val="20"/>
                <w:lang w:val="en-GB"/>
              </w:rPr>
              <w:t>Market Structure – Market concentration</w:t>
            </w:r>
          </w:p>
          <w:p w:rsidRPr="005F5507" w:rsidR="003600C0" w:rsidP="003600C0" w:rsidRDefault="003600C0" w14:paraId="2C2D84EB"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The market concentration, measured by the number of competitors currently performing </w:t>
            </w:r>
          </w:p>
          <w:p w:rsidRPr="005F5507" w:rsidR="003600C0" w:rsidP="003600C0" w:rsidRDefault="003600C0" w14:paraId="6950E5BD"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similar economic functions and/or offering similar services on equal terms (i.e. to a </w:t>
            </w:r>
          </w:p>
          <w:p w:rsidRPr="005F5507" w:rsidR="003600C0" w:rsidP="003600C0" w:rsidRDefault="003600C0" w14:paraId="5F8A709B"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comparable extent and quality and at a comparable cost) that potentially take over </w:t>
            </w:r>
          </w:p>
          <w:p w:rsidRPr="005F5507" w:rsidR="003600C0" w:rsidP="003600C0" w:rsidRDefault="003600C0" w14:paraId="5D0EC831"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(part of) the clients and/or business of the reporting entity within a reasonable timeframe. </w:t>
            </w:r>
          </w:p>
          <w:p w:rsidRPr="005F5507" w:rsidR="003600C0" w:rsidP="003600C0" w:rsidRDefault="003600C0" w14:paraId="1B22F07F"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has to be reported in buckets, which are the same for each sub-function </w:t>
            </w:r>
          </w:p>
          <w:p w:rsidRPr="005F5507" w:rsidR="003600C0" w:rsidP="00CB3292" w:rsidRDefault="003600C0" w14:paraId="2670F2CF"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≥20; </w:t>
            </w:r>
          </w:p>
          <w:p w:rsidRPr="005F5507" w:rsidR="003600C0" w:rsidP="00CB3292" w:rsidRDefault="003600C0" w14:paraId="561FAB4A"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(10-20); </w:t>
            </w:r>
          </w:p>
          <w:p w:rsidRPr="005F5507" w:rsidR="003600C0" w:rsidP="00CB3292" w:rsidRDefault="003600C0" w14:paraId="17FB29A6"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(5-10), </w:t>
            </w:r>
          </w:p>
          <w:p w:rsidRPr="005F5507" w:rsidR="003600C0" w:rsidP="00CB3292" w:rsidRDefault="003600C0" w14:paraId="19799123"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 &lt;5</w:t>
            </w:r>
          </w:p>
        </w:tc>
      </w:tr>
      <w:tr w:rsidRPr="00CB3292" w:rsidR="003600C0" w:rsidTr="003600C0" w14:paraId="59DC41A4"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08FC7860" w14:textId="662C2C93">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81894">
              <w:rPr>
                <w:rFonts w:ascii="Times New Roman" w:hAnsi="Times New Roman" w:eastAsia="Cambria" w:cs="Times New Roman"/>
                <w:color w:val="000000" w:themeColor="text1"/>
                <w:spacing w:val="-2"/>
                <w:w w:val="95"/>
                <w:sz w:val="20"/>
                <w:szCs w:val="20"/>
                <w:lang w:val="en-GB"/>
              </w:rPr>
              <w:t>2</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B5010" w:rsidR="003600C0" w:rsidP="003600C0" w:rsidRDefault="003600C0" w14:paraId="58A2A967" w14:textId="77777777">
            <w:pPr>
              <w:pStyle w:val="TableParagraph"/>
              <w:spacing w:before="108"/>
              <w:jc w:val="both"/>
              <w:rPr>
                <w:rFonts w:ascii="Times New Roman" w:hAnsi="Times New Roman" w:cs="Times New Roman"/>
                <w:b/>
                <w:bCs/>
                <w:color w:val="000000" w:themeColor="text1"/>
                <w:sz w:val="20"/>
                <w:szCs w:val="20"/>
                <w:lang w:val="en-GB"/>
              </w:rPr>
            </w:pPr>
            <w:r w:rsidRPr="00EB5010">
              <w:rPr>
                <w:rFonts w:ascii="Times New Roman" w:hAnsi="Times New Roman" w:cs="Times New Roman"/>
                <w:b/>
                <w:bCs/>
                <w:color w:val="000000" w:themeColor="text1"/>
                <w:sz w:val="20"/>
                <w:szCs w:val="20"/>
                <w:lang w:val="en-GB"/>
              </w:rPr>
              <w:t>Timing - Expected time for substitution</w:t>
            </w:r>
          </w:p>
          <w:p w:rsidRPr="005F5507" w:rsidR="003600C0" w:rsidP="003600C0" w:rsidRDefault="003600C0" w14:paraId="7349CCE6"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Estimate the time necessary for the economic function provided by the reporting</w:t>
            </w:r>
          </w:p>
          <w:p w:rsidRPr="005F5507" w:rsidR="003600C0" w:rsidP="003600C0" w:rsidRDefault="003600C0" w14:paraId="714696C0"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entity to be absorbed by the market in a crisis situation. This includes: </w:t>
            </w:r>
          </w:p>
          <w:p w:rsidRPr="005F5507" w:rsidR="003600C0" w:rsidP="00CB3292" w:rsidRDefault="003600C0" w14:paraId="3C12460D" w14:textId="77777777">
            <w:pPr>
              <w:pStyle w:val="ListParagraph"/>
              <w:numPr>
                <w:ilvl w:val="0"/>
                <w:numId w:val="274"/>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expected time needed by one or several competitor(s) to accomplish the legal and technical steps to take over the function; as well as  </w:t>
            </w:r>
          </w:p>
          <w:p w:rsidRPr="005F5507" w:rsidR="003600C0" w:rsidP="00CB3292" w:rsidRDefault="003600C0" w14:paraId="241635C5" w14:textId="77777777">
            <w:pPr>
              <w:pStyle w:val="ListParagraph"/>
              <w:numPr>
                <w:ilvl w:val="0"/>
                <w:numId w:val="274"/>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time required by users of the service to move to another service provider. </w:t>
            </w:r>
          </w:p>
          <w:p w:rsidRPr="005F5507" w:rsidR="003600C0" w:rsidP="003600C0" w:rsidRDefault="003600C0" w14:paraId="03198044" w14:textId="77777777">
            <w:pPr>
              <w:pStyle w:val="TableParagraph"/>
              <w:spacing w:before="108"/>
              <w:rPr>
                <w:rFonts w:ascii="Times New Roman" w:hAnsi="Times New Roman" w:cs="Times New Roman"/>
                <w:color w:val="000000" w:themeColor="text1"/>
                <w:sz w:val="20"/>
                <w:szCs w:val="20"/>
                <w:lang w:val="en-GB"/>
              </w:rPr>
            </w:pPr>
          </w:p>
          <w:p w:rsidRPr="005F5507" w:rsidR="003600C0" w:rsidP="003600C0" w:rsidRDefault="003600C0" w14:paraId="045A5EF0" w14:textId="1B53FCE3">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For lending, for example, this </w:t>
            </w:r>
            <w:r w:rsidR="002526C2">
              <w:rPr>
                <w:rFonts w:ascii="Times New Roman" w:hAnsi="Times New Roman" w:cs="Times New Roman"/>
                <w:color w:val="000000" w:themeColor="text1"/>
                <w:sz w:val="20"/>
                <w:szCs w:val="20"/>
                <w:lang w:val="en-GB"/>
              </w:rPr>
              <w:t>does not refers</w:t>
            </w:r>
            <w:r w:rsidRPr="005F5507">
              <w:rPr>
                <w:rFonts w:ascii="Times New Roman" w:hAnsi="Times New Roman" w:cs="Times New Roman"/>
                <w:color w:val="000000" w:themeColor="text1"/>
                <w:sz w:val="20"/>
                <w:szCs w:val="20"/>
                <w:lang w:val="en-GB"/>
              </w:rPr>
              <w:t xml:space="preserve"> to a run-off of the outstanding portfolio or the transfer of that portfolio to a prospective buyer, but rather to the ability of households corporates and governments to obtain similar loans from other providers. </w:t>
            </w:r>
          </w:p>
          <w:p w:rsidRPr="005F5507" w:rsidR="003600C0" w:rsidP="003600C0" w:rsidRDefault="003600C0" w14:paraId="19F8D371" w14:textId="77777777">
            <w:pPr>
              <w:pStyle w:val="TableParagraph"/>
              <w:spacing w:before="108"/>
              <w:rPr>
                <w:rFonts w:ascii="Times New Roman" w:hAnsi="Times New Roman" w:cs="Times New Roman"/>
                <w:color w:val="000000" w:themeColor="text1"/>
                <w:sz w:val="20"/>
                <w:szCs w:val="20"/>
                <w:lang w:val="en-GB"/>
              </w:rPr>
            </w:pPr>
          </w:p>
          <w:p w:rsidRPr="005F5507" w:rsidR="003600C0" w:rsidP="003600C0" w:rsidRDefault="003600C0" w14:paraId="79D44DA3"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p>
          <w:p w:rsidRPr="005F5507" w:rsidR="003600C0" w:rsidP="003600C0" w:rsidRDefault="003600C0" w14:paraId="60B34EA0" w14:textId="77777777">
            <w:pPr>
              <w:pStyle w:val="TableParagraph"/>
              <w:spacing w:before="108"/>
              <w:rPr>
                <w:rFonts w:ascii="Times New Roman" w:hAnsi="Times New Roman" w:cs="Times New Roman"/>
                <w:color w:val="000000" w:themeColor="text1"/>
                <w:sz w:val="20"/>
                <w:szCs w:val="20"/>
                <w:lang w:val="en-GB"/>
              </w:rPr>
            </w:pPr>
          </w:p>
        </w:tc>
      </w:tr>
      <w:tr w:rsidRPr="00D43D39" w:rsidR="003600C0" w:rsidTr="003600C0" w14:paraId="550B0593"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E81894" w14:paraId="71CF1188" w14:textId="61DB8CB6">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0130 - 0140</w:t>
            </w:r>
          </w:p>
        </w:tc>
        <w:tc>
          <w:tcPr>
            <w:tcW w:w="8003" w:type="dxa"/>
            <w:tcBorders>
              <w:top w:val="single" w:color="1A171C" w:sz="4" w:space="0"/>
              <w:left w:val="single" w:color="1A171C" w:sz="4" w:space="0"/>
              <w:bottom w:val="single" w:color="1A171C" w:sz="4" w:space="0"/>
              <w:right w:val="nil"/>
            </w:tcBorders>
            <w:vAlign w:val="center"/>
          </w:tcPr>
          <w:p w:rsidRPr="00EB5010" w:rsidR="003600C0" w:rsidP="003600C0" w:rsidRDefault="003600C0" w14:paraId="2FE09042" w14:textId="77777777">
            <w:pPr>
              <w:pStyle w:val="TableParagraph"/>
              <w:spacing w:before="108"/>
              <w:jc w:val="both"/>
              <w:rPr>
                <w:rFonts w:ascii="Times New Roman" w:hAnsi="Times New Roman" w:cs="Times New Roman"/>
                <w:b/>
                <w:bCs/>
                <w:color w:val="000000" w:themeColor="text1"/>
                <w:sz w:val="20"/>
                <w:szCs w:val="20"/>
                <w:lang w:val="en-GB"/>
              </w:rPr>
            </w:pPr>
            <w:r w:rsidRPr="00EB5010">
              <w:rPr>
                <w:rFonts w:ascii="Times New Roman" w:hAnsi="Times New Roman" w:cs="Times New Roman"/>
                <w:b/>
                <w:bCs/>
                <w:color w:val="000000" w:themeColor="text1"/>
                <w:sz w:val="20"/>
                <w:szCs w:val="20"/>
                <w:lang w:val="en-GB"/>
              </w:rPr>
              <w:t>Ability for substitution</w:t>
            </w:r>
          </w:p>
        </w:tc>
      </w:tr>
      <w:tr w:rsidRPr="00D43D39" w:rsidR="003600C0" w:rsidTr="003600C0" w14:paraId="7F5119E1"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22E1AAD3" w14:textId="50299480">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81894">
              <w:rPr>
                <w:rFonts w:ascii="Times New Roman" w:hAnsi="Times New Roman" w:eastAsia="Cambria" w:cs="Times New Roman"/>
                <w:color w:val="000000" w:themeColor="text1"/>
                <w:spacing w:val="-2"/>
                <w:w w:val="95"/>
                <w:sz w:val="20"/>
                <w:szCs w:val="20"/>
                <w:lang w:val="en-GB"/>
              </w:rPr>
              <w:t>3</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B5010" w:rsidR="003600C0" w:rsidP="003600C0" w:rsidRDefault="003600C0" w14:paraId="46633300" w14:textId="77777777">
            <w:pPr>
              <w:pStyle w:val="TableParagraph"/>
              <w:spacing w:before="108"/>
              <w:rPr>
                <w:rFonts w:ascii="Times New Roman" w:hAnsi="Times New Roman" w:cs="Times New Roman"/>
                <w:b/>
                <w:bCs/>
                <w:color w:val="000000" w:themeColor="text1"/>
                <w:sz w:val="20"/>
                <w:szCs w:val="20"/>
                <w:lang w:val="en-GB"/>
              </w:rPr>
            </w:pPr>
            <w:r w:rsidRPr="00EB5010">
              <w:rPr>
                <w:rFonts w:ascii="Times New Roman" w:hAnsi="Times New Roman" w:cs="Times New Roman"/>
                <w:b/>
                <w:bCs/>
                <w:color w:val="000000" w:themeColor="text1"/>
                <w:sz w:val="20"/>
                <w:szCs w:val="20"/>
                <w:lang w:val="en-GB"/>
              </w:rPr>
              <w:t>Legal barriers to entry or expansion</w:t>
            </w:r>
          </w:p>
          <w:p w:rsidRPr="005F5507" w:rsidR="003600C0" w:rsidP="003600C0" w:rsidRDefault="003600C0" w14:paraId="66A85260" w14:textId="77777777">
            <w:pPr>
              <w:pStyle w:val="TableParagraph"/>
              <w:spacing w:before="108"/>
              <w:rPr>
                <w:rFonts w:ascii="Times New Roman" w:hAnsi="Times New Roman" w:cs="Times New Roman"/>
                <w:color w:val="000000" w:themeColor="text1"/>
                <w:sz w:val="20"/>
                <w:szCs w:val="20"/>
                <w:lang w:val="en-GB"/>
              </w:rPr>
            </w:pPr>
          </w:p>
          <w:p w:rsidRPr="005F5507" w:rsidR="003600C0" w:rsidP="003600C0" w:rsidRDefault="003600C0" w14:paraId="626D22BC" w14:textId="488561FB">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Legal barriers for competitors to offer the service. Legal requirements for performing the business of credit institutions (e.g. banking licences or capital requirements) </w:t>
            </w:r>
            <w:r w:rsidR="002526C2">
              <w:rPr>
                <w:rFonts w:ascii="Times New Roman" w:hAnsi="Times New Roman" w:cs="Times New Roman"/>
                <w:color w:val="000000" w:themeColor="text1"/>
                <w:sz w:val="20"/>
                <w:szCs w:val="20"/>
                <w:lang w:val="en-GB"/>
              </w:rPr>
              <w:t>are</w:t>
            </w:r>
            <w:r w:rsidRPr="005F5507">
              <w:rPr>
                <w:rFonts w:ascii="Times New Roman" w:hAnsi="Times New Roman" w:cs="Times New Roman"/>
                <w:color w:val="000000" w:themeColor="text1"/>
                <w:sz w:val="20"/>
                <w:szCs w:val="20"/>
                <w:lang w:val="en-GB"/>
              </w:rPr>
              <w:t xml:space="preserve"> not </w:t>
            </w:r>
            <w:r w:rsidR="002526C2">
              <w:rPr>
                <w:rFonts w:ascii="Times New Roman" w:hAnsi="Times New Roman" w:cs="Times New Roman"/>
                <w:color w:val="000000" w:themeColor="text1"/>
                <w:sz w:val="20"/>
                <w:szCs w:val="20"/>
                <w:lang w:val="en-GB"/>
              </w:rPr>
              <w:t>to</w:t>
            </w:r>
            <w:r w:rsidRPr="005F5507">
              <w:rPr>
                <w:rFonts w:ascii="Times New Roman" w:hAnsi="Times New Roman" w:cs="Times New Roman"/>
                <w:color w:val="000000" w:themeColor="text1"/>
                <w:sz w:val="20"/>
                <w:szCs w:val="20"/>
                <w:lang w:val="en-GB"/>
              </w:rPr>
              <w:t xml:space="preserve"> be considered as unsurmountable barriers in the presence of alternative providers. This indicator has to be reported in buckets, which are the same for each sub-function: </w:t>
            </w:r>
          </w:p>
          <w:p w:rsidRPr="005F5507" w:rsidR="003600C0" w:rsidP="00CB3292" w:rsidRDefault="003600C0" w14:paraId="0FDA7BCA"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no major barriers, </w:t>
            </w:r>
          </w:p>
          <w:p w:rsidRPr="005F5507" w:rsidR="003600C0" w:rsidP="00CB3292" w:rsidRDefault="003600C0" w14:paraId="4BCBA0AA"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some barriers, </w:t>
            </w:r>
          </w:p>
          <w:p w:rsidRPr="005F5507" w:rsidR="003600C0" w:rsidP="00CB3292" w:rsidRDefault="003600C0" w14:paraId="5DDF8102"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substantial (but surmountable) barriers, </w:t>
            </w:r>
          </w:p>
          <w:p w:rsidRPr="005F5507" w:rsidR="003600C0" w:rsidP="00CB3292" w:rsidRDefault="003600C0" w14:paraId="62650F1A"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H: critical </w:t>
            </w:r>
          </w:p>
          <w:p w:rsidRPr="005F5507" w:rsidR="003600C0" w:rsidP="003600C0" w:rsidRDefault="003600C0" w14:paraId="5A014F6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(difficult to surmount) barriers.</w:t>
            </w:r>
          </w:p>
        </w:tc>
      </w:tr>
      <w:tr w:rsidRPr="00D43D39" w:rsidR="003600C0" w:rsidTr="003600C0" w14:paraId="1DFA254C" w14:textId="77777777">
        <w:tc>
          <w:tcPr>
            <w:tcW w:w="1080" w:type="dxa"/>
            <w:tcBorders>
              <w:top w:val="single" w:color="1A171C" w:sz="4" w:space="0"/>
              <w:left w:val="nil"/>
              <w:bottom w:val="single" w:color="1A171C" w:sz="4" w:space="0"/>
              <w:right w:val="single" w:color="1A171C" w:sz="4" w:space="0"/>
            </w:tcBorders>
            <w:vAlign w:val="center"/>
          </w:tcPr>
          <w:p w:rsidR="003600C0" w:rsidP="00CB3292" w:rsidRDefault="003600C0" w14:paraId="655AD4A8" w14:textId="4482C68A">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81894">
              <w:rPr>
                <w:rFonts w:ascii="Times New Roman" w:hAnsi="Times New Roman" w:eastAsia="Cambria" w:cs="Times New Roman"/>
                <w:color w:val="000000" w:themeColor="text1"/>
                <w:spacing w:val="-2"/>
                <w:w w:val="95"/>
                <w:sz w:val="20"/>
                <w:szCs w:val="20"/>
                <w:lang w:val="en-GB"/>
              </w:rPr>
              <w:t>4</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B5010" w:rsidR="003600C0" w:rsidP="003600C0" w:rsidRDefault="003600C0" w14:paraId="689D1E0D" w14:textId="77777777">
            <w:pPr>
              <w:pStyle w:val="TableParagraph"/>
              <w:spacing w:before="108"/>
              <w:rPr>
                <w:rFonts w:ascii="Times New Roman" w:hAnsi="Times New Roman" w:cs="Times New Roman"/>
                <w:b/>
                <w:bCs/>
                <w:color w:val="000000" w:themeColor="text1"/>
                <w:sz w:val="20"/>
                <w:szCs w:val="20"/>
                <w:lang w:val="en-GB"/>
              </w:rPr>
            </w:pPr>
            <w:r w:rsidRPr="00EB5010">
              <w:rPr>
                <w:rFonts w:ascii="Times New Roman" w:hAnsi="Times New Roman" w:cs="Times New Roman"/>
                <w:b/>
                <w:bCs/>
                <w:color w:val="000000" w:themeColor="text1"/>
                <w:sz w:val="20"/>
                <w:szCs w:val="20"/>
                <w:lang w:val="en-GB"/>
              </w:rPr>
              <w:t>Operational requirements to entry or expansion</w:t>
            </w:r>
          </w:p>
          <w:p w:rsidRPr="005F5507" w:rsidR="003600C0" w:rsidP="003600C0" w:rsidRDefault="003600C0" w14:paraId="6E96BD93" w14:textId="77777777">
            <w:pPr>
              <w:pStyle w:val="TableParagraph"/>
              <w:spacing w:before="108"/>
              <w:rPr>
                <w:rFonts w:ascii="Times New Roman" w:hAnsi="Times New Roman" w:cs="Times New Roman"/>
                <w:color w:val="000000" w:themeColor="text1"/>
                <w:sz w:val="20"/>
                <w:szCs w:val="20"/>
                <w:lang w:val="en-GB"/>
              </w:rPr>
            </w:pPr>
          </w:p>
          <w:p w:rsidRPr="005F5507" w:rsidR="003600C0" w:rsidP="003600C0" w:rsidRDefault="003600C0" w14:paraId="27F39CFA"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For lending, take into account the associated RWAs (reported in Q.17). </w:t>
            </w:r>
          </w:p>
          <w:p w:rsidRPr="005F5507" w:rsidR="003600C0" w:rsidP="003600C0" w:rsidRDefault="003600C0" w14:paraId="47D9DDF0"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indicator has to be reported in buckets, which are the same for each sub-function: </w:t>
            </w:r>
          </w:p>
          <w:p w:rsidRPr="005F5507" w:rsidR="003600C0" w:rsidP="00CB3292" w:rsidRDefault="003600C0" w14:paraId="0C242618"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no  major requirements, </w:t>
            </w:r>
          </w:p>
          <w:p w:rsidRPr="005F5507" w:rsidR="003600C0" w:rsidP="00CB3292" w:rsidRDefault="003600C0" w14:paraId="61D61B64"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some requirements, </w:t>
            </w:r>
          </w:p>
          <w:p w:rsidRPr="005F5507" w:rsidR="003600C0" w:rsidP="00CB3292" w:rsidRDefault="003600C0" w14:paraId="6DE5BFC4"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substantial (but surmountable) requirements, </w:t>
            </w:r>
          </w:p>
          <w:p w:rsidRPr="005F5507" w:rsidR="003600C0" w:rsidP="00CB3292" w:rsidRDefault="003600C0" w14:paraId="21FAA662"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 critical (difficult to surmount) requirements.</w:t>
            </w:r>
          </w:p>
          <w:p w:rsidR="008B5E5B" w:rsidP="003600C0" w:rsidRDefault="008B5E5B" w14:paraId="76C06AF7" w14:textId="77777777">
            <w:pPr>
              <w:pStyle w:val="TableParagraph"/>
              <w:spacing w:before="108"/>
              <w:jc w:val="both"/>
              <w:rPr>
                <w:rFonts w:ascii="Times New Roman" w:hAnsi="Times New Roman" w:eastAsia="Times New Roman" w:cs="Times New Roman"/>
                <w:sz w:val="20"/>
                <w:szCs w:val="20"/>
                <w:lang w:val="en-GB"/>
              </w:rPr>
            </w:pPr>
            <w:r>
              <w:rPr>
                <w:rFonts w:ascii="Times New Roman" w:hAnsi="Times New Roman" w:eastAsia="Times New Roman" w:cs="Times New Roman"/>
                <w:sz w:val="20"/>
                <w:szCs w:val="20"/>
                <w:lang w:val="en-GB"/>
              </w:rPr>
              <w:t>B</w:t>
            </w:r>
            <w:r w:rsidRPr="00CB3292">
              <w:rPr>
                <w:rFonts w:ascii="Times New Roman" w:hAnsi="Times New Roman" w:eastAsia="Times New Roman" w:cs="Times New Roman"/>
                <w:sz w:val="20"/>
                <w:szCs w:val="20"/>
                <w:lang w:val="en-GB"/>
              </w:rPr>
              <w:t xml:space="preserve">uckets: </w:t>
            </w:r>
          </w:p>
          <w:p w:rsidR="008B5E5B" w:rsidP="005F5507" w:rsidRDefault="008B5E5B" w14:paraId="4B4266A3" w14:textId="77777777">
            <w:pPr>
              <w:pStyle w:val="TableParagraph"/>
              <w:numPr>
                <w:ilvl w:val="0"/>
                <w:numId w:val="283"/>
              </w:numPr>
              <w:spacing w:before="108"/>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L: &lt; 1 week; </w:t>
            </w:r>
          </w:p>
          <w:p w:rsidR="008B5E5B" w:rsidP="005F5507" w:rsidRDefault="008B5E5B" w14:paraId="39094F70" w14:textId="77777777">
            <w:pPr>
              <w:pStyle w:val="TableParagraph"/>
              <w:numPr>
                <w:ilvl w:val="0"/>
                <w:numId w:val="283"/>
              </w:numPr>
              <w:spacing w:before="108"/>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ML: [1 week-1 month]; </w:t>
            </w:r>
          </w:p>
          <w:p w:rsidR="008B5E5B" w:rsidP="005F5507" w:rsidRDefault="008B5E5B" w14:paraId="707C7147" w14:textId="77777777">
            <w:pPr>
              <w:pStyle w:val="TableParagraph"/>
              <w:numPr>
                <w:ilvl w:val="0"/>
                <w:numId w:val="283"/>
              </w:numPr>
              <w:spacing w:before="108"/>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MH: [1-6 months], </w:t>
            </w:r>
          </w:p>
          <w:p w:rsidRPr="005F5507" w:rsidR="003600C0" w:rsidP="005F5507" w:rsidRDefault="008B5E5B" w14:paraId="27CDD1E6" w14:textId="353940EC">
            <w:pPr>
              <w:pStyle w:val="TableParagraph"/>
              <w:numPr>
                <w:ilvl w:val="0"/>
                <w:numId w:val="283"/>
              </w:numPr>
              <w:spacing w:before="108"/>
              <w:jc w:val="both"/>
              <w:rPr>
                <w:rFonts w:ascii="Times New Roman" w:hAnsi="Times New Roman" w:cs="Times New Roman"/>
                <w:color w:val="000000" w:themeColor="text1"/>
                <w:sz w:val="20"/>
                <w:szCs w:val="20"/>
                <w:lang w:val="en-GB"/>
              </w:rPr>
            </w:pPr>
            <w:r w:rsidRPr="00CB3292">
              <w:rPr>
                <w:rFonts w:ascii="Times New Roman" w:hAnsi="Times New Roman" w:eastAsia="Times New Roman" w:cs="Times New Roman"/>
                <w:sz w:val="20"/>
                <w:szCs w:val="20"/>
                <w:lang w:val="en-GB"/>
              </w:rPr>
              <w:t xml:space="preserve">H: &gt;6 months  </w:t>
            </w:r>
          </w:p>
        </w:tc>
      </w:tr>
      <w:tr w:rsidRPr="008E4D28" w:rsidR="008E4D28" w:rsidTr="008E4D28" w14:paraId="447B4552"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CB3292" w:rsidRDefault="00FA489E" w14:paraId="2EDBA28B" w14:textId="5F968A6B">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0150 - 0170</w:t>
            </w:r>
          </w:p>
        </w:tc>
        <w:tc>
          <w:tcPr>
            <w:tcW w:w="8003" w:type="dxa"/>
            <w:tcBorders>
              <w:top w:val="single" w:color="1A171C" w:sz="4" w:space="0"/>
              <w:left w:val="single" w:color="1A171C" w:sz="4" w:space="0"/>
              <w:bottom w:val="single" w:color="1A171C" w:sz="4" w:space="0"/>
              <w:right w:val="nil"/>
            </w:tcBorders>
            <w:vAlign w:val="center"/>
          </w:tcPr>
          <w:p w:rsidRPr="008E4D28" w:rsidR="008E4D28" w:rsidP="008E4D28" w:rsidRDefault="008E4D28" w14:paraId="3AF78377" w14:textId="77777777">
            <w:pPr>
              <w:pStyle w:val="TableParagraph"/>
              <w:spacing w:before="108"/>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Criticality Assessment</w:t>
            </w:r>
          </w:p>
        </w:tc>
      </w:tr>
      <w:tr w:rsidRPr="008E4D28" w:rsidR="008E4D28" w:rsidTr="008E4D28" w14:paraId="51E5B21C"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CB3292" w:rsidRDefault="00FA489E" w14:paraId="481F3381" w14:textId="28F25291">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0150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7007B819" w14:textId="77777777">
            <w:pPr>
              <w:pStyle w:val="TableParagraph"/>
              <w:spacing w:before="108"/>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 xml:space="preserve">Impact on market </w:t>
            </w:r>
          </w:p>
          <w:p w:rsidRPr="005F5507" w:rsidR="008E4D28" w:rsidP="008E4D28" w:rsidRDefault="008E4D28" w14:paraId="732E87EC"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p>
          <w:p w:rsidRPr="005F5507" w:rsidR="008E4D28" w:rsidP="008E4D28" w:rsidRDefault="008E4D28" w14:paraId="5B2157DA"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This assessment shall be expressed qualitatively as ‘High (H)’, ‘Medium-High (MH)’, ‘Medium-Low (ML)’ or Low (L)’.</w:t>
            </w:r>
          </w:p>
          <w:p w:rsidRPr="005F5507" w:rsidR="008E4D28" w:rsidP="008E4D28" w:rsidRDefault="008E4D28" w14:paraId="29342E6C"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‘H’ shall be selected if the discontinuation has a major impact on the national market; ‘MH’ if the impact is significant; ‘ML’ if the impact is material, but limited; and ‘L’ if the impact is low.</w:t>
            </w:r>
          </w:p>
        </w:tc>
      </w:tr>
      <w:tr w:rsidRPr="008E4D28" w:rsidR="008E4D28" w:rsidTr="008E4D28" w14:paraId="0A80C835"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CB3292" w:rsidRDefault="00FA489E" w14:paraId="73EEC3F2" w14:textId="630ED03B">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0160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29E00AB5" w14:textId="77777777">
            <w:pPr>
              <w:pStyle w:val="TableParagraph"/>
              <w:spacing w:before="108"/>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Substitutability</w:t>
            </w:r>
          </w:p>
          <w:p w:rsidRPr="005F5507" w:rsidR="008E4D28" w:rsidP="008E4D28" w:rsidRDefault="008E4D28" w14:paraId="13079BE5"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Article 6(3) of Delegated regulation (EU) 2016/778.</w:t>
            </w:r>
          </w:p>
          <w:p w:rsidRPr="005F5507" w:rsidR="008E4D28" w:rsidP="008E4D28" w:rsidRDefault="008E4D28" w14:paraId="25F46760"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 function is considered substitutable where it can be replaced in an acceptable manner and within a reasonable timeframe thereby avoiding systemic problems for the real economy and the financial markets. The following shall be taken into account:</w:t>
            </w:r>
          </w:p>
          <w:p w:rsidRPr="005F5507" w:rsidR="008E4D28" w:rsidP="008E4D28" w:rsidRDefault="008E4D28" w14:paraId="2C2E96C8"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 the structure of the market for that function and the availability of substitute providers; </w:t>
            </w:r>
          </w:p>
          <w:p w:rsidRPr="005F5507" w:rsidR="008E4D28" w:rsidP="008E4D28" w:rsidRDefault="008E4D28" w14:paraId="125B4662"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(b) the ability of other providers in terms of capacity, the requirements for performing the function, and potential barriers to entry or expansion; </w:t>
            </w:r>
          </w:p>
          <w:p w:rsidRPr="005F5507" w:rsidR="008E4D28" w:rsidP="008E4D28" w:rsidRDefault="008E4D28" w14:paraId="52A7DB44"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(c) the incentive of other providers to take on these activities; </w:t>
            </w:r>
          </w:p>
          <w:p w:rsidRPr="005F5507" w:rsidR="008E4D28" w:rsidP="008E4D28" w:rsidRDefault="008E4D28" w14:paraId="0C93AC5A"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p>
          <w:p w:rsidRPr="005F5507" w:rsidR="008E4D28" w:rsidP="008E4D28" w:rsidRDefault="008E4D28" w14:paraId="1847BAB6"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w:t>
            </w:r>
            <w:r w:rsidRPr="005F5507">
              <w:rPr>
                <w:rFonts w:ascii="Times New Roman" w:hAnsi="Times New Roman" w:cs="Times New Roman"/>
                <w:color w:val="000000" w:themeColor="text1"/>
                <w:sz w:val="20"/>
                <w:szCs w:val="20"/>
                <w:lang w:val="en-GB"/>
              </w:rPr>
              <w:t xml:space="preserve">(ML)’ or Low (L)’. </w:t>
            </w:r>
          </w:p>
          <w:p w:rsidRPr="005F5507" w:rsidR="008E4D28" w:rsidP="008E4D28" w:rsidRDefault="008E4D28" w14:paraId="12D28C92"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‘H’ shall be selected if a function can easily be provided by another bank under comparable conditions within a reasonable timeframe;</w:t>
            </w:r>
          </w:p>
          <w:p w:rsidRPr="005F5507" w:rsidR="008E4D28" w:rsidP="008E4D28" w:rsidRDefault="008E4D28" w14:paraId="32677636"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‘L’ if  a function cannot be easily or rapidly substituted; </w:t>
            </w:r>
          </w:p>
          <w:p w:rsidRPr="005F5507" w:rsidR="008E4D28" w:rsidP="008E4D28" w:rsidRDefault="008E4D28" w14:paraId="462EBFCC"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‘MH’ and ‘ML’ for intermediate cases taking into account different dimensions (e.g. market share, market concentration, time to substitution, as well as legal barriers to and operational requirements for entry or expansion).</w:t>
            </w:r>
          </w:p>
        </w:tc>
      </w:tr>
      <w:tr w:rsidRPr="008E4D28" w:rsidR="008E4D28" w:rsidTr="008E4D28" w14:paraId="16CC7A78" w14:textId="77777777">
        <w:tc>
          <w:tcPr>
            <w:tcW w:w="1080" w:type="dxa"/>
            <w:tcBorders>
              <w:top w:val="single" w:color="1A171C" w:sz="4" w:space="0"/>
              <w:left w:val="nil"/>
              <w:bottom w:val="single" w:color="1A171C" w:sz="4" w:space="0"/>
              <w:right w:val="single" w:color="1A171C" w:sz="4" w:space="0"/>
            </w:tcBorders>
            <w:vAlign w:val="center"/>
          </w:tcPr>
          <w:p w:rsidRPr="00D43D39" w:rsidR="008E4D28" w:rsidP="00CB3292" w:rsidRDefault="00FA489E" w14:paraId="098D5D98" w14:textId="59CEEDFC">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0170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0F4C3683" w14:textId="77777777">
            <w:pPr>
              <w:pStyle w:val="TableParagraph"/>
              <w:spacing w:before="108"/>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Critical Function</w:t>
            </w:r>
          </w:p>
          <w:p w:rsidRPr="005F5507" w:rsidR="008E4D28" w:rsidP="008E4D28" w:rsidRDefault="008E4D28" w14:paraId="79D3EC18"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In this column it shall be reported whether, taking into account the impact and substitutability analysis performed by the institution, the economic function is considered to be critical in the market for the relevant country.</w:t>
            </w:r>
          </w:p>
          <w:p w:rsidRPr="005F5507" w:rsidR="008E4D28" w:rsidP="008E4D28" w:rsidRDefault="008E4D28" w14:paraId="521550E0"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Report ‘Yes’ or ‘No’</w:t>
            </w:r>
          </w:p>
        </w:tc>
      </w:tr>
      <w:tr w:rsidRPr="008E4D28" w:rsidR="008E4D28" w:rsidTr="008E4D28" w14:paraId="6AEF9DE8" w14:textId="77777777">
        <w:tc>
          <w:tcPr>
            <w:tcW w:w="1080" w:type="dxa"/>
            <w:tcBorders>
              <w:top w:val="single" w:color="1A171C" w:sz="4" w:space="0"/>
              <w:left w:val="nil"/>
              <w:bottom w:val="single" w:color="1A171C" w:sz="4" w:space="0"/>
              <w:right w:val="single" w:color="1A171C" w:sz="4" w:space="0"/>
            </w:tcBorders>
            <w:vAlign w:val="center"/>
          </w:tcPr>
          <w:p w:rsidRPr="00D43D39" w:rsidR="008E4D28" w:rsidDel="005B562A" w:rsidP="00CB3292" w:rsidRDefault="00FA489E" w14:paraId="3D82FFF2" w14:textId="0362D322">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0180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65A1C326" w14:textId="77777777">
            <w:pPr>
              <w:pStyle w:val="TableParagraph"/>
              <w:spacing w:before="108"/>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Comments from the Group</w:t>
            </w:r>
          </w:p>
          <w:p w:rsidRPr="005F5507" w:rsidR="008E4D28" w:rsidP="008E4D28" w:rsidRDefault="008E4D28" w14:paraId="09C879A6"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This field enables the reporting entity to explain any assumptions used in assessing the criticality of the function(s) reported.</w:t>
            </w:r>
          </w:p>
        </w:tc>
      </w:tr>
    </w:tbl>
    <w:p w:rsidRPr="00D43D39" w:rsidR="000D0185" w:rsidP="0056559D" w:rsidRDefault="000D0185" w14:paraId="584A7826" w14:textId="4F8C7D55">
      <w:pPr>
        <w:rPr>
          <w:rFonts w:ascii="Times New Roman" w:hAnsi="Times New Roman" w:cs="Times New Roman"/>
          <w:color w:val="000000" w:themeColor="text1"/>
          <w:sz w:val="20"/>
          <w:szCs w:val="20"/>
          <w:lang w:val="en-GB"/>
        </w:rPr>
      </w:pPr>
    </w:p>
    <w:p w:rsidRPr="00D43D39" w:rsidR="000D0185" w:rsidP="00CA6401" w:rsidRDefault="00CA6401" w14:paraId="5BB0F7D9" w14:textId="1386AB09">
      <w:pPr>
        <w:pStyle w:val="Instructionsberschrift2"/>
        <w:numPr>
          <w:ilvl w:val="1"/>
          <w:numId w:val="49"/>
        </w:numPr>
        <w:ind w:left="357" w:hanging="357"/>
        <w:rPr>
          <w:rFonts w:ascii="Times New Roman" w:hAnsi="Times New Roman" w:cs="Times New Roman"/>
        </w:rPr>
      </w:pPr>
      <w:bookmarkStart w:name="_Toc172732235" w:id="109"/>
      <w:r w:rsidRPr="00D43D39">
        <w:rPr>
          <w:rFonts w:ascii="Times New Roman" w:hAnsi="Times New Roman" w:cs="Times New Roman"/>
        </w:rPr>
        <w:t xml:space="preserve">7.1 FUNC 1 </w:t>
      </w:r>
      <w:r w:rsidR="0060155C">
        <w:rPr>
          <w:rFonts w:ascii="Times New Roman" w:hAnsi="Times New Roman" w:cs="Times New Roman"/>
        </w:rPr>
        <w:t>PAY</w:t>
      </w:r>
      <w:bookmarkEnd w:id="109"/>
    </w:p>
    <w:tbl>
      <w:tblPr>
        <w:tblW w:w="9083" w:type="dxa"/>
        <w:tblLayout w:type="fixed"/>
        <w:tblCellMar>
          <w:top w:w="57" w:type="dxa"/>
          <w:left w:w="57" w:type="dxa"/>
          <w:bottom w:w="57" w:type="dxa"/>
          <w:right w:w="0" w:type="dxa"/>
        </w:tblCellMar>
        <w:tblLook w:val="01E0" w:firstRow="1" w:lastRow="1" w:firstColumn="1" w:lastColumn="1" w:noHBand="0" w:noVBand="0"/>
      </w:tblPr>
      <w:tblGrid>
        <w:gridCol w:w="1080"/>
        <w:gridCol w:w="8003"/>
      </w:tblGrid>
      <w:tr w:rsidRPr="00D43D39" w:rsidR="00CA6401" w:rsidTr="005F5507" w14:paraId="2EAF4135" w14:textId="77777777">
        <w:trPr>
          <w:tblHeader/>
        </w:trPr>
        <w:tc>
          <w:tcPr>
            <w:tcW w:w="1080" w:type="dxa"/>
            <w:tcBorders>
              <w:top w:val="single" w:color="1A171C" w:sz="4" w:space="0"/>
              <w:left w:val="nil"/>
              <w:bottom w:val="single" w:color="1A171C" w:sz="4" w:space="0"/>
              <w:right w:val="single" w:color="1A171C" w:sz="4" w:space="0"/>
            </w:tcBorders>
            <w:shd w:val="clear" w:color="auto" w:fill="E4E5E5"/>
          </w:tcPr>
          <w:p w:rsidRPr="00D43D39" w:rsidR="00CA6401" w:rsidP="001E587F" w:rsidRDefault="00CA6401" w14:paraId="3D238C4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Columns</w:t>
            </w:r>
          </w:p>
        </w:tc>
        <w:tc>
          <w:tcPr>
            <w:tcW w:w="8003" w:type="dxa"/>
            <w:tcBorders>
              <w:top w:val="single" w:color="1A171C" w:sz="4" w:space="0"/>
              <w:left w:val="single" w:color="1A171C" w:sz="4" w:space="0"/>
              <w:bottom w:val="single" w:color="1A171C" w:sz="4" w:space="0"/>
              <w:right w:val="nil"/>
            </w:tcBorders>
            <w:shd w:val="clear" w:color="auto" w:fill="E4E5E5"/>
          </w:tcPr>
          <w:p w:rsidRPr="00D43D39" w:rsidR="00CA6401" w:rsidP="001E587F" w:rsidRDefault="00CA6401" w14:paraId="17C9AAEF"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CA6401" w:rsidTr="001E587F" w14:paraId="281C7979" w14:textId="77777777">
        <w:tc>
          <w:tcPr>
            <w:tcW w:w="1080" w:type="dxa"/>
            <w:tcBorders>
              <w:top w:val="single" w:color="1A171C" w:sz="4" w:space="0"/>
              <w:left w:val="nil"/>
              <w:bottom w:val="single" w:color="1A171C" w:sz="4" w:space="0"/>
              <w:right w:val="single" w:color="1A171C" w:sz="4" w:space="0"/>
            </w:tcBorders>
            <w:vAlign w:val="center"/>
          </w:tcPr>
          <w:p w:rsidRPr="00D43D39" w:rsidR="00CA6401" w:rsidP="001E587F" w:rsidRDefault="00CA6401" w14:paraId="14655271"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0010</w:t>
            </w:r>
          </w:p>
        </w:tc>
        <w:tc>
          <w:tcPr>
            <w:tcW w:w="8003" w:type="dxa"/>
            <w:tcBorders>
              <w:top w:val="single" w:color="1A171C" w:sz="4" w:space="0"/>
              <w:left w:val="single" w:color="1A171C" w:sz="4" w:space="0"/>
              <w:bottom w:val="single" w:color="1A171C" w:sz="4" w:space="0"/>
              <w:right w:val="nil"/>
            </w:tcBorders>
            <w:vAlign w:val="center"/>
          </w:tcPr>
          <w:p w:rsidRPr="00D43D39" w:rsidR="00CA6401" w:rsidP="001E587F" w:rsidRDefault="00CA6401" w14:paraId="0E1877C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Description of economic function</w:t>
            </w:r>
          </w:p>
          <w:p w:rsidRPr="00D43D39" w:rsidR="00CA6401" w:rsidP="001E587F" w:rsidRDefault="00CA6401" w14:paraId="5BB77551"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Where the Economic function is of the type ‘Other’ (functions 1.5 – 1.7), a description of that function shall be provided. </w:t>
            </w:r>
          </w:p>
        </w:tc>
      </w:tr>
      <w:tr w:rsidRPr="00D43D39" w:rsidR="00CA6401" w:rsidTr="001E587F" w14:paraId="78AEE898" w14:textId="77777777">
        <w:tc>
          <w:tcPr>
            <w:tcW w:w="1080" w:type="dxa"/>
            <w:tcBorders>
              <w:top w:val="single" w:color="1A171C" w:sz="4" w:space="0"/>
              <w:left w:val="nil"/>
              <w:bottom w:val="single" w:color="1A171C" w:sz="4" w:space="0"/>
              <w:right w:val="single" w:color="1A171C" w:sz="4" w:space="0"/>
            </w:tcBorders>
            <w:vAlign w:val="center"/>
          </w:tcPr>
          <w:p w:rsidRPr="00D43D39" w:rsidR="00CA6401" w:rsidP="001E587F" w:rsidRDefault="00CA6401" w14:paraId="676CD0A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0020</w:t>
            </w:r>
          </w:p>
        </w:tc>
        <w:tc>
          <w:tcPr>
            <w:tcW w:w="8003" w:type="dxa"/>
            <w:tcBorders>
              <w:top w:val="single" w:color="1A171C" w:sz="4" w:space="0"/>
              <w:left w:val="single" w:color="1A171C" w:sz="4" w:space="0"/>
              <w:bottom w:val="single" w:color="1A171C" w:sz="4" w:space="0"/>
              <w:right w:val="nil"/>
            </w:tcBorders>
            <w:vAlign w:val="center"/>
          </w:tcPr>
          <w:p w:rsidRPr="00D43D39" w:rsidR="00CA6401" w:rsidP="001E587F" w:rsidRDefault="00CA6401" w14:paraId="548D6B43"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Market share </w:t>
            </w:r>
          </w:p>
          <w:p w:rsidRPr="00D43D39" w:rsidR="00CA6401" w:rsidP="001E587F" w:rsidRDefault="00CA6401" w14:paraId="5058C5F3"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p>
        </w:tc>
      </w:tr>
      <w:tr w:rsidRPr="00D43D39" w:rsidR="00CA6401" w:rsidTr="001E587F" w14:paraId="0291DDDD" w14:textId="77777777">
        <w:tc>
          <w:tcPr>
            <w:tcW w:w="1080" w:type="dxa"/>
            <w:tcBorders>
              <w:top w:val="single" w:color="1A171C" w:sz="4" w:space="0"/>
              <w:left w:val="nil"/>
              <w:bottom w:val="single" w:color="1A171C" w:sz="4" w:space="0"/>
              <w:right w:val="single" w:color="1A171C" w:sz="4" w:space="0"/>
            </w:tcBorders>
            <w:vAlign w:val="center"/>
          </w:tcPr>
          <w:p w:rsidRPr="00D43D39" w:rsidR="00CA6401" w:rsidP="001E587F" w:rsidRDefault="00CA6401" w14:paraId="691E0FF2"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0030</w:t>
            </w:r>
          </w:p>
        </w:tc>
        <w:tc>
          <w:tcPr>
            <w:tcW w:w="8003" w:type="dxa"/>
            <w:tcBorders>
              <w:top w:val="single" w:color="1A171C" w:sz="4" w:space="0"/>
              <w:left w:val="single" w:color="1A171C" w:sz="4" w:space="0"/>
              <w:bottom w:val="single" w:color="1A171C" w:sz="4" w:space="0"/>
              <w:right w:val="nil"/>
            </w:tcBorders>
            <w:vAlign w:val="center"/>
          </w:tcPr>
          <w:p w:rsidRPr="00D43D39" w:rsidR="00F06C4E" w:rsidP="001E587F" w:rsidRDefault="00F06C4E" w14:paraId="7A42EF8D" w14:textId="77777777">
            <w:pPr>
              <w:pStyle w:val="TableParagraph"/>
              <w:spacing w:before="108"/>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Value of transactions</w:t>
            </w:r>
          </w:p>
          <w:p w:rsidRPr="00D43D39" w:rsidR="00CA6401" w:rsidP="001E587F" w:rsidRDefault="00E274D8" w14:paraId="2DD89F6E"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As a general rule, the average of daily transactions over the year shall be reported. If not available, an average over a shorter period (e.g. a few months) may be reported.</w:t>
            </w:r>
          </w:p>
          <w:p w:rsidRPr="00D43D39" w:rsidR="00E274D8" w:rsidP="001E587F" w:rsidRDefault="00E274D8" w14:paraId="43DBC2E4" w14:textId="0FDC933C">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Payment services (function ID 3.1 and 3.2): Value of transactions sent.</w:t>
            </w:r>
            <w:r w:rsidR="00FE1AE0">
              <w:t xml:space="preserve"> </w:t>
            </w:r>
            <w:r w:rsidRPr="00FE1AE0" w:rsidR="00FE1AE0">
              <w:rPr>
                <w:rFonts w:ascii="Times New Roman" w:hAnsi="Times New Roman" w:eastAsia="Cambria" w:cs="Times New Roman"/>
                <w:color w:val="000000" w:themeColor="text1"/>
                <w:spacing w:val="-2"/>
                <w:w w:val="95"/>
                <w:sz w:val="20"/>
                <w:szCs w:val="20"/>
                <w:lang w:val="en-GB"/>
              </w:rPr>
              <w:t>Background references: EU Directive on payment services in the internal market (2015/2366) Article 4(5); ECB Regulation on payment statistics (ECB/2020/59)</w:t>
            </w:r>
          </w:p>
          <w:p w:rsidRPr="00D43D39" w:rsidR="00E274D8" w:rsidP="00E274D8" w:rsidRDefault="00E274D8" w14:paraId="698C62AA"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Cash services (function ID 3.3): Value of ATM transactions at ATMs of the reporting</w:t>
            </w:r>
          </w:p>
          <w:p w:rsidRPr="00D43D39" w:rsidR="00E274D8" w:rsidP="00E274D8" w:rsidRDefault="00E274D8" w14:paraId="49B1F218"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institution, as defined in ECB/2013/43 Table 5a, as well as over-the-counter cash</w:t>
            </w:r>
          </w:p>
          <w:p w:rsidRPr="00D43D39" w:rsidR="00E274D8" w:rsidP="00E274D8" w:rsidRDefault="00E274D8" w14:paraId="4AA1507E"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withdrawals in branch offices of the reporting entity, as defined in ECB/2014/15 Table</w:t>
            </w:r>
          </w:p>
          <w:p w:rsidRPr="00D43D39" w:rsidR="00E274D8" w:rsidP="00E274D8" w:rsidRDefault="00E274D8" w14:paraId="63F9419C"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Securities settlement services (function ID 3.4): Value of securities transfers processed</w:t>
            </w:r>
          </w:p>
          <w:p w:rsidRPr="00D43D39" w:rsidR="00E274D8" w:rsidP="00E274D8" w:rsidRDefault="00E274D8" w14:paraId="6C56EAB1"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on behalf of clients. This includes transactions settled with a securities settlement</w:t>
            </w:r>
          </w:p>
          <w:p w:rsidRPr="00D43D39" w:rsidR="00E274D8" w:rsidP="00E274D8" w:rsidRDefault="00E274D8" w14:paraId="5D766D27"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system or settled internally by the reporting entities, and 'free-of-payment'</w:t>
            </w:r>
          </w:p>
          <w:p w:rsidRPr="00D43D39" w:rsidR="00E274D8" w:rsidP="00E274D8" w:rsidRDefault="00E274D8" w14:paraId="1976EDEA" w14:textId="23465DE4">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transactions. Report only the value of transactions sent.</w:t>
            </w:r>
          </w:p>
        </w:tc>
      </w:tr>
      <w:tr w:rsidRPr="00D43D39" w:rsidR="00CA6401" w:rsidTr="001E587F" w14:paraId="2D5E5861" w14:textId="77777777">
        <w:tc>
          <w:tcPr>
            <w:tcW w:w="1080" w:type="dxa"/>
            <w:tcBorders>
              <w:top w:val="single" w:color="1A171C" w:sz="4" w:space="0"/>
              <w:left w:val="nil"/>
              <w:bottom w:val="single" w:color="1A171C" w:sz="4" w:space="0"/>
              <w:right w:val="single" w:color="1A171C" w:sz="4" w:space="0"/>
            </w:tcBorders>
            <w:vAlign w:val="center"/>
          </w:tcPr>
          <w:p w:rsidRPr="00D43D39" w:rsidR="00CA6401" w:rsidP="001E587F" w:rsidRDefault="00CA6401" w14:paraId="30F90F1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0040</w:t>
            </w:r>
          </w:p>
        </w:tc>
        <w:tc>
          <w:tcPr>
            <w:tcW w:w="8003" w:type="dxa"/>
            <w:tcBorders>
              <w:top w:val="single" w:color="1A171C" w:sz="4" w:space="0"/>
              <w:left w:val="single" w:color="1A171C" w:sz="4" w:space="0"/>
              <w:bottom w:val="single" w:color="1A171C" w:sz="4" w:space="0"/>
              <w:right w:val="nil"/>
            </w:tcBorders>
            <w:vAlign w:val="center"/>
          </w:tcPr>
          <w:p w:rsidRPr="00D43D39" w:rsidR="00E274D8" w:rsidP="001E587F" w:rsidRDefault="00E274D8" w14:paraId="59FFB842" w14:textId="155CD169">
            <w:pPr>
              <w:pStyle w:val="TableParagraph"/>
              <w:spacing w:before="108"/>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Value of transaction</w:t>
            </w:r>
            <w:r w:rsidR="00281C72">
              <w:rPr>
                <w:rFonts w:ascii="Times New Roman" w:hAnsi="Times New Roman" w:cs="Times New Roman"/>
                <w:b/>
                <w:bCs/>
                <w:color w:val="000000" w:themeColor="text1"/>
                <w:sz w:val="20"/>
                <w:szCs w:val="20"/>
                <w:lang w:val="en-GB"/>
              </w:rPr>
              <w:t>s</w:t>
            </w:r>
            <w:r w:rsidRPr="00D43D39">
              <w:rPr>
                <w:rFonts w:ascii="Times New Roman" w:hAnsi="Times New Roman" w:cs="Times New Roman"/>
                <w:b/>
                <w:bCs/>
                <w:color w:val="000000" w:themeColor="text1"/>
                <w:sz w:val="20"/>
                <w:szCs w:val="20"/>
                <w:lang w:val="en-GB"/>
              </w:rPr>
              <w:t xml:space="preserve"> of which </w:t>
            </w:r>
            <w:r w:rsidRPr="00D43D39" w:rsidR="001022DE">
              <w:rPr>
                <w:rFonts w:ascii="Times New Roman" w:hAnsi="Times New Roman" w:cs="Times New Roman"/>
                <w:b/>
                <w:bCs/>
                <w:color w:val="000000" w:themeColor="text1"/>
                <w:sz w:val="20"/>
                <w:szCs w:val="20"/>
                <w:lang w:val="en-GB"/>
              </w:rPr>
              <w:t>recurrent</w:t>
            </w:r>
          </w:p>
          <w:p w:rsidRPr="00D43D39" w:rsidR="00CA6401" w:rsidP="001E587F" w:rsidRDefault="00446EF4" w14:paraId="0BC55BC5" w14:textId="104549DB">
            <w:pPr>
              <w:pStyle w:val="TableParagraph"/>
              <w:spacing w:before="108"/>
              <w:rPr>
                <w:rFonts w:ascii="Times New Roman" w:hAnsi="Times New Roman" w:eastAsia="Cambria" w:cs="Times New Roman"/>
                <w:color w:val="000000" w:themeColor="text1"/>
                <w:spacing w:val="-2"/>
                <w:w w:val="95"/>
                <w:sz w:val="20"/>
                <w:szCs w:val="20"/>
                <w:lang w:val="en-GB"/>
              </w:rPr>
            </w:pPr>
            <w:r w:rsidRPr="00446EF4">
              <w:rPr>
                <w:rFonts w:ascii="Times New Roman" w:hAnsi="Times New Roman" w:eastAsia="Cambria" w:cs="Times New Roman"/>
                <w:color w:val="000000" w:themeColor="text1"/>
                <w:spacing w:val="-2"/>
                <w:w w:val="95"/>
                <w:sz w:val="20"/>
                <w:szCs w:val="20"/>
                <w:lang w:val="en-GB"/>
              </w:rPr>
              <w:t xml:space="preserve">Value of transactions as reported in (c0030) of which are made by recurrent payment services account.  </w:t>
            </w:r>
            <w:r w:rsidRPr="00446EF4">
              <w:rPr>
                <w:rFonts w:ascii="Times New Roman" w:hAnsi="Times New Roman" w:eastAsia="Cambria" w:cs="Times New Roman"/>
                <w:color w:val="000000" w:themeColor="text1"/>
                <w:spacing w:val="-2"/>
                <w:w w:val="95"/>
                <w:sz w:val="20"/>
                <w:szCs w:val="20"/>
                <w:lang w:val="en-GB"/>
              </w:rPr>
              <w:t>Recurring payment services accounts are payment services accounts where the account has been debited or credited at least with 5 monthly transactions on average over the 6 months preceding the cut-off date, except for annual fees, other charges and interest payment related to the account.</w:t>
            </w:r>
            <w:r w:rsidRPr="00D43D39" w:rsidR="001022DE">
              <w:rPr>
                <w:rFonts w:ascii="Times New Roman" w:hAnsi="Times New Roman" w:eastAsia="Cambria" w:cs="Times New Roman"/>
                <w:color w:val="000000" w:themeColor="text1"/>
                <w:spacing w:val="-2"/>
                <w:w w:val="95"/>
                <w:sz w:val="20"/>
                <w:szCs w:val="20"/>
                <w:lang w:val="en-GB"/>
              </w:rPr>
              <w:tab/>
            </w:r>
            <w:r w:rsidRPr="00D43D39" w:rsidR="001022DE">
              <w:rPr>
                <w:rFonts w:ascii="Times New Roman" w:hAnsi="Times New Roman" w:eastAsia="Cambria" w:cs="Times New Roman"/>
                <w:color w:val="000000" w:themeColor="text1"/>
                <w:spacing w:val="-2"/>
                <w:w w:val="95"/>
                <w:sz w:val="20"/>
                <w:szCs w:val="20"/>
                <w:lang w:val="en-GB"/>
              </w:rPr>
              <w:tab/>
            </w:r>
            <w:r w:rsidRPr="00D43D39" w:rsidR="001022DE">
              <w:rPr>
                <w:rFonts w:ascii="Times New Roman" w:hAnsi="Times New Roman" w:eastAsia="Cambria" w:cs="Times New Roman"/>
                <w:color w:val="000000" w:themeColor="text1"/>
                <w:spacing w:val="-2"/>
                <w:w w:val="95"/>
                <w:sz w:val="20"/>
                <w:szCs w:val="20"/>
                <w:lang w:val="en-GB"/>
              </w:rPr>
              <w:tab/>
            </w:r>
            <w:r w:rsidRPr="00D43D39" w:rsidR="001022DE">
              <w:rPr>
                <w:rFonts w:ascii="Times New Roman" w:hAnsi="Times New Roman" w:eastAsia="Cambria" w:cs="Times New Roman"/>
                <w:color w:val="000000" w:themeColor="text1"/>
                <w:spacing w:val="-2"/>
                <w:w w:val="95"/>
                <w:sz w:val="20"/>
                <w:szCs w:val="20"/>
                <w:lang w:val="en-GB"/>
              </w:rPr>
              <w:tab/>
            </w:r>
            <w:r w:rsidRPr="00D43D39" w:rsidR="001022DE">
              <w:rPr>
                <w:rFonts w:ascii="Times New Roman" w:hAnsi="Times New Roman" w:eastAsia="Cambria" w:cs="Times New Roman"/>
                <w:color w:val="000000" w:themeColor="text1"/>
                <w:spacing w:val="-2"/>
                <w:w w:val="95"/>
                <w:sz w:val="20"/>
                <w:szCs w:val="20"/>
                <w:lang w:val="en-GB"/>
              </w:rPr>
              <w:tab/>
            </w:r>
            <w:r w:rsidRPr="00D43D39" w:rsidR="001022DE">
              <w:rPr>
                <w:rFonts w:ascii="Times New Roman" w:hAnsi="Times New Roman" w:eastAsia="Cambria" w:cs="Times New Roman"/>
                <w:color w:val="000000" w:themeColor="text1"/>
                <w:spacing w:val="-2"/>
                <w:w w:val="95"/>
                <w:sz w:val="20"/>
                <w:szCs w:val="20"/>
                <w:lang w:val="en-GB"/>
              </w:rPr>
              <w:tab/>
            </w:r>
            <w:r w:rsidRPr="00D43D39" w:rsidR="001022DE">
              <w:rPr>
                <w:rFonts w:ascii="Times New Roman" w:hAnsi="Times New Roman" w:eastAsia="Cambria" w:cs="Times New Roman"/>
                <w:color w:val="000000" w:themeColor="text1"/>
                <w:spacing w:val="-2"/>
                <w:w w:val="95"/>
                <w:sz w:val="20"/>
                <w:szCs w:val="20"/>
                <w:lang w:val="en-GB"/>
              </w:rPr>
              <w:tab/>
            </w:r>
            <w:r w:rsidRPr="00D43D39" w:rsidR="001022DE">
              <w:rPr>
                <w:rFonts w:ascii="Times New Roman" w:hAnsi="Times New Roman" w:eastAsia="Cambria" w:cs="Times New Roman"/>
                <w:color w:val="000000" w:themeColor="text1"/>
                <w:spacing w:val="-2"/>
                <w:w w:val="95"/>
                <w:sz w:val="20"/>
                <w:szCs w:val="20"/>
                <w:lang w:val="en-GB"/>
              </w:rPr>
              <w:tab/>
            </w:r>
          </w:p>
        </w:tc>
      </w:tr>
      <w:tr w:rsidRPr="00D43D39" w:rsidR="00CA6401" w:rsidTr="001E587F" w14:paraId="0421748A" w14:textId="77777777">
        <w:tc>
          <w:tcPr>
            <w:tcW w:w="1080" w:type="dxa"/>
            <w:tcBorders>
              <w:top w:val="single" w:color="1A171C" w:sz="4" w:space="0"/>
              <w:left w:val="nil"/>
              <w:bottom w:val="single" w:color="1A171C" w:sz="4" w:space="0"/>
              <w:right w:val="single" w:color="1A171C" w:sz="4" w:space="0"/>
            </w:tcBorders>
            <w:vAlign w:val="center"/>
          </w:tcPr>
          <w:p w:rsidRPr="00D43D39" w:rsidR="00CA6401" w:rsidP="001E587F" w:rsidRDefault="00CA6401" w14:paraId="1771437A"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0050</w:t>
            </w:r>
          </w:p>
        </w:tc>
        <w:tc>
          <w:tcPr>
            <w:tcW w:w="8003" w:type="dxa"/>
            <w:tcBorders>
              <w:top w:val="single" w:color="1A171C" w:sz="4" w:space="0"/>
              <w:left w:val="single" w:color="1A171C" w:sz="4" w:space="0"/>
              <w:bottom w:val="single" w:color="1A171C" w:sz="4" w:space="0"/>
              <w:right w:val="nil"/>
            </w:tcBorders>
            <w:vAlign w:val="center"/>
          </w:tcPr>
          <w:p w:rsidRPr="00D43D39" w:rsidR="003E5A06" w:rsidP="003E5A06" w:rsidRDefault="003E5A06" w14:paraId="600EF9B0" w14:textId="77777777">
            <w:pPr>
              <w:rPr>
                <w:rFonts w:ascii="Times New Roman" w:hAnsi="Times New Roman" w:cs="Times New Roman" w:eastAsiaTheme="minorHAnsi"/>
                <w:b/>
                <w:bCs/>
                <w:color w:val="000000" w:themeColor="text1"/>
                <w:sz w:val="20"/>
                <w:szCs w:val="20"/>
                <w:lang w:val="en-GB"/>
              </w:rPr>
            </w:pPr>
            <w:r w:rsidRPr="00D43D39">
              <w:rPr>
                <w:rFonts w:ascii="Times New Roman" w:hAnsi="Times New Roman" w:cs="Times New Roman" w:eastAsiaTheme="minorHAnsi"/>
                <w:b/>
                <w:bCs/>
                <w:color w:val="000000" w:themeColor="text1"/>
                <w:sz w:val="20"/>
                <w:szCs w:val="20"/>
                <w:lang w:val="en-GB"/>
              </w:rPr>
              <w:t>Value of open positions</w:t>
            </w:r>
          </w:p>
          <w:p w:rsidRPr="005F5507" w:rsidR="00181607" w:rsidP="00181607" w:rsidRDefault="00181607" w14:paraId="331F5E89"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5F5507">
              <w:rPr>
                <w:rFonts w:ascii="Times New Roman" w:hAnsi="Times New Roman" w:eastAsia="Cambria" w:cs="Times New Roman"/>
                <w:color w:val="000000" w:themeColor="text1"/>
                <w:spacing w:val="-2"/>
                <w:w w:val="95"/>
                <w:sz w:val="20"/>
                <w:szCs w:val="20"/>
                <w:lang w:val="en-GB"/>
              </w:rPr>
              <w:t>Only report for function ID 3.5 ‘CCP clearing services’: the positions (exposure) that the</w:t>
            </w:r>
          </w:p>
          <w:p w:rsidRPr="005F5507" w:rsidR="00181607" w:rsidP="00181607" w:rsidRDefault="00181607" w14:paraId="557A8C2E"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5F5507">
              <w:rPr>
                <w:rFonts w:ascii="Times New Roman" w:hAnsi="Times New Roman" w:eastAsia="Cambria" w:cs="Times New Roman"/>
                <w:color w:val="000000" w:themeColor="text1"/>
                <w:spacing w:val="-2"/>
                <w:w w:val="95"/>
                <w:sz w:val="20"/>
                <w:szCs w:val="20"/>
                <w:lang w:val="en-GB"/>
              </w:rPr>
              <w:t>CCPs of which the institution is a member take on with the institution on behalf of its</w:t>
            </w:r>
          </w:p>
          <w:p w:rsidRPr="005F5507" w:rsidR="00181607" w:rsidP="00181607" w:rsidRDefault="00181607" w14:paraId="59609574" w14:textId="4D2F052A">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5F5507">
              <w:rPr>
                <w:rFonts w:ascii="Times New Roman" w:hAnsi="Times New Roman" w:eastAsia="Cambria" w:cs="Times New Roman"/>
                <w:color w:val="000000" w:themeColor="text1"/>
                <w:spacing w:val="-2"/>
                <w:w w:val="95"/>
                <w:sz w:val="20"/>
                <w:szCs w:val="20"/>
                <w:lang w:val="en-GB"/>
              </w:rPr>
              <w:t xml:space="preserve">clients. </w:t>
            </w:r>
            <w:r w:rsidR="00937E62">
              <w:rPr>
                <w:rFonts w:ascii="Times New Roman" w:hAnsi="Times New Roman" w:eastAsia="Cambria" w:cs="Times New Roman"/>
                <w:color w:val="000000" w:themeColor="text1"/>
                <w:spacing w:val="-2"/>
                <w:w w:val="95"/>
                <w:sz w:val="20"/>
                <w:szCs w:val="20"/>
                <w:lang w:val="en-GB"/>
              </w:rPr>
              <w:t>R</w:t>
            </w:r>
            <w:r w:rsidRPr="005F5507">
              <w:rPr>
                <w:rFonts w:ascii="Times New Roman" w:hAnsi="Times New Roman" w:eastAsia="Cambria" w:cs="Times New Roman"/>
                <w:color w:val="000000" w:themeColor="text1"/>
                <w:spacing w:val="-2"/>
                <w:w w:val="95"/>
                <w:sz w:val="20"/>
                <w:szCs w:val="20"/>
                <w:lang w:val="en-GB"/>
              </w:rPr>
              <w:t>eport the average daily value of open positions related to client activity at</w:t>
            </w:r>
          </w:p>
          <w:p w:rsidRPr="005F5507" w:rsidR="00181607" w:rsidP="00181607" w:rsidRDefault="00181607" w14:paraId="69526DB0"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5F5507">
              <w:rPr>
                <w:rFonts w:ascii="Times New Roman" w:hAnsi="Times New Roman" w:eastAsia="Cambria" w:cs="Times New Roman"/>
                <w:color w:val="000000" w:themeColor="text1"/>
                <w:spacing w:val="-2"/>
                <w:w w:val="95"/>
                <w:sz w:val="20"/>
                <w:szCs w:val="20"/>
                <w:lang w:val="en-GB"/>
              </w:rPr>
              <w:t>CCPs. If not available, you may report averages over a shorter period (e.g. a few months)</w:t>
            </w:r>
          </w:p>
          <w:p w:rsidRPr="00D43D39" w:rsidR="00CA6401" w:rsidP="005F5507" w:rsidRDefault="00181607" w14:paraId="4D20F345" w14:textId="1A46DE05">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eastAsia="Cambria" w:cs="Times New Roman"/>
                <w:color w:val="000000" w:themeColor="text1"/>
                <w:spacing w:val="-2"/>
                <w:w w:val="95"/>
                <w:sz w:val="20"/>
                <w:szCs w:val="20"/>
                <w:lang w:val="en-GB"/>
              </w:rPr>
              <w:t>or open positions at end-of-year.</w:t>
            </w:r>
          </w:p>
        </w:tc>
      </w:tr>
      <w:tr w:rsidRPr="00D43D39" w:rsidR="00CA6401" w:rsidTr="001E587F" w14:paraId="721C93FE" w14:textId="77777777">
        <w:tc>
          <w:tcPr>
            <w:tcW w:w="1080" w:type="dxa"/>
            <w:tcBorders>
              <w:top w:val="single" w:color="1A171C" w:sz="4" w:space="0"/>
              <w:left w:val="nil"/>
              <w:bottom w:val="single" w:color="1A171C" w:sz="4" w:space="0"/>
              <w:right w:val="single" w:color="1A171C" w:sz="4" w:space="0"/>
            </w:tcBorders>
            <w:vAlign w:val="center"/>
          </w:tcPr>
          <w:p w:rsidRPr="00D43D39" w:rsidR="00CA6401" w:rsidP="001E587F" w:rsidRDefault="00CA6401" w14:paraId="128076C7"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0060</w:t>
            </w:r>
          </w:p>
        </w:tc>
        <w:tc>
          <w:tcPr>
            <w:tcW w:w="8003" w:type="dxa"/>
            <w:tcBorders>
              <w:top w:val="single" w:color="1A171C" w:sz="4" w:space="0"/>
              <w:left w:val="single" w:color="1A171C" w:sz="4" w:space="0"/>
              <w:bottom w:val="single" w:color="1A171C" w:sz="4" w:space="0"/>
              <w:right w:val="nil"/>
            </w:tcBorders>
            <w:vAlign w:val="center"/>
          </w:tcPr>
          <w:p w:rsidRPr="00D43D39" w:rsidR="00181607" w:rsidP="00181607" w:rsidRDefault="00181607" w14:paraId="4ED7991D" w14:textId="77777777">
            <w:pPr>
              <w:rPr>
                <w:rFonts w:ascii="Times New Roman" w:hAnsi="Times New Roman" w:cs="Times New Roman" w:eastAsiaTheme="minorHAnsi"/>
                <w:b/>
                <w:bCs/>
                <w:color w:val="000000" w:themeColor="text1"/>
                <w:sz w:val="20"/>
                <w:szCs w:val="20"/>
                <w:lang w:val="en-GB"/>
              </w:rPr>
            </w:pPr>
            <w:r w:rsidRPr="00D43D39">
              <w:rPr>
                <w:rFonts w:ascii="Times New Roman" w:hAnsi="Times New Roman" w:cs="Times New Roman" w:eastAsiaTheme="minorHAnsi"/>
                <w:b/>
                <w:bCs/>
                <w:color w:val="000000" w:themeColor="text1"/>
                <w:sz w:val="20"/>
                <w:szCs w:val="20"/>
                <w:lang w:val="en-GB"/>
              </w:rPr>
              <w:t>Value of assets under custody</w:t>
            </w:r>
          </w:p>
          <w:p w:rsidRPr="00D43D39" w:rsidR="00181607" w:rsidP="00181607" w:rsidRDefault="00181607" w14:paraId="09E33510"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Only report for function ID 3.6 ‘Custody services’: the amount of assets under custody,</w:t>
            </w:r>
          </w:p>
          <w:p w:rsidRPr="00D43D39" w:rsidR="00181607" w:rsidP="00181607" w:rsidRDefault="00181607" w14:paraId="6C775471"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using fair value. Other measurement bases including nominal value may be used if the fair</w:t>
            </w:r>
          </w:p>
          <w:p w:rsidRPr="00D43D39" w:rsidR="00181607" w:rsidP="00181607" w:rsidRDefault="00181607" w14:paraId="38EF64A5"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value is not available. In those cases where the institution provides services to entities</w:t>
            </w:r>
          </w:p>
          <w:p w:rsidRPr="00D43D39" w:rsidR="00181607" w:rsidP="00181607" w:rsidRDefault="00181607" w14:paraId="52F4CF81"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such as collective investment undertakings or pension funds, the assets concerned may</w:t>
            </w:r>
          </w:p>
          <w:p w:rsidRPr="00D43D39" w:rsidR="00181607" w:rsidP="00181607" w:rsidRDefault="00181607" w14:paraId="14C95F3C"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be shown at the value at which these entities report the assets in their own balance sheet.</w:t>
            </w:r>
          </w:p>
          <w:p w:rsidRPr="00D43D39" w:rsidR="00CA6401" w:rsidP="005F5507" w:rsidRDefault="00181607" w14:paraId="7D9FAF7F" w14:textId="0C572C55">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z w:val="20"/>
                <w:szCs w:val="20"/>
                <w:lang w:val="en-GB"/>
              </w:rPr>
              <w:t>Reported amounts shall include accrued interest, if appropriate.</w:t>
            </w:r>
          </w:p>
        </w:tc>
      </w:tr>
      <w:tr w:rsidRPr="00D43D39" w:rsidR="00CA6401" w:rsidTr="001E587F" w14:paraId="31DFD231" w14:textId="77777777">
        <w:tc>
          <w:tcPr>
            <w:tcW w:w="1080" w:type="dxa"/>
            <w:tcBorders>
              <w:top w:val="single" w:color="1A171C" w:sz="4" w:space="0"/>
              <w:left w:val="nil"/>
              <w:bottom w:val="single" w:color="1A171C" w:sz="4" w:space="0"/>
              <w:right w:val="single" w:color="1A171C" w:sz="4" w:space="0"/>
            </w:tcBorders>
            <w:vAlign w:val="center"/>
          </w:tcPr>
          <w:p w:rsidRPr="00D43D39" w:rsidR="00CA6401" w:rsidP="001E587F" w:rsidRDefault="00610601" w14:paraId="4D667707" w14:textId="35CCB6C0">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0070-0090</w:t>
            </w:r>
          </w:p>
        </w:tc>
        <w:tc>
          <w:tcPr>
            <w:tcW w:w="8003" w:type="dxa"/>
            <w:tcBorders>
              <w:top w:val="single" w:color="1A171C" w:sz="4" w:space="0"/>
              <w:left w:val="single" w:color="1A171C" w:sz="4" w:space="0"/>
              <w:bottom w:val="single" w:color="1A171C" w:sz="4" w:space="0"/>
              <w:right w:val="nil"/>
            </w:tcBorders>
            <w:vAlign w:val="center"/>
          </w:tcPr>
          <w:p w:rsidRPr="00D43D39" w:rsidR="00CA6401" w:rsidP="001E587F" w:rsidRDefault="00610601" w14:paraId="606A07FE"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Cross-border value</w:t>
            </w:r>
          </w:p>
          <w:p w:rsidRPr="005F5507" w:rsidR="00610601" w:rsidP="00610601" w:rsidRDefault="00610601" w14:paraId="4A08DEB6" w14:textId="77777777">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In the case of sent transactions, to avoid double-counting, cross-border transactions are</w:t>
            </w:r>
          </w:p>
          <w:p w:rsidRPr="00D43D39" w:rsidR="00610601" w:rsidP="00610601" w:rsidRDefault="00610601" w14:paraId="6EF115D7" w14:textId="5154BED6">
            <w:pPr>
              <w:pStyle w:val="TableParagraph"/>
              <w:spacing w:before="108"/>
              <w:ind w:left="85"/>
              <w:jc w:val="both"/>
              <w:rPr>
                <w:rFonts w:ascii="Times New Roman" w:hAnsi="Times New Roman" w:cs="Times New Roman"/>
                <w:b/>
                <w:bCs/>
                <w:color w:val="000000" w:themeColor="text1"/>
                <w:sz w:val="20"/>
                <w:szCs w:val="20"/>
                <w:lang w:val="en-GB"/>
              </w:rPr>
            </w:pPr>
            <w:r w:rsidRPr="005F5507">
              <w:rPr>
                <w:rFonts w:ascii="Times New Roman" w:hAnsi="Times New Roman" w:cs="Times New Roman"/>
                <w:color w:val="000000" w:themeColor="text1"/>
                <w:sz w:val="20"/>
                <w:szCs w:val="20"/>
                <w:lang w:val="en-GB"/>
              </w:rPr>
              <w:t>counted in the country in which the transaction originates.</w:t>
            </w:r>
          </w:p>
        </w:tc>
      </w:tr>
      <w:tr w:rsidRPr="00D43D39" w:rsidR="00707A8B" w:rsidTr="001E587F" w14:paraId="5CD53F8A" w14:textId="77777777">
        <w:tc>
          <w:tcPr>
            <w:tcW w:w="1080" w:type="dxa"/>
            <w:tcBorders>
              <w:top w:val="single" w:color="1A171C" w:sz="4" w:space="0"/>
              <w:left w:val="nil"/>
              <w:bottom w:val="single" w:color="1A171C" w:sz="4" w:space="0"/>
              <w:right w:val="single" w:color="1A171C" w:sz="4" w:space="0"/>
            </w:tcBorders>
            <w:vAlign w:val="center"/>
          </w:tcPr>
          <w:p w:rsidRPr="00D43D39" w:rsidR="00707A8B" w:rsidP="001E587F" w:rsidRDefault="00707A8B" w14:paraId="4F92BF35" w14:textId="0AAA2F14">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0100</w:t>
            </w:r>
          </w:p>
        </w:tc>
        <w:tc>
          <w:tcPr>
            <w:tcW w:w="8003" w:type="dxa"/>
            <w:tcBorders>
              <w:top w:val="single" w:color="1A171C" w:sz="4" w:space="0"/>
              <w:left w:val="single" w:color="1A171C" w:sz="4" w:space="0"/>
              <w:bottom w:val="single" w:color="1A171C" w:sz="4" w:space="0"/>
              <w:right w:val="nil"/>
            </w:tcBorders>
            <w:vAlign w:val="center"/>
          </w:tcPr>
          <w:p w:rsidRPr="00D43D39" w:rsidR="00707A8B" w:rsidP="00707A8B" w:rsidRDefault="00707A8B" w14:paraId="466A2B06" w14:textId="77777777">
            <w:pPr>
              <w:rPr>
                <w:rFonts w:ascii="Times New Roman" w:hAnsi="Times New Roman" w:cs="Times New Roman" w:eastAsiaTheme="minorHAnsi"/>
                <w:b/>
                <w:bCs/>
                <w:color w:val="000000" w:themeColor="text1"/>
                <w:sz w:val="20"/>
                <w:szCs w:val="20"/>
                <w:lang w:val="en-GB"/>
              </w:rPr>
            </w:pPr>
            <w:r w:rsidRPr="00D43D39">
              <w:rPr>
                <w:rFonts w:ascii="Times New Roman" w:hAnsi="Times New Roman" w:cs="Times New Roman" w:eastAsiaTheme="minorHAnsi"/>
                <w:b/>
                <w:bCs/>
                <w:color w:val="000000" w:themeColor="text1"/>
                <w:sz w:val="20"/>
                <w:szCs w:val="20"/>
                <w:lang w:val="en-GB"/>
              </w:rPr>
              <w:t>Number of transactions</w:t>
            </w:r>
          </w:p>
          <w:p w:rsidRPr="005F5507" w:rsidR="00CD0B5B" w:rsidP="00707A8B" w:rsidRDefault="00707A8B" w14:paraId="311FAB1F" w14:textId="77777777">
            <w:pPr>
              <w:pStyle w:val="TableParagraph"/>
              <w:spacing w:before="108"/>
              <w:jc w:val="both"/>
              <w:rPr>
                <w:rFonts w:ascii="Times New Roman" w:hAnsi="Times New Roman" w:cs="Times New Roman"/>
              </w:rPr>
            </w:pPr>
            <w:r w:rsidRPr="005F5507">
              <w:rPr>
                <w:rFonts w:ascii="Times New Roman" w:hAnsi="Times New Roman" w:cs="Times New Roman"/>
              </w:rPr>
              <w:t xml:space="preserve">As a general rule, the average number of daily transactions over the year corresponding to the values reported under functions ID 3.1-3.4 rows 0010-0040, column 0030, shall be reported. If not available, averages over a shorter period (e.g. a few months) may be provided. Specifically with regard to the different functions, the following measures shall be used13: </w:t>
            </w:r>
          </w:p>
          <w:p w:rsidRPr="005F5507" w:rsidR="00CD0B5B" w:rsidP="00707A8B" w:rsidRDefault="00707A8B" w14:paraId="64D15E31" w14:textId="77777777">
            <w:pPr>
              <w:pStyle w:val="TableParagraph"/>
              <w:spacing w:before="108"/>
              <w:jc w:val="both"/>
              <w:rPr>
                <w:rFonts w:ascii="Times New Roman" w:hAnsi="Times New Roman" w:cs="Times New Roman"/>
              </w:rPr>
            </w:pPr>
            <w:r w:rsidRPr="005F5507">
              <w:rPr>
                <w:rFonts w:ascii="Times New Roman" w:hAnsi="Times New Roman" w:cs="Times New Roman"/>
              </w:rPr>
              <w:t xml:space="preserve">Payment services (ID 3.1-3.2): Number of transactions sent. Background references: EU Directive on payment services in the internal market (2015/2366) Article 4(5); ECB Regulation on payment statistics (ECB/2013/43). </w:t>
            </w:r>
          </w:p>
          <w:p w:rsidRPr="005F5507" w:rsidR="00CD0B5B" w:rsidP="00707A8B" w:rsidRDefault="00707A8B" w14:paraId="32B5F9CE" w14:textId="5402300C">
            <w:pPr>
              <w:pStyle w:val="TableParagraph"/>
              <w:spacing w:before="108"/>
              <w:jc w:val="both"/>
              <w:rPr>
                <w:rFonts w:ascii="Times New Roman" w:hAnsi="Times New Roman" w:cs="Times New Roman"/>
              </w:rPr>
            </w:pPr>
            <w:r w:rsidRPr="005F5507">
              <w:rPr>
                <w:rFonts w:ascii="Times New Roman" w:hAnsi="Times New Roman" w:cs="Times New Roman"/>
              </w:rPr>
              <w:t>Cash services (ID 3.3): Number of ATM transactions, as defined in ECB/20</w:t>
            </w:r>
            <w:r w:rsidR="0079352B">
              <w:rPr>
                <w:rFonts w:ascii="Times New Roman" w:hAnsi="Times New Roman" w:cs="Times New Roman"/>
              </w:rPr>
              <w:t>21</w:t>
            </w:r>
            <w:r w:rsidRPr="005F5507">
              <w:rPr>
                <w:rFonts w:ascii="Times New Roman" w:hAnsi="Times New Roman" w:cs="Times New Roman"/>
              </w:rPr>
              <w:t>/</w:t>
            </w:r>
            <w:r w:rsidR="0079352B">
              <w:rPr>
                <w:rFonts w:ascii="Times New Roman" w:hAnsi="Times New Roman" w:cs="Times New Roman"/>
              </w:rPr>
              <w:t>16</w:t>
            </w:r>
            <w:r w:rsidRPr="005F5507">
              <w:rPr>
                <w:rFonts w:ascii="Times New Roman" w:hAnsi="Times New Roman" w:cs="Times New Roman"/>
              </w:rPr>
              <w:t xml:space="preserve"> Table 5a, as well as over-the-counter cash withdrawals, as defined in ECB/2014/15 Table 4. </w:t>
            </w:r>
          </w:p>
          <w:p w:rsidRPr="00D43D39" w:rsidR="00707A8B" w:rsidP="005F5507" w:rsidRDefault="00707A8B" w14:paraId="4BBE4120" w14:textId="0ED594B1">
            <w:pPr>
              <w:pStyle w:val="TableParagraph"/>
              <w:spacing w:before="108"/>
              <w:jc w:val="both"/>
              <w:rPr>
                <w:rFonts w:ascii="Times New Roman" w:hAnsi="Times New Roman" w:cs="Times New Roman"/>
                <w:b/>
                <w:bCs/>
                <w:color w:val="000000" w:themeColor="text1"/>
                <w:sz w:val="20"/>
                <w:szCs w:val="20"/>
                <w:lang w:val="en-GB"/>
              </w:rPr>
            </w:pPr>
            <w:r w:rsidRPr="005F5507">
              <w:rPr>
                <w:rFonts w:ascii="Times New Roman" w:hAnsi="Times New Roman" w:cs="Times New Roman"/>
              </w:rPr>
              <w:t>Securities settlement services (ID 3.4): Number of securities transfer transactions processed on behalf of clients. This includes transactions settled with a securities settlement system or settled internally by the reporting entities and 'free-of-payment' transactions.</w:t>
            </w:r>
          </w:p>
        </w:tc>
      </w:tr>
      <w:tr w:rsidRPr="00D43D39" w:rsidR="00707A8B" w:rsidTr="001E587F" w14:paraId="43A5B40B" w14:textId="77777777">
        <w:tc>
          <w:tcPr>
            <w:tcW w:w="1080" w:type="dxa"/>
            <w:tcBorders>
              <w:top w:val="single" w:color="1A171C" w:sz="4" w:space="0"/>
              <w:left w:val="nil"/>
              <w:bottom w:val="single" w:color="1A171C" w:sz="4" w:space="0"/>
              <w:right w:val="single" w:color="1A171C" w:sz="4" w:space="0"/>
            </w:tcBorders>
            <w:vAlign w:val="center"/>
          </w:tcPr>
          <w:p w:rsidRPr="00D43D39" w:rsidR="00707A8B" w:rsidP="005F5507" w:rsidRDefault="00707A8B" w14:paraId="34298895" w14:textId="002F61D2">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0110</w:t>
            </w:r>
          </w:p>
        </w:tc>
        <w:tc>
          <w:tcPr>
            <w:tcW w:w="8003" w:type="dxa"/>
            <w:tcBorders>
              <w:top w:val="single" w:color="1A171C" w:sz="4" w:space="0"/>
              <w:left w:val="single" w:color="1A171C" w:sz="4" w:space="0"/>
              <w:bottom w:val="single" w:color="1A171C" w:sz="4" w:space="0"/>
              <w:right w:val="nil"/>
            </w:tcBorders>
            <w:vAlign w:val="center"/>
          </w:tcPr>
          <w:p w:rsidRPr="00D43D39" w:rsidR="00707A8B" w:rsidP="001E587F" w:rsidRDefault="00707A8B" w14:paraId="4FD94D9D"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Number of clients</w:t>
            </w:r>
          </w:p>
          <w:p w:rsidRPr="005F5507" w:rsidR="00707A8B" w:rsidP="001E587F" w:rsidRDefault="000D66A4" w14:paraId="3869887B" w14:textId="72FA1898">
            <w:pPr>
              <w:pStyle w:val="TableParagraph"/>
              <w:spacing w:before="108"/>
              <w:ind w:left="85"/>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Number of (resident and </w:t>
            </w:r>
            <w:r w:rsidRPr="00D43D39" w:rsidR="00BB181E">
              <w:rPr>
                <w:rFonts w:ascii="Times New Roman" w:hAnsi="Times New Roman" w:cs="Times New Roman"/>
                <w:color w:val="000000" w:themeColor="text1"/>
                <w:sz w:val="20"/>
                <w:szCs w:val="20"/>
                <w:lang w:val="en-GB"/>
              </w:rPr>
              <w:t>non-resident</w:t>
            </w:r>
            <w:r w:rsidRPr="005F5507">
              <w:rPr>
                <w:rFonts w:ascii="Times New Roman" w:hAnsi="Times New Roman" w:cs="Times New Roman"/>
                <w:color w:val="000000" w:themeColor="text1"/>
                <w:sz w:val="20"/>
                <w:szCs w:val="20"/>
                <w:lang w:val="en-GB"/>
              </w:rPr>
              <w:t>) clients to which the service is provided. If one client uses a service within a subfunction more than once, the client shall be counted only once.</w:t>
            </w:r>
          </w:p>
        </w:tc>
      </w:tr>
      <w:tr w:rsidRPr="00CB3292" w:rsidR="003600C0" w:rsidTr="003600C0" w14:paraId="595A3343" w14:textId="77777777">
        <w:tc>
          <w:tcPr>
            <w:tcW w:w="1080" w:type="dxa"/>
            <w:tcBorders>
              <w:top w:val="single" w:color="1A171C" w:sz="4" w:space="0"/>
              <w:left w:val="nil"/>
              <w:bottom w:val="single" w:color="1A171C" w:sz="4" w:space="0"/>
              <w:right w:val="single" w:color="1A171C" w:sz="4" w:space="0"/>
            </w:tcBorders>
            <w:vAlign w:val="center"/>
          </w:tcPr>
          <w:p w:rsidR="003600C0" w:rsidP="00CB3292" w:rsidRDefault="008F7F94" w14:paraId="7FEDFF73" w14:textId="08A6B0F7">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0120 - 0190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CB3292" w:rsidRDefault="003600C0" w14:paraId="686DDAA2"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Impact and Substitutability analyses</w:t>
            </w:r>
          </w:p>
          <w:p w:rsidRPr="005F5507" w:rsidR="003600C0" w:rsidP="003600C0" w:rsidRDefault="003600C0" w14:paraId="59695C6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The assessment criteria for the impact on third parties shall include the following elements in accordance with Commission Delegated Regulation (EU) 2016/778 on critical functions:</w:t>
            </w:r>
          </w:p>
          <w:p w:rsidRPr="005F5507" w:rsidR="003600C0" w:rsidP="00CB3292" w:rsidRDefault="003600C0" w14:paraId="3A0BD129"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nature and reach of the activity, the global, national or regional reach, volume and number of transactions; the number of customers and counterparties; the number of customers for which the institution is the only or principal banking partner.</w:t>
            </w:r>
          </w:p>
          <w:p w:rsidRPr="005F5507" w:rsidR="003600C0" w:rsidP="00CB3292" w:rsidRDefault="003600C0" w14:paraId="7263ECA1"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p>
          <w:p w:rsidRPr="005F5507" w:rsidR="003600C0" w:rsidP="00CB3292" w:rsidRDefault="003600C0" w14:paraId="7E79DB6A"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nature of the customers and stakeholders affected by the function, such as but not limited to retail customers, corporate customers, interbank customers, central clearing houses and public entities. </w:t>
            </w:r>
          </w:p>
          <w:p w:rsidRPr="005F5507" w:rsidR="003600C0" w:rsidP="00CB3292" w:rsidRDefault="003600C0" w14:paraId="23E36653"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p>
          <w:p w:rsidRPr="005F5507" w:rsidR="003600C0" w:rsidP="00CB3292" w:rsidRDefault="003600C0" w14:paraId="65D93885"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490F2E73" w14:textId="77777777">
        <w:tc>
          <w:tcPr>
            <w:tcW w:w="1080" w:type="dxa"/>
            <w:tcBorders>
              <w:top w:val="single" w:color="1A171C" w:sz="4" w:space="0"/>
              <w:left w:val="nil"/>
              <w:bottom w:val="single" w:color="1A171C" w:sz="4" w:space="0"/>
              <w:right w:val="single" w:color="1A171C" w:sz="4" w:space="0"/>
            </w:tcBorders>
            <w:vAlign w:val="center"/>
          </w:tcPr>
          <w:p w:rsidR="003600C0" w:rsidP="00CB3292" w:rsidRDefault="008F7F94" w14:paraId="746D6F39" w14:textId="3D7859B2">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0120 - 0140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CB3292" w:rsidRDefault="003600C0" w14:paraId="2550CE67"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 xml:space="preserve">Nature and Reach </w:t>
            </w:r>
          </w:p>
          <w:p w:rsidRPr="005F5507" w:rsidR="003600C0" w:rsidP="00CB3292" w:rsidRDefault="003600C0" w14:paraId="280B0017"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The global, national or regional reach, volume and number of transactions; the number of customers and counterparties; the number of customers for which the institution is the only or principal banking partner.</w:t>
            </w:r>
          </w:p>
        </w:tc>
      </w:tr>
      <w:tr w:rsidRPr="00CB3292" w:rsidR="003600C0" w:rsidTr="003600C0" w14:paraId="71E0756F"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8F7F94" w14:paraId="6675BF2D" w14:textId="18A9610D">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0120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CB3292" w:rsidRDefault="003600C0" w14:paraId="4E34138A"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Size Indicator 1</w:t>
            </w:r>
          </w:p>
          <w:p w:rsidRPr="005F5507" w:rsidR="003600C0" w:rsidP="003600C0" w:rsidRDefault="003600C0" w14:paraId="3EDE6814" w14:textId="331DE14D">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Assess how important the bank is in these activities. This assessment </w:t>
            </w:r>
            <w:r w:rsidR="002526C2">
              <w:rPr>
                <w:rFonts w:ascii="Times New Roman" w:hAnsi="Times New Roman" w:cs="Times New Roman"/>
                <w:color w:val="000000" w:themeColor="text1"/>
                <w:sz w:val="20"/>
                <w:szCs w:val="20"/>
                <w:lang w:val="en-GB"/>
              </w:rPr>
              <w:t>is</w:t>
            </w:r>
            <w:r w:rsidRPr="005F5507">
              <w:rPr>
                <w:rFonts w:ascii="Times New Roman" w:hAnsi="Times New Roman" w:cs="Times New Roman"/>
                <w:color w:val="000000" w:themeColor="text1"/>
                <w:sz w:val="20"/>
                <w:szCs w:val="20"/>
                <w:lang w:val="en-GB"/>
              </w:rPr>
              <w: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p>
          <w:p w:rsidR="00417A0E" w:rsidP="00417A0E" w:rsidRDefault="00417A0E" w14:paraId="73DE1391" w14:textId="77777777">
            <w:pPr>
              <w:pStyle w:val="ListParagraph"/>
              <w:numPr>
                <w:ilvl w:val="0"/>
                <w:numId w:val="126"/>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value</w:t>
            </w:r>
            <w:r w:rsidRPr="00D43D39">
              <w:rPr>
                <w:rFonts w:ascii="Times New Roman" w:hAnsi="Times New Roman" w:eastAsia="Times New Roman"/>
                <w:sz w:val="20"/>
                <w:szCs w:val="20"/>
              </w:rPr>
              <w:t xml:space="preserve"> of transactions (c0030 for functions ID 3.1, 3.2, 3.3 and 3.4); open positions (c0040 for ID 3.5); or total assets under custody (c0050 for ID 3.6) from an </w:t>
            </w:r>
            <w:r w:rsidRPr="00D43D39">
              <w:rPr>
                <w:rFonts w:ascii="Times New Roman" w:hAnsi="Times New Roman" w:eastAsia="Times New Roman"/>
                <w:b/>
                <w:bCs/>
                <w:sz w:val="20"/>
                <w:szCs w:val="20"/>
              </w:rPr>
              <w:t>EU</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one level higher than the relevant market]</w:t>
            </w:r>
            <w:r w:rsidRPr="00D43D39">
              <w:rPr>
                <w:rFonts w:ascii="Times New Roman" w:hAnsi="Times New Roman" w:eastAsia="Times New Roman"/>
                <w:sz w:val="20"/>
                <w:szCs w:val="20"/>
              </w:rPr>
              <w:t xml:space="preserve">: </w:t>
            </w:r>
          </w:p>
          <w:p w:rsidRPr="005F5507" w:rsidR="003600C0" w:rsidP="005F5507" w:rsidRDefault="00417A0E" w14:paraId="754BA406" w14:textId="5E8372F5">
            <w:pPr>
              <w:pStyle w:val="ListParagraph"/>
              <w:numPr>
                <w:ilvl w:val="0"/>
                <w:numId w:val="126"/>
              </w:numPr>
              <w:spacing w:line="276" w:lineRule="auto"/>
              <w:rPr>
                <w:rFonts w:ascii="Times New Roman" w:hAnsi="Times New Roman" w:eastAsia="Times New Roman"/>
                <w:sz w:val="20"/>
                <w:szCs w:val="20"/>
              </w:rPr>
            </w:pPr>
            <w:r w:rsidRPr="005F5507">
              <w:rPr>
                <w:rFonts w:ascii="Times New Roman" w:hAnsi="Times New Roman" w:eastAsia="Times New Roman"/>
                <w:sz w:val="20"/>
                <w:szCs w:val="20"/>
              </w:rPr>
              <w:t xml:space="preserve">From an EU perspective, how large do you believe the value of transactions processed by your bank </w:t>
            </w:r>
            <w:r w:rsidRPr="005F5507">
              <w:rPr>
                <w:rFonts w:ascii="Times New Roman" w:hAnsi="Times New Roman" w:eastAsia="Times New Roman"/>
                <w:i/>
                <w:iCs/>
                <w:sz w:val="20"/>
                <w:szCs w:val="20"/>
              </w:rPr>
              <w:t>or</w:t>
            </w:r>
            <w:r w:rsidRPr="005F5507">
              <w:rPr>
                <w:rFonts w:ascii="Times New Roman" w:hAnsi="Times New Roman" w:eastAsia="Times New Roman"/>
                <w:sz w:val="20"/>
                <w:szCs w:val="20"/>
              </w:rPr>
              <w:t xml:space="preserve"> the open positions of your bank’s clients at CCPs, </w:t>
            </w:r>
            <w:r w:rsidRPr="005F5507">
              <w:rPr>
                <w:rFonts w:ascii="Times New Roman" w:hAnsi="Times New Roman" w:eastAsia="Times New Roman"/>
                <w:i/>
                <w:iCs/>
                <w:sz w:val="20"/>
                <w:szCs w:val="20"/>
              </w:rPr>
              <w:t>or</w:t>
            </w:r>
            <w:r w:rsidRPr="005F5507">
              <w:rPr>
                <w:rFonts w:ascii="Times New Roman" w:hAnsi="Times New Roman" w:eastAsia="Times New Roman"/>
                <w:sz w:val="20"/>
                <w:szCs w:val="20"/>
              </w:rPr>
              <w:t xml:space="preserve"> total assets your institution is holding under custody for its clients are?</w:t>
            </w:r>
          </w:p>
        </w:tc>
      </w:tr>
      <w:tr w:rsidRPr="00CB3292" w:rsidR="003600C0" w:rsidTr="003600C0" w14:paraId="1439218E"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8F7F94" w14:paraId="4B061BE2" w14:textId="00A15E70">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0130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CB3292" w:rsidRDefault="003600C0" w14:paraId="446890FB"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Size Indicator 2</w:t>
            </w:r>
          </w:p>
          <w:p w:rsidRPr="005F5507" w:rsidR="003600C0" w:rsidP="003600C0" w:rsidRDefault="003600C0" w14:paraId="7A8ECBE4"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p>
          <w:p w:rsidRPr="00CB3292" w:rsidR="00417A0E" w:rsidP="00417A0E" w:rsidRDefault="00417A0E" w14:paraId="54A7F270" w14:textId="77777777">
            <w:pPr>
              <w:pStyle w:val="ListParagraph"/>
              <w:numPr>
                <w:ilvl w:val="0"/>
                <w:numId w:val="120"/>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number</w:t>
            </w:r>
            <w:r w:rsidRPr="00D43D39">
              <w:rPr>
                <w:rFonts w:ascii="Times New Roman" w:hAnsi="Times New Roman" w:eastAsia="Times New Roman"/>
                <w:sz w:val="20"/>
                <w:szCs w:val="20"/>
              </w:rPr>
              <w:t xml:space="preserve"> of transactions (c0090 for function ID 3.1, 3.2, 3.3 and 3.4); or number of clients (c0100 for ID 3.5 and 3.6) from a </w:t>
            </w:r>
            <w:r w:rsidRPr="00D43D39">
              <w:rPr>
                <w:rFonts w:ascii="Times New Roman" w:hAnsi="Times New Roman" w:eastAsia="Times New Roman"/>
                <w:b/>
                <w:bCs/>
                <w:sz w:val="20"/>
                <w:szCs w:val="20"/>
              </w:rPr>
              <w:t>national</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at the level of the relevant market</w:t>
            </w:r>
            <w:r w:rsidRPr="00D43D39">
              <w:rPr>
                <w:rFonts w:ascii="Times New Roman" w:hAnsi="Times New Roman" w:eastAsia="Times New Roman"/>
                <w:sz w:val="20"/>
                <w:szCs w:val="20"/>
              </w:rPr>
              <w:t>]:</w:t>
            </w:r>
          </w:p>
          <w:p w:rsidRPr="00D43D39" w:rsidR="00417A0E" w:rsidP="00417A0E" w:rsidRDefault="00417A0E" w14:paraId="4A0C899B" w14:textId="77777777">
            <w:pPr>
              <w:pStyle w:val="ListParagraph"/>
              <w:numPr>
                <w:ilvl w:val="1"/>
                <w:numId w:val="124"/>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From a national perspective, how large </w:t>
            </w:r>
            <w:r>
              <w:rPr>
                <w:rFonts w:ascii="Times New Roman" w:hAnsi="Times New Roman" w:eastAsia="Times New Roman"/>
                <w:sz w:val="20"/>
                <w:szCs w:val="20"/>
              </w:rPr>
              <w:t>is the estimated</w:t>
            </w:r>
            <w:r w:rsidRPr="00D43D39">
              <w:rPr>
                <w:rFonts w:ascii="Times New Roman" w:hAnsi="Times New Roman" w:eastAsia="Times New Roman"/>
                <w:sz w:val="20"/>
                <w:szCs w:val="20"/>
              </w:rPr>
              <w:t xml:space="preserve"> total number of transactions</w:t>
            </w:r>
            <w:r w:rsidRPr="00D43D39">
              <w:rPr>
                <w:rFonts w:ascii="Times New Roman" w:hAnsi="Times New Roman" w:eastAsia="Times New Roman"/>
                <w:i/>
                <w:iCs/>
                <w:sz w:val="20"/>
                <w:szCs w:val="20"/>
              </w:rPr>
              <w:t xml:space="preserve"> or</w:t>
            </w:r>
            <w:r w:rsidRPr="00D43D39">
              <w:rPr>
                <w:rFonts w:ascii="Times New Roman" w:hAnsi="Times New Roman" w:eastAsia="Times New Roman"/>
                <w:sz w:val="20"/>
                <w:szCs w:val="20"/>
              </w:rPr>
              <w:t xml:space="preserve"> the </w:t>
            </w:r>
            <w:r>
              <w:rPr>
                <w:rFonts w:ascii="Times New Roman" w:hAnsi="Times New Roman" w:eastAsia="Times New Roman"/>
                <w:sz w:val="20"/>
                <w:szCs w:val="20"/>
              </w:rPr>
              <w:t xml:space="preserve">estimated </w:t>
            </w:r>
            <w:r w:rsidRPr="00D43D39">
              <w:rPr>
                <w:rFonts w:ascii="Times New Roman" w:hAnsi="Times New Roman" w:eastAsia="Times New Roman"/>
                <w:sz w:val="20"/>
                <w:szCs w:val="20"/>
              </w:rPr>
              <w:t>number of clients of your institution?</w:t>
            </w:r>
          </w:p>
          <w:p w:rsidRPr="005F5507" w:rsidR="003600C0" w:rsidP="005F5507" w:rsidRDefault="003600C0" w14:paraId="5330DA72" w14:textId="77777777">
            <w:pPr>
              <w:spacing w:line="276" w:lineRule="auto"/>
              <w:rPr>
                <w:rFonts w:ascii="Times New Roman" w:hAnsi="Times New Roman"/>
                <w:color w:val="000000" w:themeColor="text1"/>
                <w:sz w:val="20"/>
                <w:szCs w:val="20"/>
                <w:lang w:val="en-GB"/>
              </w:rPr>
            </w:pPr>
          </w:p>
        </w:tc>
      </w:tr>
      <w:tr w:rsidRPr="00CB3292" w:rsidR="003600C0" w:rsidTr="003600C0" w14:paraId="12D0686B"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8F7F94" w14:paraId="6EC90BC4" w14:textId="61F56FD9">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0140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CB3292" w:rsidRDefault="003600C0" w14:paraId="31D54D79"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Cross border indicator</w:t>
            </w:r>
          </w:p>
          <w:p w:rsidRPr="005F5507" w:rsidR="003600C0" w:rsidP="003600C0" w:rsidRDefault="003600C0" w14:paraId="5F09EAC1"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Assess the relative importance of cross-border activities for the different economic functions.</w:t>
            </w:r>
          </w:p>
          <w:p w:rsidRPr="005F5507" w:rsidR="003600C0" w:rsidP="003600C0" w:rsidRDefault="003600C0" w14:paraId="1A7FD91D"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does not need to be assessed in case of reports in which the relevant market is considered to be regional. </w:t>
            </w:r>
          </w:p>
          <w:p w:rsidRPr="00CB3292" w:rsidR="00417A0E" w:rsidP="00417A0E" w:rsidRDefault="00417A0E" w14:paraId="3CDA3A54" w14:textId="77777777">
            <w:pPr>
              <w:pStyle w:val="ListParagraph"/>
              <w:numPr>
                <w:ilvl w:val="0"/>
                <w:numId w:val="118"/>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Share of the reporting entity’s cross-jurisdictional activity as percentage of total value, expressed in notional amounts (derivatives), carrying amount (secondary markets), fee income from foreign customers (primary markets). </w:t>
            </w:r>
            <w:r>
              <w:rPr>
                <w:rFonts w:ascii="Times New Roman" w:hAnsi="Times New Roman" w:eastAsia="Times New Roman"/>
                <w:sz w:val="20"/>
                <w:szCs w:val="20"/>
              </w:rPr>
              <w:t>R</w:t>
            </w:r>
            <w:r w:rsidRPr="00D43D39">
              <w:rPr>
                <w:rFonts w:ascii="Times New Roman" w:hAnsi="Times New Roman" w:eastAsia="Times New Roman"/>
                <w:sz w:val="20"/>
                <w:szCs w:val="20"/>
              </w:rPr>
              <w:t xml:space="preserve">eport: L: &lt;5%; ML: [5-15%); [MH: 15-25%), H: ≥25%. </w:t>
            </w:r>
          </w:p>
          <w:p w:rsidRPr="005F5507" w:rsidR="003600C0" w:rsidP="00CB3292" w:rsidRDefault="003600C0" w14:paraId="35B8EFB3"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434B75CB"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604281CC" w14:textId="53A4B48A">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8F7F94">
              <w:rPr>
                <w:rFonts w:ascii="Times New Roman" w:hAnsi="Times New Roman" w:eastAsia="Cambria" w:cs="Times New Roman"/>
                <w:color w:val="000000" w:themeColor="text1"/>
                <w:spacing w:val="-2"/>
                <w:w w:val="95"/>
                <w:sz w:val="20"/>
                <w:szCs w:val="20"/>
                <w:lang w:val="en-GB"/>
              </w:rPr>
              <w:t>5</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CB3292" w:rsidRDefault="003600C0" w14:paraId="727A6066"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 xml:space="preserve">Relevance – </w:t>
            </w:r>
          </w:p>
          <w:p w:rsidRPr="005F5507" w:rsidR="003600C0" w:rsidP="00CB3292" w:rsidRDefault="003600C0" w14:paraId="5BD11B78"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On a local, regional, national or European level, as appropriate for the market concerned. The relevance of the institution may be assessed on the basis of the market share, the interconnectedness, the complexity and cross- border activities.</w:t>
            </w:r>
          </w:p>
          <w:p w:rsidRPr="008F7F94" w:rsidR="003600C0" w:rsidP="00CB3292" w:rsidRDefault="003600C0" w14:paraId="0017B286"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Market Share</w:t>
            </w:r>
          </w:p>
          <w:p w:rsidRPr="005F5507" w:rsidR="003600C0" w:rsidP="003600C0" w:rsidRDefault="003600C0" w14:paraId="28286FAF"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Assess how important the reporting entity’s market share is, compared to the national or other relevant market, as indicated in the template. This assessment is expressed qualitatively as </w:t>
            </w:r>
          </w:p>
          <w:p w:rsidRPr="005F5507" w:rsidR="003600C0" w:rsidP="00CB3292" w:rsidRDefault="003600C0" w14:paraId="32515E79"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High (H), if the market share is large</w:t>
            </w:r>
          </w:p>
          <w:p w:rsidRPr="005F5507" w:rsidR="003600C0" w:rsidP="00CB3292" w:rsidRDefault="003600C0" w14:paraId="76A21D86"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Medium-High (MH), if the market share is medium</w:t>
            </w:r>
          </w:p>
          <w:p w:rsidRPr="005F5507" w:rsidR="003600C0" w:rsidP="00CB3292" w:rsidRDefault="003600C0" w14:paraId="44538827"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Medium-Low (ML) if the market share is small or </w:t>
            </w:r>
          </w:p>
          <w:p w:rsidRPr="005F5507" w:rsidR="003600C0" w:rsidP="00CB3292" w:rsidRDefault="003600C0" w14:paraId="539B1E5A"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Low (L)’ if the market share is negligible. </w:t>
            </w:r>
          </w:p>
          <w:p w:rsidRPr="005F5507" w:rsidR="003600C0" w:rsidP="003600C0" w:rsidRDefault="003600C0" w14:paraId="00E848E7"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assessment takes into account the market structure of the reporting entity’s country (or other relevant market), and market shares reported in part </w:t>
            </w:r>
          </w:p>
          <w:p w:rsidRPr="005F5507" w:rsidR="003600C0" w:rsidP="003600C0" w:rsidRDefault="003600C0" w14:paraId="6A41701A"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2.Quantitative data:</w:t>
            </w:r>
          </w:p>
          <w:p w:rsidRPr="00CB3292" w:rsidR="00417A0E" w:rsidP="00417A0E" w:rsidRDefault="00417A0E" w14:paraId="655DE081" w14:textId="77777777">
            <w:pPr>
              <w:pStyle w:val="ListParagraph"/>
              <w:numPr>
                <w:ilvl w:val="0"/>
                <w:numId w:val="117"/>
              </w:numPr>
              <w:jc w:val="both"/>
              <w:rPr>
                <w:rFonts w:ascii="Times New Roman" w:hAnsi="Times New Roman" w:eastAsia="Times New Roman"/>
                <w:i/>
                <w:iCs/>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 xml:space="preserve">national </w:t>
            </w:r>
            <w:r w:rsidRPr="00D43D39">
              <w:rPr>
                <w:rFonts w:ascii="Times New Roman" w:hAnsi="Times New Roman" w:eastAsia="Times New Roman"/>
                <w:sz w:val="20"/>
                <w:szCs w:val="20"/>
              </w:rPr>
              <w:t>market share (reported in c0020, except in cases where the report is provided for a different relevant market level, in which case an assessment of the relevant market share is expected).</w:t>
            </w:r>
          </w:p>
          <w:p w:rsidRPr="005F5507" w:rsidR="003600C0" w:rsidP="003600C0" w:rsidRDefault="003600C0" w14:paraId="6B767966" w14:textId="77777777">
            <w:pPr>
              <w:pStyle w:val="TableParagraph"/>
              <w:spacing w:before="108"/>
              <w:jc w:val="both"/>
              <w:rPr>
                <w:rFonts w:ascii="Times New Roman" w:hAnsi="Times New Roman" w:cs="Times New Roman"/>
                <w:color w:val="000000" w:themeColor="text1"/>
                <w:sz w:val="20"/>
                <w:szCs w:val="20"/>
                <w:lang w:val="en-GB"/>
              </w:rPr>
            </w:pPr>
          </w:p>
          <w:p w:rsidRPr="005F5507" w:rsidR="003600C0" w:rsidP="00CB3292" w:rsidRDefault="003600C0" w14:paraId="3B1C2F32"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0E17D2D5"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40F2C46A" w14:textId="06281B3F">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8F7F94">
              <w:rPr>
                <w:rFonts w:ascii="Times New Roman" w:hAnsi="Times New Roman" w:eastAsia="Cambria" w:cs="Times New Roman"/>
                <w:color w:val="000000" w:themeColor="text1"/>
                <w:spacing w:val="-2"/>
                <w:w w:val="95"/>
                <w:sz w:val="20"/>
                <w:szCs w:val="20"/>
                <w:lang w:val="en-GB"/>
              </w:rPr>
              <w:t>6</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CB3292" w:rsidRDefault="003600C0" w14:paraId="3C65DDEA"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Market Structure – Market concentration</w:t>
            </w:r>
          </w:p>
          <w:p w:rsidRPr="005F5507" w:rsidR="003600C0" w:rsidP="003600C0" w:rsidRDefault="003600C0" w14:paraId="2AFF37D2"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The market concentration, measured by the number of competitors currently performing </w:t>
            </w:r>
          </w:p>
          <w:p w:rsidRPr="005F5507" w:rsidR="003600C0" w:rsidP="003600C0" w:rsidRDefault="003600C0" w14:paraId="1C0D36A7"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similar economic functions and/or offering similar services on equal terms (i.e. to a </w:t>
            </w:r>
          </w:p>
          <w:p w:rsidRPr="005F5507" w:rsidR="003600C0" w:rsidP="003600C0" w:rsidRDefault="003600C0" w14:paraId="41F66375"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comparable extent and quality and at a comparable cost) that potentially take over </w:t>
            </w:r>
          </w:p>
          <w:p w:rsidRPr="005F5507" w:rsidR="003600C0" w:rsidP="003600C0" w:rsidRDefault="003600C0" w14:paraId="24526196"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(part of) the clients and/or business of the reporting entity within a reasonable timeframe. </w:t>
            </w:r>
          </w:p>
          <w:p w:rsidRPr="005F5507" w:rsidR="003600C0" w:rsidP="003600C0" w:rsidRDefault="003600C0" w14:paraId="0776886B"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has to be reported in buckets, which are the same for each sub-function </w:t>
            </w:r>
          </w:p>
          <w:p w:rsidRPr="005F5507" w:rsidR="003600C0" w:rsidP="00CB3292" w:rsidRDefault="003600C0" w14:paraId="695C2AF0"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≥20; </w:t>
            </w:r>
          </w:p>
          <w:p w:rsidRPr="005F5507" w:rsidR="003600C0" w:rsidP="00CB3292" w:rsidRDefault="003600C0" w14:paraId="0FE830A0"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(10-20); </w:t>
            </w:r>
          </w:p>
          <w:p w:rsidRPr="005F5507" w:rsidR="003600C0" w:rsidP="00CB3292" w:rsidRDefault="003600C0" w14:paraId="599E3221"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(5-10), </w:t>
            </w:r>
          </w:p>
          <w:p w:rsidRPr="005F5507" w:rsidR="003600C0" w:rsidP="00CB3292" w:rsidRDefault="003600C0" w14:paraId="24F60B2F"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 &lt;5</w:t>
            </w:r>
          </w:p>
        </w:tc>
      </w:tr>
      <w:tr w:rsidRPr="00CB3292" w:rsidR="003600C0" w:rsidTr="003600C0" w14:paraId="2513C7CF"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42FFF72B" w14:textId="042EE3A6">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8F7F94">
              <w:rPr>
                <w:rFonts w:ascii="Times New Roman" w:hAnsi="Times New Roman" w:eastAsia="Cambria" w:cs="Times New Roman"/>
                <w:color w:val="000000" w:themeColor="text1"/>
                <w:spacing w:val="-2"/>
                <w:w w:val="95"/>
                <w:sz w:val="20"/>
                <w:szCs w:val="20"/>
                <w:lang w:val="en-GB"/>
              </w:rPr>
              <w:t>7</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CB3292" w:rsidRDefault="003600C0" w14:paraId="70B9F287"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Timing - Expected time for substitution</w:t>
            </w:r>
          </w:p>
          <w:p w:rsidRPr="005F5507" w:rsidR="003600C0" w:rsidP="003600C0" w:rsidRDefault="003600C0" w14:paraId="289A10F1"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Estimate the time necessary for the economic function provided by the reporting</w:t>
            </w:r>
          </w:p>
          <w:p w:rsidRPr="005F5507" w:rsidR="003600C0" w:rsidP="003600C0" w:rsidRDefault="003600C0" w14:paraId="3988B69B"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entity to be absorbed by the market in a crisis situation. This includes: </w:t>
            </w:r>
          </w:p>
          <w:p w:rsidRPr="005F5507" w:rsidR="003600C0" w:rsidP="00CB3292" w:rsidRDefault="003600C0" w14:paraId="4CD235F8" w14:textId="77777777">
            <w:pPr>
              <w:pStyle w:val="ListParagraph"/>
              <w:numPr>
                <w:ilvl w:val="0"/>
                <w:numId w:val="274"/>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expected time needed by one or several competitor(s) to accomplish the legal and technical steps to take over the function; as well as  </w:t>
            </w:r>
          </w:p>
          <w:p w:rsidRPr="005F5507" w:rsidR="003600C0" w:rsidP="00CB3292" w:rsidRDefault="003600C0" w14:paraId="376D46E2" w14:textId="77777777">
            <w:pPr>
              <w:pStyle w:val="ListParagraph"/>
              <w:numPr>
                <w:ilvl w:val="0"/>
                <w:numId w:val="274"/>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time required by users of the service to move to another service provider. </w:t>
            </w:r>
          </w:p>
          <w:p w:rsidRPr="005F5507" w:rsidR="003600C0" w:rsidP="003600C0" w:rsidRDefault="003600C0" w14:paraId="76451321" w14:textId="77777777">
            <w:pPr>
              <w:pStyle w:val="TableParagraph"/>
              <w:spacing w:before="108"/>
              <w:jc w:val="both"/>
              <w:rPr>
                <w:rFonts w:ascii="Times New Roman" w:hAnsi="Times New Roman" w:cs="Times New Roman"/>
                <w:color w:val="000000" w:themeColor="text1"/>
                <w:sz w:val="20"/>
                <w:szCs w:val="20"/>
                <w:lang w:val="en-GB"/>
              </w:rPr>
            </w:pPr>
          </w:p>
          <w:p w:rsidRPr="005F5507" w:rsidR="003600C0" w:rsidP="003600C0" w:rsidRDefault="003600C0" w14:paraId="00FE7E4A"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p>
          <w:p w:rsidR="00417A0E" w:rsidP="00417A0E" w:rsidRDefault="00417A0E" w14:paraId="19A636F6" w14:textId="77777777">
            <w:pPr>
              <w:jc w:val="both"/>
              <w:rPr>
                <w:rFonts w:ascii="Times New Roman" w:hAnsi="Times New Roman" w:eastAsia="Times New Roman" w:cs="Times New Roman"/>
                <w:sz w:val="20"/>
                <w:szCs w:val="20"/>
                <w:lang w:val="en-GB"/>
              </w:rPr>
            </w:pPr>
          </w:p>
          <w:p w:rsidR="00417A0E" w:rsidP="00417A0E" w:rsidRDefault="00417A0E" w14:paraId="7E1D4169"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Buckets: </w:t>
            </w:r>
          </w:p>
          <w:p w:rsidRPr="005F5507" w:rsidR="00417A0E" w:rsidP="005F5507" w:rsidRDefault="00417A0E" w14:paraId="526ADF7B" w14:textId="77777777">
            <w:pPr>
              <w:pStyle w:val="ListParagraph"/>
              <w:numPr>
                <w:ilvl w:val="0"/>
                <w:numId w:val="284"/>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L: ≤ 1 day; </w:t>
            </w:r>
          </w:p>
          <w:p w:rsidRPr="005F5507" w:rsidR="00417A0E" w:rsidP="005F5507" w:rsidRDefault="00417A0E" w14:paraId="1641964C" w14:textId="77777777">
            <w:pPr>
              <w:pStyle w:val="ListParagraph"/>
              <w:numPr>
                <w:ilvl w:val="0"/>
                <w:numId w:val="284"/>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ML: (1-2 days]; </w:t>
            </w:r>
          </w:p>
          <w:p w:rsidRPr="005F5507" w:rsidR="00417A0E" w:rsidP="005F5507" w:rsidRDefault="00417A0E" w14:paraId="55D05AA7" w14:textId="77777777">
            <w:pPr>
              <w:pStyle w:val="ListParagraph"/>
              <w:numPr>
                <w:ilvl w:val="0"/>
                <w:numId w:val="284"/>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MH: (2 days-1 week], </w:t>
            </w:r>
          </w:p>
          <w:p w:rsidRPr="005F5507" w:rsidR="00417A0E" w:rsidP="005F5507" w:rsidRDefault="00417A0E" w14:paraId="42BE55AF" w14:textId="6D2F9768">
            <w:pPr>
              <w:pStyle w:val="ListParagraph"/>
              <w:numPr>
                <w:ilvl w:val="0"/>
                <w:numId w:val="284"/>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H: &gt;1 week </w:t>
            </w:r>
          </w:p>
          <w:p w:rsidRPr="005F5507" w:rsidR="003600C0" w:rsidP="003600C0" w:rsidRDefault="003600C0" w14:paraId="3E3F7FBA"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0768B32B"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8F7F94" w14:paraId="02E508D9" w14:textId="00E4197E">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0180 - 0190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CB3292" w:rsidRDefault="003600C0" w14:paraId="27912C99"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Ability for substitution</w:t>
            </w:r>
          </w:p>
        </w:tc>
      </w:tr>
      <w:tr w:rsidRPr="00CB3292" w:rsidR="003600C0" w:rsidTr="003600C0" w14:paraId="4F48A2E4"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CB3292" w:rsidRDefault="003600C0" w14:paraId="56AE2AF9" w14:textId="650698C2">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8F7F94">
              <w:rPr>
                <w:rFonts w:ascii="Times New Roman" w:hAnsi="Times New Roman" w:eastAsia="Cambria" w:cs="Times New Roman"/>
                <w:color w:val="000000" w:themeColor="text1"/>
                <w:spacing w:val="-2"/>
                <w:w w:val="95"/>
                <w:sz w:val="20"/>
                <w:szCs w:val="20"/>
                <w:lang w:val="en-GB"/>
              </w:rPr>
              <w:t>8</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3600C0" w:rsidRDefault="003600C0" w14:paraId="72B36EB1"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Legal barriers to entry or expansion</w:t>
            </w:r>
          </w:p>
          <w:p w:rsidRPr="005F5507" w:rsidR="003600C0" w:rsidP="003600C0" w:rsidRDefault="003600C0" w14:paraId="68AA6D24" w14:textId="77777777">
            <w:pPr>
              <w:pStyle w:val="TableParagraph"/>
              <w:spacing w:before="108"/>
              <w:jc w:val="both"/>
              <w:rPr>
                <w:rFonts w:ascii="Times New Roman" w:hAnsi="Times New Roman" w:cs="Times New Roman"/>
                <w:color w:val="000000" w:themeColor="text1"/>
                <w:sz w:val="20"/>
                <w:szCs w:val="20"/>
                <w:lang w:val="en-GB"/>
              </w:rPr>
            </w:pPr>
          </w:p>
          <w:p w:rsidRPr="005F5507" w:rsidR="003600C0" w:rsidP="003600C0" w:rsidRDefault="003600C0" w14:paraId="6D29ED32" w14:textId="210DE50D">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Legal barriers for competitors to offer the service. Legal requirements for performing the business of credit institutions (e.g. banking licences or capital requirements) </w:t>
            </w:r>
            <w:r w:rsidR="002526C2">
              <w:rPr>
                <w:rFonts w:ascii="Times New Roman" w:hAnsi="Times New Roman" w:cs="Times New Roman"/>
                <w:color w:val="000000" w:themeColor="text1"/>
                <w:sz w:val="20"/>
                <w:szCs w:val="20"/>
                <w:lang w:val="en-GB"/>
              </w:rPr>
              <w:t>are</w:t>
            </w:r>
            <w:r w:rsidRPr="005F5507">
              <w:rPr>
                <w:rFonts w:ascii="Times New Roman" w:hAnsi="Times New Roman" w:cs="Times New Roman"/>
                <w:color w:val="000000" w:themeColor="text1"/>
                <w:sz w:val="20"/>
                <w:szCs w:val="20"/>
                <w:lang w:val="en-GB"/>
              </w:rPr>
              <w:t xml:space="preserve"> not </w:t>
            </w:r>
            <w:r w:rsidR="002526C2">
              <w:rPr>
                <w:rFonts w:ascii="Times New Roman" w:hAnsi="Times New Roman" w:cs="Times New Roman"/>
                <w:color w:val="000000" w:themeColor="text1"/>
                <w:sz w:val="20"/>
                <w:szCs w:val="20"/>
                <w:lang w:val="en-GB"/>
              </w:rPr>
              <w:t>to</w:t>
            </w:r>
            <w:r w:rsidRPr="005F5507">
              <w:rPr>
                <w:rFonts w:ascii="Times New Roman" w:hAnsi="Times New Roman" w:cs="Times New Roman"/>
                <w:color w:val="000000" w:themeColor="text1"/>
                <w:sz w:val="20"/>
                <w:szCs w:val="20"/>
                <w:lang w:val="en-GB"/>
              </w:rPr>
              <w:t xml:space="preserve"> be considered as unsurmountable barriers in the presence of alternative providers. This indicator has to be reported in buckets, which are the same for each sub-function: </w:t>
            </w:r>
          </w:p>
          <w:p w:rsidRPr="005F5507" w:rsidR="003600C0" w:rsidP="00CB3292" w:rsidRDefault="003600C0" w14:paraId="7C7D7F50"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no major barriers, </w:t>
            </w:r>
          </w:p>
          <w:p w:rsidRPr="005F5507" w:rsidR="003600C0" w:rsidP="00CB3292" w:rsidRDefault="003600C0" w14:paraId="758A0C7B"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some barriers, </w:t>
            </w:r>
          </w:p>
          <w:p w:rsidRPr="005F5507" w:rsidR="003600C0" w:rsidP="00CB3292" w:rsidRDefault="003600C0" w14:paraId="4C0DC497"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substantial (but surmountable) barriers, </w:t>
            </w:r>
          </w:p>
          <w:p w:rsidRPr="005F5507" w:rsidR="003600C0" w:rsidP="00CB3292" w:rsidRDefault="003600C0" w14:paraId="473BC313"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H: critical </w:t>
            </w:r>
          </w:p>
          <w:p w:rsidRPr="005F5507" w:rsidR="003600C0" w:rsidP="00CB3292" w:rsidRDefault="003600C0" w14:paraId="5AB79128"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(difficult to surmount) barriers.</w:t>
            </w:r>
          </w:p>
        </w:tc>
      </w:tr>
      <w:tr w:rsidRPr="00CB3292" w:rsidR="003600C0" w:rsidTr="003600C0" w14:paraId="1510E126" w14:textId="77777777">
        <w:tc>
          <w:tcPr>
            <w:tcW w:w="1080" w:type="dxa"/>
            <w:tcBorders>
              <w:top w:val="single" w:color="1A171C" w:sz="4" w:space="0"/>
              <w:left w:val="nil"/>
              <w:bottom w:val="single" w:color="1A171C" w:sz="4" w:space="0"/>
              <w:right w:val="single" w:color="1A171C" w:sz="4" w:space="0"/>
            </w:tcBorders>
            <w:vAlign w:val="center"/>
          </w:tcPr>
          <w:p w:rsidR="003600C0" w:rsidP="00CB3292" w:rsidRDefault="003600C0" w14:paraId="309DEC3B" w14:textId="4F3ED55E">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8F7F94">
              <w:rPr>
                <w:rFonts w:ascii="Times New Roman" w:hAnsi="Times New Roman" w:eastAsia="Cambria" w:cs="Times New Roman"/>
                <w:color w:val="000000" w:themeColor="text1"/>
                <w:spacing w:val="-2"/>
                <w:w w:val="95"/>
                <w:sz w:val="20"/>
                <w:szCs w:val="20"/>
                <w:lang w:val="en-GB"/>
              </w:rPr>
              <w:t>9</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8F7F94" w:rsidR="003600C0" w:rsidP="003600C0" w:rsidRDefault="003600C0" w14:paraId="357C6063" w14:textId="77777777">
            <w:pPr>
              <w:pStyle w:val="TableParagraph"/>
              <w:spacing w:before="108"/>
              <w:jc w:val="both"/>
              <w:rPr>
                <w:rFonts w:ascii="Times New Roman" w:hAnsi="Times New Roman" w:cs="Times New Roman"/>
                <w:b/>
                <w:bCs/>
                <w:color w:val="000000" w:themeColor="text1"/>
                <w:sz w:val="20"/>
                <w:szCs w:val="20"/>
                <w:lang w:val="en-GB"/>
              </w:rPr>
            </w:pPr>
            <w:r w:rsidRPr="008F7F94">
              <w:rPr>
                <w:rFonts w:ascii="Times New Roman" w:hAnsi="Times New Roman" w:cs="Times New Roman"/>
                <w:b/>
                <w:bCs/>
                <w:color w:val="000000" w:themeColor="text1"/>
                <w:sz w:val="20"/>
                <w:szCs w:val="20"/>
                <w:lang w:val="en-GB"/>
              </w:rPr>
              <w:t>Operational requirements to entry or expansion</w:t>
            </w:r>
          </w:p>
          <w:p w:rsidRPr="005F5507" w:rsidR="003600C0" w:rsidP="003600C0" w:rsidRDefault="003600C0" w14:paraId="7F8A7E58" w14:textId="77777777">
            <w:pPr>
              <w:pStyle w:val="TableParagraph"/>
              <w:spacing w:before="108"/>
              <w:jc w:val="both"/>
              <w:rPr>
                <w:rFonts w:ascii="Times New Roman" w:hAnsi="Times New Roman" w:cs="Times New Roman"/>
                <w:color w:val="000000" w:themeColor="text1"/>
                <w:sz w:val="20"/>
                <w:szCs w:val="20"/>
                <w:lang w:val="en-GB"/>
              </w:rPr>
            </w:pPr>
          </w:p>
          <w:p w:rsidRPr="005F5507" w:rsidR="003600C0" w:rsidP="003600C0" w:rsidRDefault="003600C0" w14:paraId="7F1DE1A3"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For lending, take into account the associated RWAs (reported in Q.17). </w:t>
            </w:r>
          </w:p>
          <w:p w:rsidRPr="005F5507" w:rsidR="003600C0" w:rsidP="003600C0" w:rsidRDefault="003600C0" w14:paraId="38662B2B"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indicator has to be reported in buckets, which are the same for each sub-function: </w:t>
            </w:r>
          </w:p>
          <w:p w:rsidRPr="005F5507" w:rsidR="003600C0" w:rsidP="00CB3292" w:rsidRDefault="003600C0" w14:paraId="4292DB53"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no  major requirements, </w:t>
            </w:r>
          </w:p>
          <w:p w:rsidRPr="005F5507" w:rsidR="003600C0" w:rsidP="00CB3292" w:rsidRDefault="003600C0" w14:paraId="16F4DCAA"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some requirements, </w:t>
            </w:r>
          </w:p>
          <w:p w:rsidRPr="005F5507" w:rsidR="003600C0" w:rsidP="00CB3292" w:rsidRDefault="003600C0" w14:paraId="4AC2339C"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substantial (but surmountable) requirements, </w:t>
            </w:r>
          </w:p>
          <w:p w:rsidRPr="005F5507" w:rsidR="003600C0" w:rsidP="00CB3292" w:rsidRDefault="003600C0" w14:paraId="1742B6F3"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 critical (difficult to surmount) requirements.</w:t>
            </w:r>
          </w:p>
          <w:p w:rsidRPr="005F5507" w:rsidR="003600C0" w:rsidP="00CB3292" w:rsidRDefault="003600C0" w14:paraId="7571427E"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DC20B3" w:rsidTr="00DC20B3" w14:paraId="1EB9EB0A" w14:textId="77777777">
        <w:tc>
          <w:tcPr>
            <w:tcW w:w="1080" w:type="dxa"/>
            <w:tcBorders>
              <w:top w:val="single" w:color="1A171C" w:sz="4" w:space="0"/>
              <w:left w:val="nil"/>
              <w:bottom w:val="single" w:color="1A171C" w:sz="4" w:space="0"/>
              <w:right w:val="single" w:color="1A171C" w:sz="4" w:space="0"/>
            </w:tcBorders>
            <w:vAlign w:val="center"/>
          </w:tcPr>
          <w:p w:rsidRPr="00DC20B3" w:rsidR="00DC20B3" w:rsidDel="005B562A" w:rsidP="00DC20B3" w:rsidRDefault="00DC20B3" w14:paraId="10DE1F5D" w14:textId="21DF2D8D">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0200 - 0220</w:t>
            </w:r>
          </w:p>
        </w:tc>
        <w:tc>
          <w:tcPr>
            <w:tcW w:w="8003" w:type="dxa"/>
            <w:tcBorders>
              <w:top w:val="single" w:color="1A171C" w:sz="4" w:space="0"/>
              <w:left w:val="single" w:color="1A171C" w:sz="4" w:space="0"/>
              <w:bottom w:val="single" w:color="1A171C" w:sz="4" w:space="0"/>
              <w:right w:val="nil"/>
            </w:tcBorders>
            <w:vAlign w:val="center"/>
          </w:tcPr>
          <w:p w:rsidRPr="00DC20B3" w:rsidR="00DC20B3" w:rsidP="00DC20B3" w:rsidRDefault="00DC20B3" w14:paraId="3465FBC4" w14:textId="77777777">
            <w:pPr>
              <w:pStyle w:val="TableParagraph"/>
              <w:spacing w:before="108"/>
              <w:rPr>
                <w:rFonts w:ascii="Times New Roman" w:hAnsi="Times New Roman" w:cs="Times New Roman"/>
                <w:b/>
                <w:bCs/>
                <w:color w:val="000000" w:themeColor="text1"/>
                <w:sz w:val="20"/>
                <w:szCs w:val="20"/>
                <w:lang w:val="en-GB"/>
              </w:rPr>
            </w:pPr>
            <w:r w:rsidRPr="00DC20B3">
              <w:rPr>
                <w:rFonts w:ascii="Times New Roman" w:hAnsi="Times New Roman" w:cs="Times New Roman"/>
                <w:b/>
                <w:bCs/>
                <w:color w:val="000000" w:themeColor="text1"/>
                <w:sz w:val="20"/>
                <w:szCs w:val="20"/>
                <w:lang w:val="en-GB"/>
              </w:rPr>
              <w:t>Onboarding capacity</w:t>
            </w:r>
          </w:p>
          <w:p w:rsidRPr="005F5507" w:rsidR="00DC20B3" w:rsidP="00DC20B3" w:rsidRDefault="00DC20B3" w14:paraId="477864E5" w14:textId="2D18D63A">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The institutions provide the timeframe for on-boarding of new customers since a new customer has applied for a bank service, namely the timeframe (in terms of working days). Institutions are requested to provide the number of applications where the institution has validated the request for a bank service.</w:t>
            </w:r>
          </w:p>
          <w:p w:rsidRPr="00CB3292" w:rsidR="00F66C61" w:rsidP="00F66C61" w:rsidRDefault="00F66C61" w14:paraId="450BA172" w14:textId="77777777">
            <w:pPr>
              <w:pStyle w:val="TableParagraph"/>
              <w:spacing w:before="108"/>
              <w:jc w:val="both"/>
              <w:rPr>
                <w:rFonts w:ascii="Times New Roman" w:hAnsi="Times New Roman" w:cs="Times New Roman"/>
                <w:color w:val="000000" w:themeColor="text1"/>
                <w:sz w:val="20"/>
                <w:szCs w:val="20"/>
                <w:lang w:val="en-GB"/>
              </w:rPr>
            </w:pPr>
          </w:p>
          <w:p w:rsidR="00F66C61" w:rsidP="00F66C61" w:rsidRDefault="00F66C61" w14:paraId="6A3D6CB3" w14:textId="1489CE70">
            <w:pPr>
              <w:pStyle w:val="TableParagraph"/>
              <w:spacing w:before="108"/>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w:t>
            </w:r>
            <w:r w:rsidRPr="00CB3292">
              <w:rPr>
                <w:rFonts w:ascii="Times New Roman" w:hAnsi="Times New Roman" w:cs="Times New Roman"/>
                <w:color w:val="000000" w:themeColor="text1"/>
                <w:sz w:val="20"/>
                <w:szCs w:val="20"/>
                <w:lang w:val="en-GB"/>
              </w:rPr>
              <w:t xml:space="preserve">he onboarding capacity </w:t>
            </w:r>
            <w:r w:rsidR="007738A6">
              <w:rPr>
                <w:rFonts w:ascii="Times New Roman" w:hAnsi="Times New Roman" w:cs="Times New Roman"/>
                <w:color w:val="000000" w:themeColor="text1"/>
                <w:sz w:val="20"/>
                <w:szCs w:val="20"/>
                <w:lang w:val="en-GB"/>
              </w:rPr>
              <w:t xml:space="preserve">for </w:t>
            </w:r>
            <w:r w:rsidRPr="007738A6" w:rsidR="007738A6">
              <w:rPr>
                <w:rFonts w:ascii="Times New Roman" w:hAnsi="Times New Roman" w:cs="Times New Roman"/>
                <w:color w:val="000000" w:themeColor="text1"/>
                <w:sz w:val="20"/>
                <w:szCs w:val="20"/>
                <w:lang w:val="en-GB"/>
              </w:rPr>
              <w:t xml:space="preserve">Payment services to MFIs, Payment services to non-MFIs and </w:t>
            </w:r>
            <w:r w:rsidR="007738A6">
              <w:rPr>
                <w:rFonts w:ascii="Times New Roman" w:hAnsi="Times New Roman" w:cs="Times New Roman"/>
                <w:color w:val="000000" w:themeColor="text1"/>
                <w:sz w:val="20"/>
                <w:szCs w:val="20"/>
                <w:lang w:val="en-GB"/>
              </w:rPr>
              <w:t>C</w:t>
            </w:r>
            <w:r w:rsidRPr="007738A6" w:rsidR="007738A6">
              <w:rPr>
                <w:rFonts w:ascii="Times New Roman" w:hAnsi="Times New Roman" w:cs="Times New Roman"/>
                <w:color w:val="000000" w:themeColor="text1"/>
                <w:sz w:val="20"/>
                <w:szCs w:val="20"/>
                <w:lang w:val="en-GB"/>
              </w:rPr>
              <w:t xml:space="preserve">ash services </w:t>
            </w:r>
            <w:r w:rsidRPr="00CB3292">
              <w:rPr>
                <w:rFonts w:ascii="Times New Roman" w:hAnsi="Times New Roman" w:cs="Times New Roman"/>
                <w:color w:val="000000" w:themeColor="text1"/>
                <w:sz w:val="20"/>
                <w:szCs w:val="20"/>
                <w:lang w:val="en-GB"/>
              </w:rPr>
              <w:t xml:space="preserve">in terms of number of new accounts </w:t>
            </w:r>
            <w:r w:rsidR="002526C2">
              <w:rPr>
                <w:rFonts w:ascii="Times New Roman" w:hAnsi="Times New Roman" w:cs="Times New Roman"/>
                <w:color w:val="000000" w:themeColor="text1"/>
                <w:sz w:val="20"/>
                <w:szCs w:val="20"/>
                <w:lang w:val="en-GB"/>
              </w:rPr>
              <w:t>is expressed over</w:t>
            </w:r>
            <w:r>
              <w:rPr>
                <w:rFonts w:ascii="Times New Roman" w:hAnsi="Times New Roman" w:cs="Times New Roman"/>
                <w:color w:val="000000" w:themeColor="text1"/>
                <w:sz w:val="20"/>
                <w:szCs w:val="20"/>
                <w:lang w:val="en-GB"/>
              </w:rPr>
              <w:t>:</w:t>
            </w:r>
          </w:p>
          <w:p w:rsidRPr="005F5507" w:rsidR="00F66C61" w:rsidP="00F66C61" w:rsidRDefault="00F66C61" w14:paraId="51800A82" w14:textId="0B1CFB0E">
            <w:pPr>
              <w:pStyle w:val="TableParagraph"/>
              <w:numPr>
                <w:ilvl w:val="0"/>
                <w:numId w:val="64"/>
              </w:numPr>
              <w:spacing w:before="108"/>
              <w:jc w:val="both"/>
              <w:rPr>
                <w:rFonts w:ascii="Times New Roman" w:hAnsi="Times New Roman" w:cs="Times New Roman"/>
                <w:b/>
                <w:bCs/>
                <w:color w:val="000000" w:themeColor="text1"/>
                <w:sz w:val="20"/>
                <w:szCs w:val="20"/>
                <w:lang w:val="en-GB"/>
              </w:rPr>
            </w:pPr>
            <w:r>
              <w:rPr>
                <w:rFonts w:ascii="Times New Roman" w:hAnsi="Times New Roman" w:cs="Times New Roman"/>
                <w:color w:val="000000" w:themeColor="text1"/>
                <w:sz w:val="20"/>
                <w:szCs w:val="20"/>
                <w:lang w:val="en-GB"/>
              </w:rPr>
              <w:t>1 working day</w:t>
            </w:r>
            <w:r w:rsidR="007738A6">
              <w:rPr>
                <w:rFonts w:ascii="Times New Roman" w:hAnsi="Times New Roman" w:cs="Times New Roman"/>
                <w:color w:val="000000" w:themeColor="text1"/>
                <w:sz w:val="20"/>
                <w:szCs w:val="20"/>
                <w:lang w:val="en-GB"/>
              </w:rPr>
              <w:t xml:space="preserve"> </w:t>
            </w:r>
          </w:p>
          <w:p w:rsidRPr="005F5507" w:rsidR="007738A6" w:rsidP="005F5507" w:rsidRDefault="007738A6" w14:paraId="71D803E0" w14:textId="7413A4A7">
            <w:pPr>
              <w:pStyle w:val="TableParagraph"/>
              <w:spacing w:before="108"/>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w:t>
            </w:r>
            <w:r w:rsidRPr="00CB3292">
              <w:rPr>
                <w:rFonts w:ascii="Times New Roman" w:hAnsi="Times New Roman" w:cs="Times New Roman"/>
                <w:color w:val="000000" w:themeColor="text1"/>
                <w:sz w:val="20"/>
                <w:szCs w:val="20"/>
                <w:lang w:val="en-GB"/>
              </w:rPr>
              <w:t xml:space="preserve">he onboarding capacity </w:t>
            </w:r>
            <w:r>
              <w:rPr>
                <w:rFonts w:ascii="Times New Roman" w:hAnsi="Times New Roman" w:cs="Times New Roman"/>
                <w:color w:val="000000" w:themeColor="text1"/>
                <w:sz w:val="20"/>
                <w:szCs w:val="20"/>
                <w:lang w:val="en-GB"/>
              </w:rPr>
              <w:t xml:space="preserve">for </w:t>
            </w:r>
            <w:r w:rsidRPr="007738A6">
              <w:rPr>
                <w:rFonts w:ascii="Times New Roman" w:hAnsi="Times New Roman" w:cs="Times New Roman"/>
                <w:color w:val="000000" w:themeColor="text1"/>
                <w:sz w:val="20"/>
                <w:szCs w:val="20"/>
                <w:lang w:val="en-GB"/>
              </w:rPr>
              <w:t xml:space="preserve">Securities Settlement services, CCP clearing services, Custody services </w:t>
            </w:r>
            <w:r w:rsidRPr="00CB3292">
              <w:rPr>
                <w:rFonts w:ascii="Times New Roman" w:hAnsi="Times New Roman" w:cs="Times New Roman"/>
                <w:color w:val="000000" w:themeColor="text1"/>
                <w:sz w:val="20"/>
                <w:szCs w:val="20"/>
                <w:lang w:val="en-GB"/>
              </w:rPr>
              <w:t xml:space="preserve">in terms of number of new accounts </w:t>
            </w:r>
            <w:r>
              <w:rPr>
                <w:rFonts w:ascii="Times New Roman" w:hAnsi="Times New Roman" w:cs="Times New Roman"/>
                <w:color w:val="000000" w:themeColor="text1"/>
                <w:sz w:val="20"/>
                <w:szCs w:val="20"/>
                <w:lang w:val="en-GB"/>
              </w:rPr>
              <w:t>is expressed over:</w:t>
            </w:r>
          </w:p>
          <w:p w:rsidRPr="00DC20B3" w:rsidR="00DC20B3" w:rsidP="005F5507" w:rsidRDefault="00F66C61" w14:paraId="0435CB03" w14:textId="7067268F">
            <w:pPr>
              <w:pStyle w:val="TableParagraph"/>
              <w:numPr>
                <w:ilvl w:val="0"/>
                <w:numId w:val="64"/>
              </w:numPr>
              <w:spacing w:before="108"/>
              <w:jc w:val="both"/>
              <w:rPr>
                <w:rFonts w:cs="Times New Roman"/>
                <w:b/>
                <w:bCs/>
                <w:lang w:val="en-GB"/>
              </w:rPr>
            </w:pPr>
            <w:r>
              <w:rPr>
                <w:rFonts w:ascii="Times New Roman" w:hAnsi="Times New Roman" w:cs="Times New Roman"/>
                <w:color w:val="000000" w:themeColor="text1"/>
                <w:sz w:val="20"/>
                <w:szCs w:val="20"/>
                <w:lang w:val="en-GB"/>
              </w:rPr>
              <w:t>7 working days</w:t>
            </w:r>
          </w:p>
        </w:tc>
      </w:tr>
      <w:tr w:rsidRPr="008E4D28" w:rsidR="008E4D28" w:rsidTr="008E4D28" w14:paraId="4E9F80B0"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CB3292" w:rsidRDefault="00FA489E" w14:paraId="0589CDDD" w14:textId="0C340191">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0230 – 0250</w:t>
            </w:r>
          </w:p>
        </w:tc>
        <w:tc>
          <w:tcPr>
            <w:tcW w:w="8003" w:type="dxa"/>
            <w:tcBorders>
              <w:top w:val="single" w:color="1A171C" w:sz="4" w:space="0"/>
              <w:left w:val="single" w:color="1A171C" w:sz="4" w:space="0"/>
              <w:bottom w:val="single" w:color="1A171C" w:sz="4" w:space="0"/>
              <w:right w:val="nil"/>
            </w:tcBorders>
            <w:vAlign w:val="center"/>
          </w:tcPr>
          <w:p w:rsidRPr="008E4D28" w:rsidR="008E4D28" w:rsidP="008E4D28" w:rsidRDefault="008E4D28" w14:paraId="12AB3F13" w14:textId="77777777">
            <w:pPr>
              <w:pStyle w:val="TableParagraph"/>
              <w:spacing w:before="108"/>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Criticality Assessment</w:t>
            </w:r>
          </w:p>
        </w:tc>
      </w:tr>
      <w:tr w:rsidRPr="008E4D28" w:rsidR="008E4D28" w:rsidTr="008E4D28" w14:paraId="1D021C66"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CB3292" w:rsidRDefault="00FA489E" w14:paraId="5818B009" w14:textId="09A51CD7">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0230</w:t>
            </w:r>
          </w:p>
        </w:tc>
        <w:tc>
          <w:tcPr>
            <w:tcW w:w="8003" w:type="dxa"/>
            <w:tcBorders>
              <w:top w:val="single" w:color="1A171C" w:sz="4" w:space="0"/>
              <w:left w:val="single" w:color="1A171C" w:sz="4" w:space="0"/>
              <w:bottom w:val="single" w:color="1A171C" w:sz="4" w:space="0"/>
              <w:right w:val="nil"/>
            </w:tcBorders>
            <w:vAlign w:val="center"/>
          </w:tcPr>
          <w:p w:rsidRPr="005F5507" w:rsidR="008E4D28" w:rsidP="008E4D28" w:rsidRDefault="008E4D28" w14:paraId="462629C7"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Impact on market </w:t>
            </w:r>
          </w:p>
          <w:p w:rsidRPr="005F5507" w:rsidR="008E4D28" w:rsidP="008E4D28" w:rsidRDefault="008E4D28" w14:paraId="411D8F55"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p>
          <w:p w:rsidRPr="005F5507" w:rsidR="008E4D28" w:rsidP="008E4D28" w:rsidRDefault="008E4D28" w14:paraId="26109A21"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This assessment shall be expressed qualitatively as ‘High (H)’, ‘Medium-High (MH)’, ‘Medium-Low (ML)’ or Low (L)’.</w:t>
            </w:r>
          </w:p>
          <w:p w:rsidRPr="005F5507" w:rsidR="008E4D28" w:rsidP="008E4D28" w:rsidRDefault="008E4D28" w14:paraId="65F5AD31"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‘H’ shall be selected if the discontinuation has a major impact on the national market; ‘MH’ if the impact is significant; ‘ML’ if the impact is material, but limited; and ‘L’ if the impact is low.</w:t>
            </w:r>
          </w:p>
        </w:tc>
      </w:tr>
      <w:tr w:rsidRPr="008E4D28" w:rsidR="008E4D28" w:rsidTr="008E4D28" w14:paraId="12BD479A"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CB3292" w:rsidRDefault="00FA489E" w14:paraId="75084899" w14:textId="77BEB1D7">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0240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59D603BA" w14:textId="77777777">
            <w:pPr>
              <w:pStyle w:val="TableParagraph"/>
              <w:spacing w:before="108"/>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Substitutability</w:t>
            </w:r>
          </w:p>
          <w:p w:rsidRPr="005F5507" w:rsidR="008E4D28" w:rsidP="008E4D28" w:rsidRDefault="008E4D28" w14:paraId="0259D103"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Article 6(3) of Delegated regulation (EU) 2016/778.</w:t>
            </w:r>
          </w:p>
          <w:p w:rsidRPr="005F5507" w:rsidR="008E4D28" w:rsidP="008E4D28" w:rsidRDefault="008E4D28" w14:paraId="4AB41CC8"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 function is considered substitutable where it can be replaced in an acceptable manner and within a reasonable timeframe thereby avoiding systemic problems for the real economy and the financial markets. The following shall be taken into account:</w:t>
            </w:r>
          </w:p>
          <w:p w:rsidRPr="005F5507" w:rsidR="008E4D28" w:rsidP="008E4D28" w:rsidRDefault="008E4D28" w14:paraId="7AC10371"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 the structure of the market for that function and the availability of substitute providers; </w:t>
            </w:r>
          </w:p>
          <w:p w:rsidRPr="005F5507" w:rsidR="008E4D28" w:rsidP="008E4D28" w:rsidRDefault="008E4D28" w14:paraId="59ADEE46"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(b) the ability of other providers in terms of capacity, the requirements for performing the function, and potential barriers to entry or expansion; </w:t>
            </w:r>
          </w:p>
          <w:p w:rsidRPr="005F5507" w:rsidR="008E4D28" w:rsidP="008E4D28" w:rsidRDefault="008E4D28" w14:paraId="009AE6C0"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(c) the incentive of other providers to take on these activities; </w:t>
            </w:r>
          </w:p>
          <w:p w:rsidRPr="005F5507" w:rsidR="008E4D28" w:rsidP="008E4D28" w:rsidRDefault="008E4D28" w14:paraId="5192F5C4"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p>
          <w:p w:rsidRPr="005F5507" w:rsidR="008E4D28" w:rsidP="008E4D28" w:rsidRDefault="008E4D28" w14:paraId="0DEB4BE1"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t>
            </w:r>
          </w:p>
          <w:p w:rsidRPr="005F5507" w:rsidR="008E4D28" w:rsidP="008E4D28" w:rsidRDefault="008E4D28" w14:paraId="16CAB65B"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‘H’ shall be selected if a function can easily be provided by another bank under comparable conditions within a reasonable timeframe;</w:t>
            </w:r>
          </w:p>
          <w:p w:rsidRPr="005F5507" w:rsidR="008E4D28" w:rsidP="008E4D28" w:rsidRDefault="008E4D28" w14:paraId="79C27CB3"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‘L’ if  a function cannot be easily or rapidly substituted; </w:t>
            </w:r>
          </w:p>
          <w:p w:rsidRPr="005F5507" w:rsidR="008E4D28" w:rsidP="008E4D28" w:rsidRDefault="008E4D28" w14:paraId="3536CF59"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‘MH’ and ‘ML’ for intermediate cases taking into account different dimensions (e.g. market share, market concentration, time to substitution, as well as legal barriers to and operational requirements for entry or expansion).</w:t>
            </w:r>
          </w:p>
        </w:tc>
      </w:tr>
      <w:tr w:rsidRPr="008E4D28" w:rsidR="008E4D28" w:rsidTr="008E4D28" w14:paraId="4FDF5F77" w14:textId="77777777">
        <w:tc>
          <w:tcPr>
            <w:tcW w:w="1080" w:type="dxa"/>
            <w:tcBorders>
              <w:top w:val="single" w:color="1A171C" w:sz="4" w:space="0"/>
              <w:left w:val="nil"/>
              <w:bottom w:val="single" w:color="1A171C" w:sz="4" w:space="0"/>
              <w:right w:val="single" w:color="1A171C" w:sz="4" w:space="0"/>
            </w:tcBorders>
            <w:vAlign w:val="center"/>
          </w:tcPr>
          <w:p w:rsidRPr="00D43D39" w:rsidR="008E4D28" w:rsidP="00CB3292" w:rsidRDefault="00FA489E" w14:paraId="02709041" w14:textId="4AB90EBE">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0250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335AAEA8" w14:textId="77777777">
            <w:pPr>
              <w:pStyle w:val="TableParagraph"/>
              <w:spacing w:before="108"/>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Critical Function</w:t>
            </w:r>
          </w:p>
          <w:p w:rsidRPr="005F5507" w:rsidR="008E4D28" w:rsidP="008E4D28" w:rsidRDefault="008E4D28" w14:paraId="38EB40D8"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In this column it shall be reported whether, taking into account the impact and substitutability analysis performed by the institution, the economic function is considered to be critical in the market for the relevant country.</w:t>
            </w:r>
          </w:p>
          <w:p w:rsidRPr="005F5507" w:rsidR="008E4D28" w:rsidP="008E4D28" w:rsidRDefault="008E4D28" w14:paraId="342378D5"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Report ‘Yes’ or ‘No’</w:t>
            </w:r>
          </w:p>
        </w:tc>
      </w:tr>
      <w:tr w:rsidRPr="008E4D28" w:rsidR="008E4D28" w:rsidTr="008E4D28" w14:paraId="7E0A2E7C" w14:textId="77777777">
        <w:tc>
          <w:tcPr>
            <w:tcW w:w="1080" w:type="dxa"/>
            <w:tcBorders>
              <w:top w:val="single" w:color="1A171C" w:sz="4" w:space="0"/>
              <w:left w:val="nil"/>
              <w:bottom w:val="single" w:color="1A171C" w:sz="4" w:space="0"/>
              <w:right w:val="single" w:color="1A171C" w:sz="4" w:space="0"/>
            </w:tcBorders>
            <w:vAlign w:val="center"/>
          </w:tcPr>
          <w:p w:rsidRPr="00D43D39" w:rsidR="008E4D28" w:rsidDel="005B562A" w:rsidP="00CB3292" w:rsidRDefault="00FA489E" w14:paraId="475E3B23" w14:textId="66BBE56D">
            <w:pPr>
              <w:pStyle w:val="TableParagraph"/>
              <w:spacing w:before="108"/>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0260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8E4D28" w:rsidRDefault="008E4D28" w14:paraId="050F7E91" w14:textId="77777777">
            <w:pPr>
              <w:pStyle w:val="TableParagraph"/>
              <w:spacing w:before="108"/>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Comments from the Group</w:t>
            </w:r>
          </w:p>
          <w:p w:rsidRPr="005F5507" w:rsidR="008E4D28" w:rsidP="008E4D28" w:rsidRDefault="008E4D28" w14:paraId="3E7733C7" w14:textId="77777777">
            <w:pPr>
              <w:pStyle w:val="TableParagraph"/>
              <w:spacing w:before="108"/>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This field enables the reporting entity to explain any assumptions used in assessing the criticality of the function(s) reported.</w:t>
            </w:r>
          </w:p>
        </w:tc>
      </w:tr>
    </w:tbl>
    <w:p w:rsidR="003600C0" w:rsidP="00CA6401" w:rsidRDefault="003600C0" w14:paraId="604987DC" w14:textId="77777777">
      <w:pPr>
        <w:pStyle w:val="Instructionsberschrift2"/>
        <w:rPr>
          <w:rFonts w:ascii="Times New Roman" w:hAnsi="Times New Roman" w:cs="Times New Roman"/>
        </w:rPr>
      </w:pPr>
    </w:p>
    <w:p w:rsidRPr="00D43D39" w:rsidR="00CA6401" w:rsidP="00CA6401" w:rsidRDefault="00231E06" w14:paraId="2D2A5B89" w14:textId="2D5EC850">
      <w:pPr>
        <w:pStyle w:val="Instructionsberschrift2"/>
        <w:rPr>
          <w:rFonts w:ascii="Times New Roman" w:hAnsi="Times New Roman" w:cs="Times New Roman"/>
        </w:rPr>
      </w:pPr>
      <w:bookmarkStart w:name="_Toc172732236" w:id="110"/>
      <w:r w:rsidRPr="00D43D39">
        <w:rPr>
          <w:rFonts w:ascii="Times New Roman" w:hAnsi="Times New Roman" w:cs="Times New Roman"/>
        </w:rPr>
        <w:t>II.13</w:t>
      </w:r>
      <w:r w:rsidRPr="00D43D39">
        <w:rPr>
          <w:rFonts w:ascii="Times New Roman" w:hAnsi="Times New Roman" w:cs="Times New Roman"/>
        </w:rPr>
        <w:tab/>
      </w:r>
      <w:r w:rsidRPr="00D43D39">
        <w:rPr>
          <w:rFonts w:ascii="Times New Roman" w:hAnsi="Times New Roman" w:cs="Times New Roman"/>
        </w:rPr>
        <w:t xml:space="preserve">7.1 FUNC 1 </w:t>
      </w:r>
      <w:r w:rsidR="0060155C">
        <w:rPr>
          <w:rFonts w:ascii="Times New Roman" w:hAnsi="Times New Roman" w:cs="Times New Roman"/>
        </w:rPr>
        <w:t>CM</w:t>
      </w:r>
      <w:bookmarkEnd w:id="110"/>
    </w:p>
    <w:p w:rsidRPr="00D43D39" w:rsidR="000D0185" w:rsidP="0056559D" w:rsidRDefault="000D0185" w14:paraId="1B2F7A7F" w14:textId="01E89B05">
      <w:pPr>
        <w:rP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080"/>
        <w:gridCol w:w="8003"/>
      </w:tblGrid>
      <w:tr w:rsidRPr="00D43D39" w:rsidR="009F69D0" w:rsidTr="005F5507" w14:paraId="4328E6F6" w14:textId="77777777">
        <w:trPr>
          <w:tblHeader/>
        </w:trPr>
        <w:tc>
          <w:tcPr>
            <w:tcW w:w="1080" w:type="dxa"/>
            <w:tcBorders>
              <w:top w:val="single" w:color="1A171C" w:sz="4" w:space="0"/>
              <w:left w:val="nil"/>
              <w:bottom w:val="single" w:color="1A171C" w:sz="4" w:space="0"/>
              <w:right w:val="single" w:color="1A171C" w:sz="4" w:space="0"/>
            </w:tcBorders>
            <w:shd w:val="clear" w:color="auto" w:fill="E4E5E5"/>
          </w:tcPr>
          <w:p w:rsidRPr="00D43D39" w:rsidR="009F69D0" w:rsidP="001E587F" w:rsidRDefault="009F69D0" w14:paraId="663BDBB5"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Columns</w:t>
            </w:r>
          </w:p>
        </w:tc>
        <w:tc>
          <w:tcPr>
            <w:tcW w:w="8003" w:type="dxa"/>
            <w:tcBorders>
              <w:top w:val="single" w:color="1A171C" w:sz="4" w:space="0"/>
              <w:left w:val="single" w:color="1A171C" w:sz="4" w:space="0"/>
              <w:bottom w:val="single" w:color="1A171C" w:sz="4" w:space="0"/>
              <w:right w:val="nil"/>
            </w:tcBorders>
            <w:shd w:val="clear" w:color="auto" w:fill="E4E5E5"/>
          </w:tcPr>
          <w:p w:rsidRPr="00D43D39" w:rsidR="009F69D0" w:rsidP="001E587F" w:rsidRDefault="009F69D0" w14:paraId="21688E54"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9F69D0" w:rsidTr="001E587F" w14:paraId="1E009C62" w14:textId="77777777">
        <w:tc>
          <w:tcPr>
            <w:tcW w:w="1080" w:type="dxa"/>
            <w:tcBorders>
              <w:top w:val="single" w:color="1A171C" w:sz="4" w:space="0"/>
              <w:left w:val="nil"/>
              <w:bottom w:val="single" w:color="1A171C" w:sz="4" w:space="0"/>
              <w:right w:val="single" w:color="1A171C" w:sz="4" w:space="0"/>
            </w:tcBorders>
            <w:vAlign w:val="center"/>
          </w:tcPr>
          <w:p w:rsidRPr="00D43D39" w:rsidR="009F69D0" w:rsidP="001E587F" w:rsidRDefault="009F69D0" w14:paraId="133138E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0010</w:t>
            </w:r>
          </w:p>
        </w:tc>
        <w:tc>
          <w:tcPr>
            <w:tcW w:w="8003" w:type="dxa"/>
            <w:tcBorders>
              <w:top w:val="single" w:color="1A171C" w:sz="4" w:space="0"/>
              <w:left w:val="single" w:color="1A171C" w:sz="4" w:space="0"/>
              <w:bottom w:val="single" w:color="1A171C" w:sz="4" w:space="0"/>
              <w:right w:val="nil"/>
            </w:tcBorders>
            <w:vAlign w:val="center"/>
          </w:tcPr>
          <w:p w:rsidRPr="00D43D39" w:rsidR="009F69D0" w:rsidP="001E587F" w:rsidRDefault="009F69D0" w14:paraId="62616922"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Description of economic function</w:t>
            </w:r>
          </w:p>
          <w:p w:rsidRPr="00D43D39" w:rsidR="009F69D0" w:rsidP="001E587F" w:rsidRDefault="009F69D0" w14:paraId="4E0B2E6B"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Where the Economic function is of the type ‘Other’ (functions 1.5 – 1.7), a description of that function shall be provided. </w:t>
            </w:r>
          </w:p>
        </w:tc>
      </w:tr>
      <w:tr w:rsidRPr="00D43D39" w:rsidR="009F69D0" w:rsidTr="001E587F" w14:paraId="22CB6E71" w14:textId="77777777">
        <w:tc>
          <w:tcPr>
            <w:tcW w:w="1080" w:type="dxa"/>
            <w:tcBorders>
              <w:top w:val="single" w:color="1A171C" w:sz="4" w:space="0"/>
              <w:left w:val="nil"/>
              <w:bottom w:val="single" w:color="1A171C" w:sz="4" w:space="0"/>
              <w:right w:val="single" w:color="1A171C" w:sz="4" w:space="0"/>
            </w:tcBorders>
            <w:vAlign w:val="center"/>
          </w:tcPr>
          <w:p w:rsidRPr="00D43D39" w:rsidR="009F69D0" w:rsidP="001E587F" w:rsidRDefault="009F69D0" w14:paraId="187C2974"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0020</w:t>
            </w:r>
          </w:p>
        </w:tc>
        <w:tc>
          <w:tcPr>
            <w:tcW w:w="8003" w:type="dxa"/>
            <w:tcBorders>
              <w:top w:val="single" w:color="1A171C" w:sz="4" w:space="0"/>
              <w:left w:val="single" w:color="1A171C" w:sz="4" w:space="0"/>
              <w:bottom w:val="single" w:color="1A171C" w:sz="4" w:space="0"/>
              <w:right w:val="nil"/>
            </w:tcBorders>
            <w:vAlign w:val="center"/>
          </w:tcPr>
          <w:p w:rsidRPr="00D43D39" w:rsidR="009F69D0" w:rsidP="001E587F" w:rsidRDefault="009F69D0" w14:paraId="6E4F166A"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Market share </w:t>
            </w:r>
          </w:p>
          <w:p w:rsidRPr="00D43D39" w:rsidR="009F69D0" w:rsidP="001E587F" w:rsidRDefault="009F69D0" w14:paraId="6B1BC117"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p>
        </w:tc>
      </w:tr>
      <w:tr w:rsidRPr="00D43D39" w:rsidR="009F69D0" w:rsidTr="001E587F" w14:paraId="798312FB" w14:textId="77777777">
        <w:tc>
          <w:tcPr>
            <w:tcW w:w="1080" w:type="dxa"/>
            <w:tcBorders>
              <w:top w:val="single" w:color="1A171C" w:sz="4" w:space="0"/>
              <w:left w:val="nil"/>
              <w:bottom w:val="single" w:color="1A171C" w:sz="4" w:space="0"/>
              <w:right w:val="single" w:color="1A171C" w:sz="4" w:space="0"/>
            </w:tcBorders>
            <w:vAlign w:val="center"/>
          </w:tcPr>
          <w:p w:rsidRPr="00D43D39" w:rsidR="009F69D0" w:rsidP="001E587F" w:rsidRDefault="009F69D0" w14:paraId="7158ABDB"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0030</w:t>
            </w:r>
          </w:p>
        </w:tc>
        <w:tc>
          <w:tcPr>
            <w:tcW w:w="8003" w:type="dxa"/>
            <w:tcBorders>
              <w:top w:val="single" w:color="1A171C" w:sz="4" w:space="0"/>
              <w:left w:val="single" w:color="1A171C" w:sz="4" w:space="0"/>
              <w:bottom w:val="single" w:color="1A171C" w:sz="4" w:space="0"/>
              <w:right w:val="nil"/>
            </w:tcBorders>
            <w:vAlign w:val="center"/>
          </w:tcPr>
          <w:p w:rsidRPr="00D43D39" w:rsidR="00EE2006" w:rsidP="001E587F" w:rsidRDefault="00EE2006" w14:paraId="3EFE6045" w14:textId="77777777">
            <w:pPr>
              <w:pStyle w:val="TableParagraph"/>
              <w:spacing w:before="108"/>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Notional amount</w:t>
            </w:r>
          </w:p>
          <w:p w:rsidRPr="00D43D39" w:rsidR="00317FCD" w:rsidP="00317FCD" w:rsidRDefault="00317FCD" w14:paraId="4CAEEB64"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gross nominal amount of all deals concluded and not yet settled at the reference date. </w:t>
            </w:r>
          </w:p>
          <w:p w:rsidRPr="00D43D39" w:rsidR="00317FCD" w:rsidP="00317FCD" w:rsidRDefault="00317FCD" w14:paraId="6D8926A1"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References: FINREP Annex V, Part 2, paragraph 133for the definition; for the data FINREP Annex III; IV and V:</w:t>
            </w:r>
          </w:p>
          <w:p w:rsidRPr="00D43D39" w:rsidR="00317FCD" w:rsidP="00317FCD" w:rsidRDefault="00317FCD" w14:paraId="419BDD62" w14:textId="0C77A0B9">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Derivatives total (4.1-4.2): Template F 10.00 column 030 row 290.</w:t>
            </w:r>
          </w:p>
          <w:p w:rsidRPr="00D43D39" w:rsidR="009F69D0" w:rsidP="00317FCD" w:rsidRDefault="00317FCD" w14:paraId="223F82A1" w14:textId="7AB4CF99">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Derivatives OTC (4.1): Template F 10.00 column 030 rows 300+310+320.</w:t>
            </w:r>
          </w:p>
        </w:tc>
      </w:tr>
      <w:tr w:rsidRPr="00D43D39" w:rsidR="009F69D0" w:rsidTr="001E587F" w14:paraId="575A3715" w14:textId="77777777">
        <w:tc>
          <w:tcPr>
            <w:tcW w:w="1080" w:type="dxa"/>
            <w:tcBorders>
              <w:top w:val="single" w:color="1A171C" w:sz="4" w:space="0"/>
              <w:left w:val="nil"/>
              <w:bottom w:val="single" w:color="1A171C" w:sz="4" w:space="0"/>
              <w:right w:val="single" w:color="1A171C" w:sz="4" w:space="0"/>
            </w:tcBorders>
            <w:vAlign w:val="center"/>
          </w:tcPr>
          <w:p w:rsidRPr="00D43D39" w:rsidR="009F69D0" w:rsidP="001E587F" w:rsidRDefault="009F69D0" w14:paraId="347C25BD"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0040</w:t>
            </w:r>
          </w:p>
        </w:tc>
        <w:tc>
          <w:tcPr>
            <w:tcW w:w="8003" w:type="dxa"/>
            <w:tcBorders>
              <w:top w:val="single" w:color="1A171C" w:sz="4" w:space="0"/>
              <w:left w:val="single" w:color="1A171C" w:sz="4" w:space="0"/>
              <w:bottom w:val="single" w:color="1A171C" w:sz="4" w:space="0"/>
              <w:right w:val="nil"/>
            </w:tcBorders>
            <w:vAlign w:val="center"/>
          </w:tcPr>
          <w:p w:rsidRPr="00D43D39" w:rsidR="002A52BA" w:rsidP="001E587F" w:rsidRDefault="002A52BA" w14:paraId="7C421267" w14:textId="77777777">
            <w:pPr>
              <w:pStyle w:val="TableParagraph"/>
              <w:spacing w:before="108"/>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Carrying amount</w:t>
            </w:r>
          </w:p>
          <w:p w:rsidRPr="00D43D39" w:rsidR="00592FE1" w:rsidP="00592FE1" w:rsidRDefault="00592FE1" w14:paraId="05799D43" w14:textId="28D73AB1">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carrying amount to be reported on the asset side of the balance sheet, including accrued interest [FINREP: Annex V Part 1, paragraph 27] for equity instruments and debt securities [FINREP: Annex V Part 1, paragraph 31], classified as ‘Held for Trading’ [FINREP: Annex V Part 1, paragraph 15, point (a) and paragraph 16, point (a)].</w:t>
            </w:r>
          </w:p>
          <w:p w:rsidRPr="00D43D39" w:rsidR="009F69D0" w:rsidP="00592FE1" w:rsidRDefault="00592FE1" w14:paraId="44E3199B" w14:textId="4AB640F3">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Reference: FINREP: Annex III Template F 04.01 column 010 rows 010+060+120.</w:t>
            </w:r>
          </w:p>
        </w:tc>
      </w:tr>
      <w:tr w:rsidRPr="00D43D39" w:rsidR="009F69D0" w:rsidTr="001E587F" w14:paraId="2A2C91C9" w14:textId="77777777">
        <w:tc>
          <w:tcPr>
            <w:tcW w:w="1080" w:type="dxa"/>
            <w:tcBorders>
              <w:top w:val="single" w:color="1A171C" w:sz="4" w:space="0"/>
              <w:left w:val="nil"/>
              <w:bottom w:val="single" w:color="1A171C" w:sz="4" w:space="0"/>
              <w:right w:val="single" w:color="1A171C" w:sz="4" w:space="0"/>
            </w:tcBorders>
            <w:vAlign w:val="center"/>
          </w:tcPr>
          <w:p w:rsidRPr="00D43D39" w:rsidR="009F69D0" w:rsidP="001E587F" w:rsidRDefault="009F69D0" w14:paraId="3B00106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0050</w:t>
            </w:r>
          </w:p>
        </w:tc>
        <w:tc>
          <w:tcPr>
            <w:tcW w:w="8003" w:type="dxa"/>
            <w:tcBorders>
              <w:top w:val="single" w:color="1A171C" w:sz="4" w:space="0"/>
              <w:left w:val="single" w:color="1A171C" w:sz="4" w:space="0"/>
              <w:bottom w:val="single" w:color="1A171C" w:sz="4" w:space="0"/>
              <w:right w:val="nil"/>
            </w:tcBorders>
            <w:vAlign w:val="center"/>
          </w:tcPr>
          <w:p w:rsidRPr="00D43D39" w:rsidR="00EE2006" w:rsidP="005F5507" w:rsidRDefault="00EE2006" w14:paraId="4B578F2B"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Fee income</w:t>
            </w:r>
          </w:p>
          <w:p w:rsidRPr="00D43D39" w:rsidR="007B70F4" w:rsidP="005F5507" w:rsidRDefault="007B70F4" w14:paraId="3FE04E22"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Fees and commissions received for involvement in the origination or issuance of securities not originated or issued by the institution.</w:t>
            </w:r>
          </w:p>
          <w:p w:rsidRPr="00D43D39" w:rsidR="009F69D0" w:rsidP="005F5507" w:rsidRDefault="007B70F4" w14:paraId="501AAB5B" w14:textId="3AB1EC4F">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Reference: FINREP: Annex III, IV Template F 22.01 column 010 rows 030+180.</w:t>
            </w:r>
          </w:p>
        </w:tc>
      </w:tr>
      <w:tr w:rsidRPr="00D43D39" w:rsidR="009F69D0" w:rsidTr="001E587F" w14:paraId="598BE890" w14:textId="77777777">
        <w:tc>
          <w:tcPr>
            <w:tcW w:w="1080" w:type="dxa"/>
            <w:tcBorders>
              <w:top w:val="single" w:color="1A171C" w:sz="4" w:space="0"/>
              <w:left w:val="nil"/>
              <w:bottom w:val="single" w:color="1A171C" w:sz="4" w:space="0"/>
              <w:right w:val="single" w:color="1A171C" w:sz="4" w:space="0"/>
            </w:tcBorders>
            <w:vAlign w:val="center"/>
          </w:tcPr>
          <w:p w:rsidRPr="00D43D39" w:rsidR="009F69D0" w:rsidP="001E587F" w:rsidRDefault="009F69D0" w14:paraId="0AE189B0" w14:textId="4BFA0FE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0060</w:t>
            </w:r>
            <w:r w:rsidRPr="00D43D39" w:rsidR="009B2B3F">
              <w:rPr>
                <w:rFonts w:ascii="Times New Roman" w:hAnsi="Times New Roman" w:eastAsia="Cambria" w:cs="Times New Roman"/>
                <w:color w:val="000000" w:themeColor="text1"/>
                <w:spacing w:val="-2"/>
                <w:w w:val="95"/>
                <w:sz w:val="20"/>
                <w:szCs w:val="20"/>
                <w:lang w:val="en-GB"/>
              </w:rPr>
              <w:t>-0080</w:t>
            </w:r>
          </w:p>
        </w:tc>
        <w:tc>
          <w:tcPr>
            <w:tcW w:w="8003" w:type="dxa"/>
            <w:tcBorders>
              <w:top w:val="single" w:color="1A171C" w:sz="4" w:space="0"/>
              <w:left w:val="single" w:color="1A171C" w:sz="4" w:space="0"/>
              <w:bottom w:val="single" w:color="1A171C" w:sz="4" w:space="0"/>
              <w:right w:val="nil"/>
            </w:tcBorders>
            <w:vAlign w:val="center"/>
          </w:tcPr>
          <w:p w:rsidRPr="00D43D39" w:rsidR="009F69D0" w:rsidP="005F5507" w:rsidRDefault="005625F7" w14:paraId="096BEB39" w14:textId="6681EE54">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w:t>
            </w:r>
            <w:r w:rsidRPr="00D43D39" w:rsidR="009F69D0">
              <w:rPr>
                <w:rFonts w:ascii="Times New Roman" w:hAnsi="Times New Roman" w:cs="Times New Roman"/>
                <w:b/>
                <w:bCs/>
                <w:color w:val="000000" w:themeColor="text1"/>
                <w:sz w:val="20"/>
                <w:szCs w:val="20"/>
                <w:lang w:val="en-GB"/>
              </w:rPr>
              <w:t>ross-border value</w:t>
            </w:r>
          </w:p>
          <w:p w:rsidRPr="005F5507" w:rsidR="00075C5D" w:rsidP="005F5507" w:rsidRDefault="005625F7" w14:paraId="6B01E258" w14:textId="489F8CF5">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Derivatives:. </w:t>
            </w:r>
          </w:p>
          <w:p w:rsidRPr="005F5507" w:rsidR="009F69D0" w:rsidP="005F5507" w:rsidRDefault="005625F7" w14:paraId="37C0DB9D" w14:textId="1378F6C4">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Secondary markets: gross carrying amount outstanding outside of the home or relevant country. Background reference: FINREP Annex III Table 20.04 column 011 rows 040+080, all countries except home or relevant country.</w:t>
            </w:r>
          </w:p>
          <w:p w:rsidRPr="005F5507" w:rsidR="00075C5D" w:rsidP="005F5507" w:rsidRDefault="00075C5D" w14:paraId="02678CA9" w14:textId="2BEF626E">
            <w:pPr>
              <w:pStyle w:val="TableParagraph"/>
              <w:spacing w:before="108"/>
              <w:jc w:val="both"/>
              <w:rPr>
                <w:rFonts w:ascii="Times New Roman" w:hAnsi="Times New Roman" w:cs="Times New Roman"/>
              </w:rPr>
            </w:pPr>
            <w:r w:rsidRPr="005F5507">
              <w:rPr>
                <w:rFonts w:ascii="Times New Roman" w:hAnsi="Times New Roman" w:cs="Times New Roman"/>
                <w:color w:val="000000" w:themeColor="text1"/>
                <w:sz w:val="20"/>
                <w:szCs w:val="20"/>
                <w:lang w:val="en-GB"/>
              </w:rPr>
              <w:t xml:space="preserve">Primary markets: </w:t>
            </w:r>
          </w:p>
        </w:tc>
      </w:tr>
      <w:tr w:rsidRPr="00D43D39" w:rsidR="009F69D0" w:rsidTr="001E587F" w14:paraId="4F0E29AA" w14:textId="77777777">
        <w:tc>
          <w:tcPr>
            <w:tcW w:w="1080" w:type="dxa"/>
            <w:tcBorders>
              <w:top w:val="single" w:color="1A171C" w:sz="4" w:space="0"/>
              <w:left w:val="nil"/>
              <w:bottom w:val="single" w:color="1A171C" w:sz="4" w:space="0"/>
              <w:right w:val="single" w:color="1A171C" w:sz="4" w:space="0"/>
            </w:tcBorders>
            <w:vAlign w:val="center"/>
          </w:tcPr>
          <w:p w:rsidRPr="00D43D39" w:rsidR="009F69D0" w:rsidP="001E587F" w:rsidRDefault="003C444F" w14:paraId="6765CCDB" w14:textId="416971A1">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0090-0100</w:t>
            </w:r>
          </w:p>
        </w:tc>
        <w:tc>
          <w:tcPr>
            <w:tcW w:w="8003" w:type="dxa"/>
            <w:tcBorders>
              <w:top w:val="single" w:color="1A171C" w:sz="4" w:space="0"/>
              <w:left w:val="single" w:color="1A171C" w:sz="4" w:space="0"/>
              <w:bottom w:val="single" w:color="1A171C" w:sz="4" w:space="0"/>
              <w:right w:val="nil"/>
            </w:tcBorders>
            <w:vAlign w:val="center"/>
          </w:tcPr>
          <w:p w:rsidRPr="00D43D39" w:rsidR="009F69D0" w:rsidP="003C444F" w:rsidRDefault="003C444F" w14:paraId="3BDD9C55"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Number of counterparties or transactions</w:t>
            </w:r>
          </w:p>
          <w:p w:rsidRPr="00D43D39" w:rsidR="003C444F" w:rsidP="005F5507" w:rsidRDefault="000968E6" w14:paraId="4770D7A8" w14:textId="47BA79CC">
            <w:pPr>
              <w:pStyle w:val="TableParagraph"/>
              <w:spacing w:before="108"/>
              <w:jc w:val="both"/>
              <w:rPr>
                <w:rFonts w:ascii="Times New Roman" w:hAnsi="Times New Roman" w:cs="Times New Roman"/>
                <w:b/>
                <w:bCs/>
                <w:color w:val="000000" w:themeColor="text1"/>
                <w:sz w:val="20"/>
                <w:szCs w:val="20"/>
                <w:lang w:val="en-GB"/>
              </w:rPr>
            </w:pPr>
            <w:r w:rsidRPr="005F5507">
              <w:rPr>
                <w:rFonts w:ascii="Times New Roman" w:hAnsi="Times New Roman" w:cs="Times New Roman"/>
                <w:color w:val="000000" w:themeColor="text1"/>
                <w:sz w:val="20"/>
                <w:szCs w:val="20"/>
                <w:lang w:val="en-GB"/>
              </w:rPr>
              <w:t>For derivatives and secondary markets total number of counterparties. For primary markets, total number of underwritten transactions.</w:t>
            </w:r>
          </w:p>
        </w:tc>
      </w:tr>
      <w:tr w:rsidRPr="00CB3292" w:rsidR="003600C0" w:rsidTr="003600C0" w14:paraId="64A2CFCC" w14:textId="77777777">
        <w:tc>
          <w:tcPr>
            <w:tcW w:w="1080" w:type="dxa"/>
            <w:tcBorders>
              <w:top w:val="single" w:color="1A171C" w:sz="4" w:space="0"/>
              <w:left w:val="nil"/>
              <w:bottom w:val="single" w:color="1A171C" w:sz="4" w:space="0"/>
              <w:right w:val="single" w:color="1A171C" w:sz="4" w:space="0"/>
            </w:tcBorders>
            <w:vAlign w:val="center"/>
          </w:tcPr>
          <w:p w:rsidR="003600C0" w:rsidP="003600C0" w:rsidRDefault="00417A0E" w14:paraId="0CF9609F" w14:textId="1A31236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0110 -0180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CB3292" w:rsidRDefault="003600C0" w14:paraId="55FC7579"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Impact and Substitutability analyses</w:t>
            </w:r>
          </w:p>
          <w:p w:rsidRPr="005F5507" w:rsidR="003600C0" w:rsidP="003600C0" w:rsidRDefault="003600C0" w14:paraId="51338842"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The assessment criteria for the impact on third parties shall include the following elements in accordance with Commission Delegated Regulation (EU) 2016/778 on critical functions:</w:t>
            </w:r>
          </w:p>
          <w:p w:rsidRPr="005F5507" w:rsidR="003600C0" w:rsidP="00CB3292" w:rsidRDefault="003600C0" w14:paraId="40FF3BFF"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nature and reach of the activity, the global, national or regional reach, volume and number of transactions; the number of customers and counterparties; the number of customers for which the institution is the only or principal banking partner.</w:t>
            </w:r>
          </w:p>
          <w:p w:rsidRPr="005F5507" w:rsidR="003600C0" w:rsidP="00CB3292" w:rsidRDefault="003600C0" w14:paraId="1AAD6E52"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p>
          <w:p w:rsidRPr="005F5507" w:rsidR="003600C0" w:rsidP="00CB3292" w:rsidRDefault="003600C0" w14:paraId="0A6DFA9D"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nature of the customers and stakeholders affected by the function, such as but not limited to retail customers, corporate customers, interbank customers, central clearing houses and public entities. </w:t>
            </w:r>
          </w:p>
          <w:p w:rsidRPr="005F5507" w:rsidR="003600C0" w:rsidP="00CB3292" w:rsidRDefault="003600C0" w14:paraId="3833FCB4"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p>
          <w:p w:rsidRPr="005F5507" w:rsidR="003600C0" w:rsidP="00CB3292" w:rsidRDefault="003600C0" w14:paraId="3D724A8D"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65075072" w14:textId="77777777">
        <w:tc>
          <w:tcPr>
            <w:tcW w:w="1080" w:type="dxa"/>
            <w:tcBorders>
              <w:top w:val="single" w:color="1A171C" w:sz="4" w:space="0"/>
              <w:left w:val="nil"/>
              <w:bottom w:val="single" w:color="1A171C" w:sz="4" w:space="0"/>
              <w:right w:val="single" w:color="1A171C" w:sz="4" w:space="0"/>
            </w:tcBorders>
            <w:vAlign w:val="center"/>
          </w:tcPr>
          <w:p w:rsidR="003600C0" w:rsidP="003600C0" w:rsidRDefault="00417A0E" w14:paraId="550AB760" w14:textId="30AB19E2">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0110 - 0130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CB3292" w:rsidRDefault="003600C0" w14:paraId="1729B7CB"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 xml:space="preserve">Nature and Reach </w:t>
            </w:r>
          </w:p>
          <w:p w:rsidRPr="005F5507" w:rsidR="003600C0" w:rsidP="00CB3292" w:rsidRDefault="003600C0" w14:paraId="367C9906"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The global, national or regional reach, volume and number of transactions; the number of customers and counterparties; the number of customers for which the institution is the only or principal banking partner.</w:t>
            </w:r>
          </w:p>
        </w:tc>
      </w:tr>
      <w:tr w:rsidRPr="00CB3292" w:rsidR="003600C0" w:rsidTr="003600C0" w14:paraId="159D6558"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64A61A6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0110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CB3292" w:rsidRDefault="003600C0" w14:paraId="534EC378"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Size Indicator 1</w:t>
            </w:r>
          </w:p>
          <w:p w:rsidRPr="005F5507" w:rsidR="003600C0" w:rsidP="003600C0" w:rsidRDefault="003600C0" w14:paraId="0FADB055" w14:textId="1FB7D11A">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Assess how important the bank is in these activities. This assessment </w:t>
            </w:r>
            <w:r w:rsidR="002526C2">
              <w:rPr>
                <w:rFonts w:ascii="Times New Roman" w:hAnsi="Times New Roman" w:cs="Times New Roman"/>
                <w:color w:val="000000" w:themeColor="text1"/>
                <w:sz w:val="20"/>
                <w:szCs w:val="20"/>
                <w:lang w:val="en-GB"/>
              </w:rPr>
              <w:t>is</w:t>
            </w:r>
            <w:r w:rsidRPr="005F5507">
              <w:rPr>
                <w:rFonts w:ascii="Times New Roman" w:hAnsi="Times New Roman" w:cs="Times New Roman"/>
                <w:color w:val="000000" w:themeColor="text1"/>
                <w:sz w:val="20"/>
                <w:szCs w:val="20"/>
                <w:lang w:val="en-GB"/>
              </w:rPr>
              <w: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p>
          <w:p w:rsidRPr="00CB3292" w:rsidR="00E33C71" w:rsidP="00E33C71" w:rsidRDefault="00E33C71" w14:paraId="0207B05B" w14:textId="77777777">
            <w:pPr>
              <w:pStyle w:val="ListParagraph"/>
              <w:numPr>
                <w:ilvl w:val="0"/>
                <w:numId w:val="126"/>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value</w:t>
            </w:r>
            <w:r w:rsidRPr="00D43D39">
              <w:rPr>
                <w:rFonts w:ascii="Times New Roman" w:hAnsi="Times New Roman" w:eastAsia="Times New Roman"/>
                <w:sz w:val="20"/>
                <w:szCs w:val="20"/>
              </w:rPr>
              <w:t xml:space="preserve"> of the notional amount outstanding (c0030 for function ID 4.1, 4.2 and 4.21-4.25); carrying amount (c0040 for ID 4.3 and 4.31-4.32); or fee income generated (c0050 for ID 4.4 and 4.1-4.2) from a </w:t>
            </w:r>
            <w:r w:rsidRPr="00D43D39">
              <w:rPr>
                <w:rFonts w:ascii="Times New Roman" w:hAnsi="Times New Roman" w:eastAsia="Times New Roman"/>
                <w:b/>
                <w:bCs/>
                <w:sz w:val="20"/>
                <w:szCs w:val="20"/>
              </w:rPr>
              <w:t>global</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one level higher than the relevant market. If the relevant market is global, then size 1 becomes redundant and does not need to be reported]</w:t>
            </w:r>
            <w:r w:rsidRPr="00D43D39">
              <w:rPr>
                <w:rFonts w:ascii="Times New Roman" w:hAnsi="Times New Roman" w:eastAsia="Times New Roman"/>
                <w:sz w:val="20"/>
                <w:szCs w:val="20"/>
              </w:rPr>
              <w:t>:</w:t>
            </w:r>
          </w:p>
          <w:p w:rsidRPr="005F5507" w:rsidR="003600C0" w:rsidP="00E33C71" w:rsidRDefault="00E33C71" w14:paraId="15526946" w14:textId="7C055538">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eastAsia="Times New Roman"/>
                <w:sz w:val="20"/>
                <w:szCs w:val="20"/>
              </w:rPr>
              <w:t>From a global perspective, how large do you believe the total notional amount outstanding or carrying amount or fee income generated are?</w:t>
            </w:r>
          </w:p>
        </w:tc>
      </w:tr>
      <w:tr w:rsidRPr="00CB3292" w:rsidR="003600C0" w:rsidTr="003600C0" w14:paraId="7914B383"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52459C5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0120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CB3292" w:rsidRDefault="003600C0" w14:paraId="538A7D81"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Size Indicator 2</w:t>
            </w:r>
          </w:p>
          <w:p w:rsidRPr="005F5507" w:rsidR="003600C0" w:rsidP="003600C0" w:rsidRDefault="003600C0" w14:paraId="02FDB2E8"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p>
          <w:p w:rsidRPr="00CB3292" w:rsidR="00E33C71" w:rsidP="00E33C71" w:rsidRDefault="00E33C71" w14:paraId="560FAD1E" w14:textId="77777777">
            <w:pPr>
              <w:pStyle w:val="ListParagraph"/>
              <w:numPr>
                <w:ilvl w:val="0"/>
                <w:numId w:val="120"/>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the number of counterparties (c0090 for function ID 4,1, 4.2, 4.21-4.25, 4.3, 4.31-4.32) or </w:t>
            </w:r>
            <w:r w:rsidRPr="00D43D39">
              <w:rPr>
                <w:rFonts w:ascii="Times New Roman" w:hAnsi="Times New Roman" w:eastAsia="Times New Roman"/>
                <w:b/>
                <w:bCs/>
                <w:sz w:val="20"/>
                <w:szCs w:val="20"/>
              </w:rPr>
              <w:t>number</w:t>
            </w:r>
            <w:r w:rsidRPr="00D43D39">
              <w:rPr>
                <w:rFonts w:ascii="Times New Roman" w:hAnsi="Times New Roman" w:eastAsia="Times New Roman"/>
                <w:sz w:val="20"/>
                <w:szCs w:val="20"/>
              </w:rPr>
              <w:t xml:space="preserve"> of underwritten transactions (c0100 for ID 4.4 and 4.41-4.42) from a </w:t>
            </w:r>
            <w:r w:rsidRPr="00D43D39">
              <w:rPr>
                <w:rFonts w:ascii="Times New Roman" w:hAnsi="Times New Roman" w:eastAsia="Times New Roman"/>
                <w:b/>
                <w:bCs/>
                <w:sz w:val="20"/>
                <w:szCs w:val="20"/>
              </w:rPr>
              <w:t>national</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at the level of the relevant market</w:t>
            </w:r>
            <w:r w:rsidRPr="00D43D39">
              <w:rPr>
                <w:rFonts w:ascii="Times New Roman" w:hAnsi="Times New Roman" w:eastAsia="Times New Roman"/>
                <w:sz w:val="20"/>
                <w:szCs w:val="20"/>
              </w:rPr>
              <w:t>]:</w:t>
            </w:r>
          </w:p>
          <w:p w:rsidRPr="00D43D39" w:rsidR="00E33C71" w:rsidP="00E33C71" w:rsidRDefault="00E33C71" w14:paraId="3271302A" w14:textId="77777777">
            <w:pPr>
              <w:pStyle w:val="ListParagraph"/>
              <w:numPr>
                <w:ilvl w:val="1"/>
                <w:numId w:val="124"/>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From a national perspective, how large </w:t>
            </w:r>
            <w:r>
              <w:rPr>
                <w:rFonts w:ascii="Times New Roman" w:hAnsi="Times New Roman" w:eastAsia="Times New Roman"/>
                <w:sz w:val="20"/>
                <w:szCs w:val="20"/>
              </w:rPr>
              <w:t>is the estimated</w:t>
            </w:r>
            <w:r w:rsidRPr="00D43D39">
              <w:rPr>
                <w:rFonts w:ascii="Times New Roman" w:hAnsi="Times New Roman" w:eastAsia="Times New Roman"/>
                <w:sz w:val="20"/>
                <w:szCs w:val="20"/>
              </w:rPr>
              <w:t xml:space="preserve"> number of counterparties</w:t>
            </w:r>
            <w:r w:rsidRPr="00D43D39">
              <w:rPr>
                <w:rFonts w:ascii="Times New Roman" w:hAnsi="Times New Roman" w:eastAsia="Times New Roman"/>
                <w:i/>
                <w:iCs/>
                <w:sz w:val="20"/>
                <w:szCs w:val="20"/>
              </w:rPr>
              <w:t xml:space="preserve"> or</w:t>
            </w:r>
            <w:r w:rsidRPr="00D43D39">
              <w:rPr>
                <w:rFonts w:ascii="Times New Roman" w:hAnsi="Times New Roman" w:eastAsia="Times New Roman"/>
                <w:sz w:val="20"/>
                <w:szCs w:val="20"/>
              </w:rPr>
              <w:t xml:space="preserve"> underwritten transactions by your institution?</w:t>
            </w:r>
          </w:p>
          <w:p w:rsidRPr="005F5507" w:rsidR="003600C0" w:rsidP="00CB3292" w:rsidRDefault="003600C0" w14:paraId="59C5171E"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3CB8D041"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2A37A2BA"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0130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CB3292" w:rsidRDefault="003600C0" w14:paraId="336A700B"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Cross border indicator</w:t>
            </w:r>
          </w:p>
          <w:p w:rsidRPr="005F5507" w:rsidR="003600C0" w:rsidP="003600C0" w:rsidRDefault="003600C0" w14:paraId="155931DC"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Assess the relative importance of cross-border activities for the different economic functions.</w:t>
            </w:r>
          </w:p>
          <w:p w:rsidRPr="005F5507" w:rsidR="003600C0" w:rsidP="003600C0" w:rsidRDefault="003600C0" w14:paraId="19DA92ED"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does not need to be assessed in case of reports in which the relevant market is considered to be regional. </w:t>
            </w:r>
          </w:p>
          <w:p w:rsidRPr="005F5507" w:rsidR="00E33C71" w:rsidP="00E33C71" w:rsidRDefault="00E33C71" w14:paraId="0BC04FF2" w14:textId="77777777">
            <w:pPr>
              <w:pStyle w:val="ListParagraph"/>
              <w:numPr>
                <w:ilvl w:val="0"/>
                <w:numId w:val="118"/>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Share of the reporting entity’s cross-jurisdictional activity as percentage of total value, expressed in notional amounts (derivatives), carrying amount (secondary markets), fee income from foreign customers (primary markets). </w:t>
            </w:r>
            <w:r>
              <w:rPr>
                <w:rFonts w:ascii="Times New Roman" w:hAnsi="Times New Roman" w:eastAsia="Times New Roman"/>
                <w:sz w:val="20"/>
                <w:szCs w:val="20"/>
              </w:rPr>
              <w:t>R</w:t>
            </w:r>
            <w:r w:rsidRPr="00D43D39">
              <w:rPr>
                <w:rFonts w:ascii="Times New Roman" w:hAnsi="Times New Roman" w:eastAsia="Times New Roman"/>
                <w:sz w:val="20"/>
                <w:szCs w:val="20"/>
              </w:rPr>
              <w:t xml:space="preserve">eport: </w:t>
            </w:r>
          </w:p>
          <w:p w:rsidRPr="005F5507" w:rsidR="00E33C71" w:rsidP="00E33C71" w:rsidRDefault="00E33C71" w14:paraId="66C96586" w14:textId="77777777">
            <w:pPr>
              <w:pStyle w:val="ListParagraph"/>
              <w:numPr>
                <w:ilvl w:val="1"/>
                <w:numId w:val="118"/>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L: &lt;5%; </w:t>
            </w:r>
          </w:p>
          <w:p w:rsidRPr="005F5507" w:rsidR="00E33C71" w:rsidP="00E33C71" w:rsidRDefault="00E33C71" w14:paraId="19C5EFDA" w14:textId="379EC318">
            <w:pPr>
              <w:pStyle w:val="ListParagraph"/>
              <w:numPr>
                <w:ilvl w:val="1"/>
                <w:numId w:val="118"/>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ML: </w:t>
            </w:r>
            <w:r>
              <w:rPr>
                <w:rFonts w:ascii="Times New Roman" w:hAnsi="Times New Roman" w:eastAsia="Times New Roman"/>
                <w:sz w:val="20"/>
                <w:szCs w:val="20"/>
              </w:rPr>
              <w:t>(</w:t>
            </w:r>
            <w:r w:rsidRPr="00D43D39">
              <w:rPr>
                <w:rFonts w:ascii="Times New Roman" w:hAnsi="Times New Roman" w:eastAsia="Times New Roman"/>
                <w:sz w:val="20"/>
                <w:szCs w:val="20"/>
              </w:rPr>
              <w:t xml:space="preserve">5-15%); </w:t>
            </w:r>
          </w:p>
          <w:p w:rsidRPr="005F5507" w:rsidR="00E33C71" w:rsidP="00E33C71" w:rsidRDefault="00E33C71" w14:paraId="1AE98FE5" w14:textId="60AF46EF">
            <w:pPr>
              <w:pStyle w:val="ListParagraph"/>
              <w:numPr>
                <w:ilvl w:val="1"/>
                <w:numId w:val="118"/>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MH: </w:t>
            </w:r>
            <w:r>
              <w:rPr>
                <w:rFonts w:ascii="Times New Roman" w:hAnsi="Times New Roman" w:eastAsia="Times New Roman"/>
                <w:sz w:val="20"/>
                <w:szCs w:val="20"/>
              </w:rPr>
              <w:t>(</w:t>
            </w:r>
            <w:r w:rsidRPr="00D43D39">
              <w:rPr>
                <w:rFonts w:ascii="Times New Roman" w:hAnsi="Times New Roman" w:eastAsia="Times New Roman"/>
                <w:sz w:val="20"/>
                <w:szCs w:val="20"/>
              </w:rPr>
              <w:t xml:space="preserve">15-25%), </w:t>
            </w:r>
          </w:p>
          <w:p w:rsidRPr="00CB3292" w:rsidR="00E33C71" w:rsidP="005F5507" w:rsidRDefault="00E33C71" w14:paraId="56C34808" w14:textId="65F59F35">
            <w:pPr>
              <w:pStyle w:val="ListParagraph"/>
              <w:numPr>
                <w:ilvl w:val="1"/>
                <w:numId w:val="118"/>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H: ≥25%. </w:t>
            </w:r>
          </w:p>
          <w:p w:rsidRPr="005F5507" w:rsidR="003600C0" w:rsidP="00CB3292" w:rsidRDefault="003600C0" w14:paraId="714344F1"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2C0B150B"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191A2D73"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0140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CB3292" w:rsidRDefault="003600C0" w14:paraId="1C4E5478"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 xml:space="preserve">Relevance – </w:t>
            </w:r>
          </w:p>
          <w:p w:rsidRPr="005F5507" w:rsidR="003600C0" w:rsidP="00CB3292" w:rsidRDefault="003600C0" w14:paraId="040B4236"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On a local, regional, national or European level, as appropriate for the market concerned. The relevance of the institution may be assessed on the basis of the market share, the interconnectedness, the complexity and cross- border activities.</w:t>
            </w:r>
          </w:p>
          <w:p w:rsidRPr="00417A0E" w:rsidR="003600C0" w:rsidP="00CB3292" w:rsidRDefault="003600C0" w14:paraId="3EF7B116"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Market Share</w:t>
            </w:r>
          </w:p>
          <w:p w:rsidRPr="005F5507" w:rsidR="003600C0" w:rsidP="003600C0" w:rsidRDefault="003600C0" w14:paraId="3F517DEC"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Assess how important the reporting entity’s market share is, compared to the national or other relevant market, as indicated in the template. This assessment is expressed qualitatively as </w:t>
            </w:r>
          </w:p>
          <w:p w:rsidRPr="005F5507" w:rsidR="003600C0" w:rsidP="00CB3292" w:rsidRDefault="003600C0" w14:paraId="345893E9"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High (H), if the market share is large</w:t>
            </w:r>
          </w:p>
          <w:p w:rsidRPr="005F5507" w:rsidR="003600C0" w:rsidP="00CB3292" w:rsidRDefault="003600C0" w14:paraId="452F2EEE"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Medium-High (MH), if the market share is medium</w:t>
            </w:r>
          </w:p>
          <w:p w:rsidRPr="005F5507" w:rsidR="003600C0" w:rsidP="00CB3292" w:rsidRDefault="003600C0" w14:paraId="3E283FC5"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Medium-Low (ML) if the market share is small or </w:t>
            </w:r>
          </w:p>
          <w:p w:rsidRPr="005F5507" w:rsidR="003600C0" w:rsidP="00CB3292" w:rsidRDefault="003600C0" w14:paraId="29234435"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Low (L)’ if the market share is negligible. </w:t>
            </w:r>
          </w:p>
          <w:p w:rsidRPr="005F5507" w:rsidR="003600C0" w:rsidP="003600C0" w:rsidRDefault="003600C0" w14:paraId="48FC5E59"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assessment takes into account the market structure of the reporting entity’s country (or other relevant market), and market shares reported in part </w:t>
            </w:r>
          </w:p>
          <w:p w:rsidRPr="005F5507" w:rsidR="003600C0" w:rsidP="003600C0" w:rsidRDefault="003600C0" w14:paraId="14BC65E9"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2.Quantitative data:</w:t>
            </w:r>
          </w:p>
          <w:p w:rsidRPr="00CB3292" w:rsidR="00E33C71" w:rsidP="00E33C71" w:rsidRDefault="00E33C71" w14:paraId="41D466FA" w14:textId="77777777">
            <w:pPr>
              <w:pStyle w:val="ListParagraph"/>
              <w:numPr>
                <w:ilvl w:val="0"/>
                <w:numId w:val="117"/>
              </w:numPr>
              <w:jc w:val="both"/>
              <w:rPr>
                <w:rFonts w:ascii="Times New Roman" w:hAnsi="Times New Roman" w:eastAsia="Times New Roman"/>
                <w:i/>
                <w:iCs/>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 xml:space="preserve">national </w:t>
            </w:r>
            <w:r w:rsidRPr="00D43D39">
              <w:rPr>
                <w:rFonts w:ascii="Times New Roman" w:hAnsi="Times New Roman" w:eastAsia="Times New Roman"/>
                <w:sz w:val="20"/>
                <w:szCs w:val="20"/>
              </w:rPr>
              <w:t>market share (reported in c0020, except in cases where the report is provided for a different relevant market level, in which case an assessment of the relevant market share is expected).</w:t>
            </w:r>
          </w:p>
          <w:p w:rsidRPr="005F5507" w:rsidR="003600C0" w:rsidP="003600C0" w:rsidRDefault="003600C0" w14:paraId="1A9E4C80" w14:textId="77777777">
            <w:pPr>
              <w:pStyle w:val="TableParagraph"/>
              <w:spacing w:before="108"/>
              <w:jc w:val="both"/>
              <w:rPr>
                <w:rFonts w:ascii="Times New Roman" w:hAnsi="Times New Roman" w:cs="Times New Roman"/>
                <w:color w:val="000000" w:themeColor="text1"/>
                <w:sz w:val="20"/>
                <w:szCs w:val="20"/>
                <w:lang w:val="en-GB"/>
              </w:rPr>
            </w:pPr>
          </w:p>
          <w:p w:rsidRPr="005F5507" w:rsidR="003600C0" w:rsidP="00CB3292" w:rsidRDefault="003600C0" w14:paraId="45E98E76"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4D8C6EF4"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4033081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0150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CB3292" w:rsidRDefault="003600C0" w14:paraId="00CAEE19"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Market Structure – Market concentration</w:t>
            </w:r>
          </w:p>
          <w:p w:rsidRPr="005F5507" w:rsidR="003600C0" w:rsidP="003600C0" w:rsidRDefault="003600C0" w14:paraId="041CD2FB"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The market concentration, measured by the number of competitors currently performing </w:t>
            </w:r>
          </w:p>
          <w:p w:rsidRPr="005F5507" w:rsidR="003600C0" w:rsidP="003600C0" w:rsidRDefault="003600C0" w14:paraId="60D6ACD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similar economic functions and/or offering similar services on equal terms (i.e. to a </w:t>
            </w:r>
          </w:p>
          <w:p w:rsidRPr="005F5507" w:rsidR="003600C0" w:rsidP="003600C0" w:rsidRDefault="003600C0" w14:paraId="26B2A324"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comparable extent and quality and at a comparable cost) that potentially take over </w:t>
            </w:r>
          </w:p>
          <w:p w:rsidRPr="005F5507" w:rsidR="003600C0" w:rsidP="003600C0" w:rsidRDefault="003600C0" w14:paraId="2E29522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(part of) the clients and/or business of the reporting entity within a reasonable timeframe. </w:t>
            </w:r>
          </w:p>
          <w:p w:rsidRPr="005F5507" w:rsidR="003600C0" w:rsidP="003600C0" w:rsidRDefault="003600C0" w14:paraId="024267BC"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has to be reported in buckets, which are the same for each sub-function </w:t>
            </w:r>
          </w:p>
          <w:p w:rsidRPr="005F5507" w:rsidR="003600C0" w:rsidP="00CB3292" w:rsidRDefault="003600C0" w14:paraId="4892538A"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≥20; </w:t>
            </w:r>
          </w:p>
          <w:p w:rsidRPr="005F5507" w:rsidR="003600C0" w:rsidP="00CB3292" w:rsidRDefault="003600C0" w14:paraId="309BB079"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(10-20); </w:t>
            </w:r>
          </w:p>
          <w:p w:rsidRPr="005F5507" w:rsidR="003600C0" w:rsidP="00CB3292" w:rsidRDefault="003600C0" w14:paraId="5FCDEC8B"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(5-10), </w:t>
            </w:r>
          </w:p>
          <w:p w:rsidRPr="005F5507" w:rsidR="003600C0" w:rsidP="00CB3292" w:rsidRDefault="003600C0" w14:paraId="79F8817C"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 &lt;5</w:t>
            </w:r>
          </w:p>
        </w:tc>
      </w:tr>
      <w:tr w:rsidRPr="00CB3292" w:rsidR="003600C0" w:rsidTr="003600C0" w14:paraId="2059F2E1"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1F8958B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0160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CB3292" w:rsidRDefault="003600C0" w14:paraId="731C2DCD"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Timing - Expected time for substitution</w:t>
            </w:r>
          </w:p>
          <w:p w:rsidRPr="005F5507" w:rsidR="003600C0" w:rsidP="003600C0" w:rsidRDefault="003600C0" w14:paraId="1B1617D2"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Estimate the time necessary for the economic function provided by the reporting</w:t>
            </w:r>
          </w:p>
          <w:p w:rsidRPr="005F5507" w:rsidR="003600C0" w:rsidP="003600C0" w:rsidRDefault="003600C0" w14:paraId="399CA0F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entity to be absorbed by the market in a crisis situation. This includes: </w:t>
            </w:r>
          </w:p>
          <w:p w:rsidRPr="005F5507" w:rsidR="003600C0" w:rsidP="00CB3292" w:rsidRDefault="003600C0" w14:paraId="48D8F19C" w14:textId="77777777">
            <w:pPr>
              <w:pStyle w:val="ListParagraph"/>
              <w:numPr>
                <w:ilvl w:val="0"/>
                <w:numId w:val="274"/>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expected time needed by one or several competitor(s) to accomplish the legal and technical steps to take over the function; as well as  </w:t>
            </w:r>
          </w:p>
          <w:p w:rsidRPr="005F5507" w:rsidR="003600C0" w:rsidP="00CB3292" w:rsidRDefault="003600C0" w14:paraId="45B9D67F" w14:textId="77777777">
            <w:pPr>
              <w:pStyle w:val="ListParagraph"/>
              <w:numPr>
                <w:ilvl w:val="0"/>
                <w:numId w:val="274"/>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time required by users of the service to move to another service provider. </w:t>
            </w:r>
          </w:p>
          <w:p w:rsidRPr="005F5507" w:rsidR="003600C0" w:rsidP="003600C0" w:rsidRDefault="003600C0" w14:paraId="0566A467" w14:textId="77777777">
            <w:pPr>
              <w:pStyle w:val="TableParagraph"/>
              <w:spacing w:before="108"/>
              <w:jc w:val="both"/>
              <w:rPr>
                <w:rFonts w:ascii="Times New Roman" w:hAnsi="Times New Roman" w:cs="Times New Roman"/>
                <w:color w:val="000000" w:themeColor="text1"/>
                <w:sz w:val="20"/>
                <w:szCs w:val="20"/>
                <w:lang w:val="en-GB"/>
              </w:rPr>
            </w:pPr>
          </w:p>
          <w:p w:rsidRPr="005F5507" w:rsidR="003600C0" w:rsidP="003600C0" w:rsidRDefault="003600C0" w14:paraId="73CE2771"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p>
          <w:p w:rsidR="00E33C71" w:rsidP="00E33C71" w:rsidRDefault="00E33C71" w14:paraId="602A21CE" w14:textId="77777777">
            <w:pPr>
              <w:jc w:val="both"/>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Buckets: </w:t>
            </w:r>
          </w:p>
          <w:p w:rsidRPr="005F5507" w:rsidR="00E33C71" w:rsidP="005F5507" w:rsidRDefault="00E33C71" w14:paraId="315C5B70" w14:textId="77777777">
            <w:pPr>
              <w:pStyle w:val="ListParagraph"/>
              <w:numPr>
                <w:ilvl w:val="0"/>
                <w:numId w:val="286"/>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L: &lt; 1 week; </w:t>
            </w:r>
          </w:p>
          <w:p w:rsidRPr="005F5507" w:rsidR="00E33C71" w:rsidP="005F5507" w:rsidRDefault="00E33C71" w14:paraId="2FAF04B5" w14:textId="77777777">
            <w:pPr>
              <w:pStyle w:val="ListParagraph"/>
              <w:numPr>
                <w:ilvl w:val="0"/>
                <w:numId w:val="286"/>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ML: [1 week-1 month]; </w:t>
            </w:r>
          </w:p>
          <w:p w:rsidRPr="005F5507" w:rsidR="00E33C71" w:rsidP="005F5507" w:rsidRDefault="00E33C71" w14:paraId="0AAC8A01" w14:textId="77777777">
            <w:pPr>
              <w:pStyle w:val="ListParagraph"/>
              <w:numPr>
                <w:ilvl w:val="0"/>
                <w:numId w:val="286"/>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MH: [1-6 months], </w:t>
            </w:r>
          </w:p>
          <w:p w:rsidRPr="005F5507" w:rsidR="00E33C71" w:rsidP="005F5507" w:rsidRDefault="00E33C71" w14:paraId="0F6A7388" w14:textId="68547229">
            <w:pPr>
              <w:pStyle w:val="ListParagraph"/>
              <w:numPr>
                <w:ilvl w:val="0"/>
                <w:numId w:val="286"/>
              </w:numPr>
              <w:jc w:val="both"/>
              <w:rPr>
                <w:rFonts w:ascii="Times New Roman" w:hAnsi="Times New Roman" w:eastAsia="Times New Roman"/>
                <w:sz w:val="20"/>
                <w:szCs w:val="20"/>
              </w:rPr>
            </w:pPr>
            <w:r w:rsidRPr="005F5507">
              <w:rPr>
                <w:rFonts w:ascii="Times New Roman" w:hAnsi="Times New Roman" w:eastAsia="Times New Roman"/>
                <w:sz w:val="20"/>
                <w:szCs w:val="20"/>
              </w:rPr>
              <w:t xml:space="preserve">H: &gt;6 months  </w:t>
            </w:r>
          </w:p>
          <w:p w:rsidRPr="005F5507" w:rsidR="003600C0" w:rsidP="003600C0" w:rsidRDefault="003600C0" w14:paraId="46CC22A5" w14:textId="77777777">
            <w:pPr>
              <w:pStyle w:val="TableParagraph"/>
              <w:spacing w:before="108"/>
              <w:jc w:val="both"/>
              <w:rPr>
                <w:rFonts w:ascii="Times New Roman" w:hAnsi="Times New Roman" w:cs="Times New Roman"/>
                <w:color w:val="000000" w:themeColor="text1"/>
                <w:sz w:val="20"/>
                <w:szCs w:val="20"/>
                <w:lang w:val="en-GB"/>
              </w:rPr>
            </w:pPr>
          </w:p>
        </w:tc>
      </w:tr>
      <w:tr w:rsidRPr="00CB3292" w:rsidR="003600C0" w:rsidTr="003600C0" w14:paraId="75D06E4B"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35C75A89"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0170 - 0180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CB3292" w:rsidRDefault="003600C0" w14:paraId="3BE90779"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Ability for substitution</w:t>
            </w:r>
          </w:p>
        </w:tc>
      </w:tr>
      <w:tr w:rsidRPr="00CB3292" w:rsidR="003600C0" w:rsidTr="003600C0" w14:paraId="1DC426C6"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58241C12"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0170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3600C0" w:rsidRDefault="003600C0" w14:paraId="7C55BCDF"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Legal barriers to entry or expansion</w:t>
            </w:r>
          </w:p>
          <w:p w:rsidRPr="005F5507" w:rsidR="003600C0" w:rsidP="003600C0" w:rsidRDefault="003600C0" w14:paraId="003BAB28" w14:textId="77777777">
            <w:pPr>
              <w:pStyle w:val="TableParagraph"/>
              <w:spacing w:before="108"/>
              <w:jc w:val="both"/>
              <w:rPr>
                <w:rFonts w:ascii="Times New Roman" w:hAnsi="Times New Roman" w:cs="Times New Roman"/>
                <w:color w:val="000000" w:themeColor="text1"/>
                <w:sz w:val="20"/>
                <w:szCs w:val="20"/>
                <w:lang w:val="en-GB"/>
              </w:rPr>
            </w:pPr>
          </w:p>
          <w:p w:rsidRPr="005F5507" w:rsidR="003600C0" w:rsidP="003600C0" w:rsidRDefault="003600C0" w14:paraId="0C21BFA1" w14:textId="70CA62E3">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Legal barriers for competitors to offer the service. Legal requirements for performing the business of credit institutions (e.g. banking licences or capital requirements) </w:t>
            </w:r>
            <w:r w:rsidR="002526C2">
              <w:rPr>
                <w:rFonts w:ascii="Times New Roman" w:hAnsi="Times New Roman" w:cs="Times New Roman"/>
                <w:color w:val="000000" w:themeColor="text1"/>
                <w:sz w:val="20"/>
                <w:szCs w:val="20"/>
                <w:lang w:val="en-GB"/>
              </w:rPr>
              <w:t>are</w:t>
            </w:r>
            <w:r w:rsidRPr="005F5507">
              <w:rPr>
                <w:rFonts w:ascii="Times New Roman" w:hAnsi="Times New Roman" w:cs="Times New Roman"/>
                <w:color w:val="000000" w:themeColor="text1"/>
                <w:sz w:val="20"/>
                <w:szCs w:val="20"/>
                <w:lang w:val="en-GB"/>
              </w:rPr>
              <w:t xml:space="preserve"> not </w:t>
            </w:r>
            <w:r w:rsidR="002526C2">
              <w:rPr>
                <w:rFonts w:ascii="Times New Roman" w:hAnsi="Times New Roman" w:cs="Times New Roman"/>
                <w:color w:val="000000" w:themeColor="text1"/>
                <w:sz w:val="20"/>
                <w:szCs w:val="20"/>
                <w:lang w:val="en-GB"/>
              </w:rPr>
              <w:t>to</w:t>
            </w:r>
            <w:r w:rsidRPr="005F5507">
              <w:rPr>
                <w:rFonts w:ascii="Times New Roman" w:hAnsi="Times New Roman" w:cs="Times New Roman"/>
                <w:color w:val="000000" w:themeColor="text1"/>
                <w:sz w:val="20"/>
                <w:szCs w:val="20"/>
                <w:lang w:val="en-GB"/>
              </w:rPr>
              <w:t xml:space="preserve"> be considered as unsurmountable barriers in the presence of alternative providers. This indicator has to be reported in buckets, which are the same for each sub-function: </w:t>
            </w:r>
          </w:p>
          <w:p w:rsidRPr="005F5507" w:rsidR="003600C0" w:rsidP="00CB3292" w:rsidRDefault="003600C0" w14:paraId="05C12968"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no major barriers, </w:t>
            </w:r>
          </w:p>
          <w:p w:rsidRPr="005F5507" w:rsidR="003600C0" w:rsidP="00CB3292" w:rsidRDefault="003600C0" w14:paraId="5E5E3930"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some barriers, </w:t>
            </w:r>
          </w:p>
          <w:p w:rsidRPr="005F5507" w:rsidR="003600C0" w:rsidP="00CB3292" w:rsidRDefault="003600C0" w14:paraId="5FC4BCC8"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substantial (but surmountable) barriers, </w:t>
            </w:r>
          </w:p>
          <w:p w:rsidRPr="005F5507" w:rsidR="003600C0" w:rsidP="00CB3292" w:rsidRDefault="003600C0" w14:paraId="198B2F82"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H: critical </w:t>
            </w:r>
          </w:p>
          <w:p w:rsidRPr="005F5507" w:rsidR="003600C0" w:rsidP="00CB3292" w:rsidRDefault="003600C0" w14:paraId="0BAA4275"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(difficult to surmount) barriers.</w:t>
            </w:r>
          </w:p>
        </w:tc>
      </w:tr>
      <w:tr w:rsidRPr="00CB3292" w:rsidR="003600C0" w:rsidTr="003600C0" w14:paraId="070AC2DD" w14:textId="77777777">
        <w:tc>
          <w:tcPr>
            <w:tcW w:w="1080" w:type="dxa"/>
            <w:tcBorders>
              <w:top w:val="single" w:color="1A171C" w:sz="4" w:space="0"/>
              <w:left w:val="nil"/>
              <w:bottom w:val="single" w:color="1A171C" w:sz="4" w:space="0"/>
              <w:right w:val="single" w:color="1A171C" w:sz="4" w:space="0"/>
            </w:tcBorders>
            <w:vAlign w:val="center"/>
          </w:tcPr>
          <w:p w:rsidR="003600C0" w:rsidP="003600C0" w:rsidRDefault="003600C0" w14:paraId="09102A1D"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0180</w:t>
            </w:r>
          </w:p>
        </w:tc>
        <w:tc>
          <w:tcPr>
            <w:tcW w:w="8003" w:type="dxa"/>
            <w:tcBorders>
              <w:top w:val="single" w:color="1A171C" w:sz="4" w:space="0"/>
              <w:left w:val="single" w:color="1A171C" w:sz="4" w:space="0"/>
              <w:bottom w:val="single" w:color="1A171C" w:sz="4" w:space="0"/>
              <w:right w:val="nil"/>
            </w:tcBorders>
            <w:vAlign w:val="center"/>
          </w:tcPr>
          <w:p w:rsidRPr="00417A0E" w:rsidR="003600C0" w:rsidP="003600C0" w:rsidRDefault="003600C0" w14:paraId="4C2C4625" w14:textId="77777777">
            <w:pPr>
              <w:pStyle w:val="TableParagraph"/>
              <w:spacing w:before="108"/>
              <w:jc w:val="both"/>
              <w:rPr>
                <w:rFonts w:ascii="Times New Roman" w:hAnsi="Times New Roman" w:cs="Times New Roman"/>
                <w:b/>
                <w:bCs/>
                <w:color w:val="000000" w:themeColor="text1"/>
                <w:sz w:val="20"/>
                <w:szCs w:val="20"/>
                <w:lang w:val="en-GB"/>
              </w:rPr>
            </w:pPr>
            <w:r w:rsidRPr="00417A0E">
              <w:rPr>
                <w:rFonts w:ascii="Times New Roman" w:hAnsi="Times New Roman" w:cs="Times New Roman"/>
                <w:b/>
                <w:bCs/>
                <w:color w:val="000000" w:themeColor="text1"/>
                <w:sz w:val="20"/>
                <w:szCs w:val="20"/>
                <w:lang w:val="en-GB"/>
              </w:rPr>
              <w:t>Operational requirements to entry or expansion</w:t>
            </w:r>
          </w:p>
          <w:p w:rsidRPr="005F5507" w:rsidR="003600C0" w:rsidP="003600C0" w:rsidRDefault="003600C0" w14:paraId="598BC857" w14:textId="77777777">
            <w:pPr>
              <w:pStyle w:val="TableParagraph"/>
              <w:spacing w:before="108"/>
              <w:jc w:val="both"/>
              <w:rPr>
                <w:rFonts w:ascii="Times New Roman" w:hAnsi="Times New Roman" w:cs="Times New Roman"/>
                <w:color w:val="000000" w:themeColor="text1"/>
                <w:sz w:val="20"/>
                <w:szCs w:val="20"/>
                <w:lang w:val="en-GB"/>
              </w:rPr>
            </w:pPr>
          </w:p>
          <w:p w:rsidRPr="005F5507" w:rsidR="003600C0" w:rsidP="003600C0" w:rsidRDefault="003600C0" w14:paraId="629195B5"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For lending, take into account the associated RWAs (reported in Q.17). </w:t>
            </w:r>
          </w:p>
          <w:p w:rsidRPr="005F5507" w:rsidR="003600C0" w:rsidP="003600C0" w:rsidRDefault="003600C0" w14:paraId="0629345F"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This indicator has to be reported in buckets, which are the same for each sub-function: </w:t>
            </w:r>
          </w:p>
          <w:p w:rsidRPr="005F5507" w:rsidR="003600C0" w:rsidP="00CB3292" w:rsidRDefault="003600C0" w14:paraId="75CADE66" w14:textId="2F0CC958">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no major requirements, </w:t>
            </w:r>
          </w:p>
          <w:p w:rsidRPr="005F5507" w:rsidR="003600C0" w:rsidP="00CB3292" w:rsidRDefault="003600C0" w14:paraId="02C2F09C"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some requirements, </w:t>
            </w:r>
          </w:p>
          <w:p w:rsidRPr="005F5507" w:rsidR="003600C0" w:rsidP="00CB3292" w:rsidRDefault="003600C0" w14:paraId="0B954666"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substantial (but surmountable) requirements, </w:t>
            </w:r>
          </w:p>
          <w:p w:rsidRPr="005F5507" w:rsidR="003600C0" w:rsidP="00CB3292" w:rsidRDefault="003600C0" w14:paraId="78BA7399"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 critical (difficult to surmount) requirements.</w:t>
            </w:r>
          </w:p>
          <w:p w:rsidRPr="005F5507" w:rsidR="003600C0" w:rsidP="00CB3292" w:rsidRDefault="003600C0" w14:paraId="23F19C6D" w14:textId="77777777">
            <w:pPr>
              <w:pStyle w:val="TableParagraph"/>
              <w:spacing w:before="108"/>
              <w:jc w:val="both"/>
              <w:rPr>
                <w:rFonts w:ascii="Times New Roman" w:hAnsi="Times New Roman" w:cs="Times New Roman"/>
                <w:color w:val="000000" w:themeColor="text1"/>
                <w:sz w:val="20"/>
                <w:szCs w:val="20"/>
                <w:lang w:val="en-GB"/>
              </w:rPr>
            </w:pPr>
          </w:p>
        </w:tc>
      </w:tr>
      <w:tr w:rsidRPr="008E4D28" w:rsidR="008E4D28" w:rsidTr="008E4D28" w14:paraId="34DD5EB2"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8E4D28" w:rsidRDefault="00FA489E" w14:paraId="67A6390A" w14:textId="23A3FA1E">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0190 - 0210</w:t>
            </w:r>
          </w:p>
        </w:tc>
        <w:tc>
          <w:tcPr>
            <w:tcW w:w="8003" w:type="dxa"/>
            <w:tcBorders>
              <w:top w:val="single" w:color="1A171C" w:sz="4" w:space="0"/>
              <w:left w:val="single" w:color="1A171C" w:sz="4" w:space="0"/>
              <w:bottom w:val="single" w:color="1A171C" w:sz="4" w:space="0"/>
              <w:right w:val="nil"/>
            </w:tcBorders>
            <w:vAlign w:val="center"/>
          </w:tcPr>
          <w:p w:rsidRPr="008E4D28" w:rsidR="008E4D28" w:rsidP="00CB3292" w:rsidRDefault="008E4D28" w14:paraId="6EE72758" w14:textId="77777777">
            <w:pPr>
              <w:pStyle w:val="TableParagraph"/>
              <w:spacing w:before="108"/>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Criticality Assessment</w:t>
            </w:r>
          </w:p>
        </w:tc>
      </w:tr>
      <w:tr w:rsidRPr="008E4D28" w:rsidR="008E4D28" w:rsidTr="008E4D28" w14:paraId="46FC7C9D"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8E4D28" w:rsidRDefault="00FA489E" w14:paraId="2B8692BB" w14:textId="360619A4">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0190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CB3292" w:rsidRDefault="008E4D28" w14:paraId="64B7CF05" w14:textId="77777777">
            <w:pPr>
              <w:pStyle w:val="TableParagraph"/>
              <w:spacing w:before="108"/>
              <w:jc w:val="both"/>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 xml:space="preserve">Impact on market </w:t>
            </w:r>
          </w:p>
          <w:p w:rsidRPr="005F5507" w:rsidR="008E4D28" w:rsidP="00CB3292" w:rsidRDefault="008E4D28" w14:paraId="7A8DF0C5"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p>
          <w:p w:rsidRPr="005F5507" w:rsidR="008E4D28" w:rsidP="00CB3292" w:rsidRDefault="008E4D28" w14:paraId="325A9C5F"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This assessment shall be expressed qualitatively as ‘High (H)’, ‘Medium-High (MH)’, ‘Medium-Low (ML)’ or Low (L)’.</w:t>
            </w:r>
          </w:p>
          <w:p w:rsidRPr="005F5507" w:rsidR="008E4D28" w:rsidP="00CB3292" w:rsidRDefault="008E4D28" w14:paraId="592DA414"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‘H’ shall be selected if the discontinuation has a major impact on the national market; ‘MH’ if the impact is significant; ‘ML’ if the impact is material, but limited; and ‘L’ if the impact is low.</w:t>
            </w:r>
          </w:p>
        </w:tc>
      </w:tr>
      <w:tr w:rsidRPr="008E4D28" w:rsidR="008E4D28" w:rsidTr="008E4D28" w14:paraId="5739C0BE" w14:textId="77777777">
        <w:tc>
          <w:tcPr>
            <w:tcW w:w="1080" w:type="dxa"/>
            <w:tcBorders>
              <w:top w:val="single" w:color="1A171C" w:sz="4" w:space="0"/>
              <w:left w:val="nil"/>
              <w:bottom w:val="single" w:color="1A171C" w:sz="4" w:space="0"/>
              <w:right w:val="single" w:color="1A171C" w:sz="4" w:space="0"/>
            </w:tcBorders>
            <w:vAlign w:val="center"/>
          </w:tcPr>
          <w:p w:rsidRPr="008E4D28" w:rsidR="008E4D28" w:rsidDel="00F3471B" w:rsidP="008E4D28" w:rsidRDefault="00FA489E" w14:paraId="5F457BB5" w14:textId="5B37952F">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0200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CB3292" w:rsidRDefault="008E4D28" w14:paraId="07A7C572" w14:textId="77777777">
            <w:pPr>
              <w:pStyle w:val="TableParagraph"/>
              <w:spacing w:before="108"/>
              <w:jc w:val="both"/>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Substitutability</w:t>
            </w:r>
          </w:p>
          <w:p w:rsidRPr="005F5507" w:rsidR="008E4D28" w:rsidP="00CB3292" w:rsidRDefault="008E4D28" w14:paraId="4A4E4F1A"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Article 6(3) of Delegated regulation (EU) 2016/778.</w:t>
            </w:r>
          </w:p>
          <w:p w:rsidRPr="005F5507" w:rsidR="008E4D28" w:rsidP="00CB3292" w:rsidRDefault="008E4D28" w14:paraId="393D6420"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A function is considered substitutable where it can be replaced in an acceptable manner and within a reasonable timeframe thereby avoiding systemic problems for the real economy and the financial markets. The following shall be taken into account:</w:t>
            </w:r>
          </w:p>
          <w:p w:rsidRPr="005F5507" w:rsidR="008E4D28" w:rsidP="00CB3292" w:rsidRDefault="008E4D28" w14:paraId="0336E4A3"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(a) the structure of the market for that function and the availability of substitute providers; </w:t>
            </w:r>
          </w:p>
          <w:p w:rsidRPr="005F5507" w:rsidR="008E4D28" w:rsidP="00CB3292" w:rsidRDefault="008E4D28" w14:paraId="6BEDFFDA"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(b) the ability of other providers in terms of capacity, the requirements for performing the function, and potential barriers to entry or expansion; </w:t>
            </w:r>
          </w:p>
          <w:p w:rsidRPr="005F5507" w:rsidR="008E4D28" w:rsidP="00CB3292" w:rsidRDefault="008E4D28" w14:paraId="247D48B5"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(c) the incentive of other providers to take on these activities; </w:t>
            </w:r>
          </w:p>
          <w:p w:rsidRPr="005F5507" w:rsidR="008E4D28" w:rsidP="00CB3292" w:rsidRDefault="008E4D28" w14:paraId="755B118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p>
          <w:p w:rsidRPr="005F5507" w:rsidR="008E4D28" w:rsidP="00CB3292" w:rsidRDefault="008E4D28" w14:paraId="41BD7191"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t>
            </w:r>
          </w:p>
          <w:p w:rsidRPr="005F5507" w:rsidR="008E4D28" w:rsidP="00CB3292" w:rsidRDefault="008E4D28" w14:paraId="1BBAA09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‘H’ shall be selected if a function can easily be provided by another bank under comparable conditions within a reasonable timeframe;</w:t>
            </w:r>
          </w:p>
          <w:p w:rsidRPr="005F5507" w:rsidR="008E4D28" w:rsidP="00CB3292" w:rsidRDefault="008E4D28" w14:paraId="61B0982D"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 xml:space="preserve">‘L’ if  a function cannot be easily or rapidly substituted; </w:t>
            </w:r>
          </w:p>
          <w:p w:rsidRPr="005F5507" w:rsidR="008E4D28" w:rsidP="00CB3292" w:rsidRDefault="008E4D28" w14:paraId="4ECADAD3"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‘MH’ and ‘ML’ for intermediate cases taking into account different dimensions (e.g. market share, market concentration, time to substitution, as well as legal barriers to and operational requirements for entry or expansion).</w:t>
            </w:r>
          </w:p>
        </w:tc>
      </w:tr>
      <w:tr w:rsidRPr="008E4D28" w:rsidR="008E4D28" w:rsidTr="008E4D28" w14:paraId="553DD2BC" w14:textId="77777777">
        <w:tc>
          <w:tcPr>
            <w:tcW w:w="1080" w:type="dxa"/>
            <w:tcBorders>
              <w:top w:val="single" w:color="1A171C" w:sz="4" w:space="0"/>
              <w:left w:val="nil"/>
              <w:bottom w:val="single" w:color="1A171C" w:sz="4" w:space="0"/>
              <w:right w:val="single" w:color="1A171C" w:sz="4" w:space="0"/>
            </w:tcBorders>
            <w:vAlign w:val="center"/>
          </w:tcPr>
          <w:p w:rsidRPr="00D43D39" w:rsidR="008E4D28" w:rsidP="008E4D28" w:rsidRDefault="00FA489E" w14:paraId="5DA42F09" w14:textId="5DB17F0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0210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CB3292" w:rsidRDefault="008E4D28" w14:paraId="7EAD4954" w14:textId="77777777">
            <w:pPr>
              <w:pStyle w:val="TableParagraph"/>
              <w:spacing w:before="108"/>
              <w:jc w:val="both"/>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Critical Function</w:t>
            </w:r>
          </w:p>
          <w:p w:rsidRPr="005F5507" w:rsidR="008E4D28" w:rsidP="00CB3292" w:rsidRDefault="008E4D28" w14:paraId="58E30C48"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In this column it shall be reported whether, taking into account the impact and substitutability analysis performed by the institution, the economic function is considered to be critical in the market for the relevant country.</w:t>
            </w:r>
          </w:p>
          <w:p w:rsidRPr="005F5507" w:rsidR="008E4D28" w:rsidP="00CB3292" w:rsidRDefault="008E4D28" w14:paraId="195B0E3C"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Report ‘Yes’ or ‘No’</w:t>
            </w:r>
          </w:p>
        </w:tc>
      </w:tr>
      <w:tr w:rsidRPr="008E4D28" w:rsidR="008E4D28" w:rsidTr="008E4D28" w14:paraId="24D1E04E" w14:textId="77777777">
        <w:tc>
          <w:tcPr>
            <w:tcW w:w="1080" w:type="dxa"/>
            <w:tcBorders>
              <w:top w:val="single" w:color="1A171C" w:sz="4" w:space="0"/>
              <w:left w:val="nil"/>
              <w:bottom w:val="single" w:color="1A171C" w:sz="4" w:space="0"/>
              <w:right w:val="single" w:color="1A171C" w:sz="4" w:space="0"/>
            </w:tcBorders>
            <w:vAlign w:val="center"/>
          </w:tcPr>
          <w:p w:rsidRPr="00D43D39" w:rsidR="008E4D28" w:rsidDel="005B562A" w:rsidP="008E4D28" w:rsidRDefault="00FA489E" w14:paraId="3FCA6651" w14:textId="0CD31973">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0220</w:t>
            </w:r>
          </w:p>
        </w:tc>
        <w:tc>
          <w:tcPr>
            <w:tcW w:w="8003" w:type="dxa"/>
            <w:tcBorders>
              <w:top w:val="single" w:color="1A171C" w:sz="4" w:space="0"/>
              <w:left w:val="single" w:color="1A171C" w:sz="4" w:space="0"/>
              <w:bottom w:val="single" w:color="1A171C" w:sz="4" w:space="0"/>
              <w:right w:val="nil"/>
            </w:tcBorders>
            <w:vAlign w:val="center"/>
          </w:tcPr>
          <w:p w:rsidRPr="00FA489E" w:rsidR="008E4D28" w:rsidP="00CB3292" w:rsidRDefault="008E4D28" w14:paraId="52C3FA1B" w14:textId="77777777">
            <w:pPr>
              <w:pStyle w:val="TableParagraph"/>
              <w:spacing w:before="108"/>
              <w:jc w:val="both"/>
              <w:rPr>
                <w:rFonts w:ascii="Times New Roman" w:hAnsi="Times New Roman" w:cs="Times New Roman"/>
                <w:b/>
                <w:bCs/>
                <w:color w:val="000000" w:themeColor="text1"/>
                <w:sz w:val="20"/>
                <w:szCs w:val="20"/>
                <w:lang w:val="en-GB"/>
              </w:rPr>
            </w:pPr>
            <w:r w:rsidRPr="00FA489E">
              <w:rPr>
                <w:rFonts w:ascii="Times New Roman" w:hAnsi="Times New Roman" w:cs="Times New Roman"/>
                <w:b/>
                <w:bCs/>
                <w:color w:val="000000" w:themeColor="text1"/>
                <w:sz w:val="20"/>
                <w:szCs w:val="20"/>
                <w:lang w:val="en-GB"/>
              </w:rPr>
              <w:t>Comments from the Group</w:t>
            </w:r>
          </w:p>
          <w:p w:rsidRPr="005F5507" w:rsidR="008E4D28" w:rsidP="00CB3292" w:rsidRDefault="008E4D28" w14:paraId="435EBEFE" w14:textId="77777777">
            <w:pPr>
              <w:pStyle w:val="TableParagraph"/>
              <w:spacing w:before="108"/>
              <w:jc w:val="both"/>
              <w:rPr>
                <w:rFonts w:ascii="Times New Roman" w:hAnsi="Times New Roman" w:cs="Times New Roman"/>
                <w:color w:val="000000" w:themeColor="text1"/>
                <w:sz w:val="20"/>
                <w:szCs w:val="20"/>
                <w:lang w:val="en-GB"/>
              </w:rPr>
            </w:pPr>
            <w:r w:rsidRPr="005F5507">
              <w:rPr>
                <w:rFonts w:ascii="Times New Roman" w:hAnsi="Times New Roman" w:cs="Times New Roman"/>
                <w:color w:val="000000" w:themeColor="text1"/>
                <w:sz w:val="20"/>
                <w:szCs w:val="20"/>
                <w:lang w:val="en-GB"/>
              </w:rPr>
              <w:t>This field enables the reporting entity to explain any assumptions used in assessing the criticality of the function(s) reported.</w:t>
            </w:r>
          </w:p>
        </w:tc>
      </w:tr>
    </w:tbl>
    <w:p w:rsidRPr="00D43D39" w:rsidR="009F69D0" w:rsidP="0056559D" w:rsidRDefault="009F69D0" w14:paraId="538FC5E3" w14:textId="77777777">
      <w:pPr>
        <w:rPr>
          <w:rFonts w:ascii="Times New Roman" w:hAnsi="Times New Roman" w:cs="Times New Roman"/>
          <w:color w:val="000000" w:themeColor="text1"/>
          <w:sz w:val="20"/>
          <w:szCs w:val="20"/>
          <w:lang w:val="en-GB"/>
        </w:rPr>
      </w:pPr>
    </w:p>
    <w:p w:rsidRPr="00D43D39" w:rsidR="009F69D0" w:rsidP="0056559D" w:rsidRDefault="009F69D0" w14:paraId="6C4E24A8" w14:textId="7530418E">
      <w:pPr>
        <w:rPr>
          <w:rFonts w:ascii="Times New Roman" w:hAnsi="Times New Roman" w:cs="Times New Roman"/>
          <w:color w:val="000000" w:themeColor="text1"/>
          <w:sz w:val="20"/>
          <w:szCs w:val="20"/>
          <w:lang w:val="en-GB"/>
        </w:rPr>
      </w:pPr>
    </w:p>
    <w:p w:rsidRPr="00D43D39" w:rsidR="000F45EA" w:rsidP="000F45EA" w:rsidRDefault="000F45EA" w14:paraId="4006B356" w14:textId="2954ED1D">
      <w:pPr>
        <w:pStyle w:val="Instructionsberschrift2"/>
        <w:rPr>
          <w:rFonts w:ascii="Times New Roman" w:hAnsi="Times New Roman" w:cs="Times New Roman"/>
        </w:rPr>
      </w:pPr>
      <w:bookmarkStart w:name="_Toc172732237" w:id="111"/>
      <w:r w:rsidRPr="00D43D39">
        <w:rPr>
          <w:rFonts w:ascii="Times New Roman" w:hAnsi="Times New Roman" w:cs="Times New Roman"/>
        </w:rPr>
        <w:t>II.13</w:t>
      </w:r>
      <w:r w:rsidRPr="00D43D39">
        <w:rPr>
          <w:rFonts w:ascii="Times New Roman" w:hAnsi="Times New Roman" w:cs="Times New Roman"/>
        </w:rPr>
        <w:tab/>
      </w:r>
      <w:r w:rsidRPr="00D43D39">
        <w:rPr>
          <w:rFonts w:ascii="Times New Roman" w:hAnsi="Times New Roman" w:cs="Times New Roman"/>
        </w:rPr>
        <w:t xml:space="preserve">7.1 FUNC 1 </w:t>
      </w:r>
      <w:r w:rsidR="0060155C">
        <w:rPr>
          <w:rFonts w:ascii="Times New Roman" w:hAnsi="Times New Roman" w:cs="Times New Roman"/>
        </w:rPr>
        <w:t>WF</w:t>
      </w:r>
      <w:bookmarkEnd w:id="111"/>
    </w:p>
    <w:p w:rsidRPr="00D43D39" w:rsidR="000F45EA" w:rsidP="0056559D" w:rsidRDefault="000F45EA" w14:paraId="574FE443" w14:textId="5FBD2924">
      <w:pPr>
        <w:rP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080"/>
        <w:gridCol w:w="8003"/>
      </w:tblGrid>
      <w:tr w:rsidRPr="00D43D39" w:rsidR="000F45EA" w:rsidTr="005F5507" w14:paraId="51AC1B83" w14:textId="77777777">
        <w:trPr>
          <w:tblHeader/>
        </w:trPr>
        <w:tc>
          <w:tcPr>
            <w:tcW w:w="1080" w:type="dxa"/>
            <w:tcBorders>
              <w:top w:val="single" w:color="1A171C" w:sz="4" w:space="0"/>
              <w:left w:val="nil"/>
              <w:bottom w:val="single" w:color="1A171C" w:sz="4" w:space="0"/>
              <w:right w:val="single" w:color="1A171C" w:sz="4" w:space="0"/>
            </w:tcBorders>
            <w:shd w:val="clear" w:color="auto" w:fill="E4E5E5"/>
          </w:tcPr>
          <w:p w:rsidRPr="00D43D39" w:rsidR="000F45EA" w:rsidP="001E587F" w:rsidRDefault="000F45EA" w14:paraId="49DF7BFE"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Columns</w:t>
            </w:r>
          </w:p>
        </w:tc>
        <w:tc>
          <w:tcPr>
            <w:tcW w:w="8003" w:type="dxa"/>
            <w:tcBorders>
              <w:top w:val="single" w:color="1A171C" w:sz="4" w:space="0"/>
              <w:left w:val="single" w:color="1A171C" w:sz="4" w:space="0"/>
              <w:bottom w:val="single" w:color="1A171C" w:sz="4" w:space="0"/>
              <w:right w:val="nil"/>
            </w:tcBorders>
            <w:shd w:val="clear" w:color="auto" w:fill="E4E5E5"/>
          </w:tcPr>
          <w:p w:rsidRPr="00D43D39" w:rsidR="000F45EA" w:rsidP="001E587F" w:rsidRDefault="000F45EA" w14:paraId="1DA4ADCC"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0F45EA" w:rsidTr="001E587F" w14:paraId="2C252308" w14:textId="77777777">
        <w:tc>
          <w:tcPr>
            <w:tcW w:w="1080" w:type="dxa"/>
            <w:tcBorders>
              <w:top w:val="single" w:color="1A171C" w:sz="4" w:space="0"/>
              <w:left w:val="nil"/>
              <w:bottom w:val="single" w:color="1A171C" w:sz="4" w:space="0"/>
              <w:right w:val="single" w:color="1A171C" w:sz="4" w:space="0"/>
            </w:tcBorders>
            <w:vAlign w:val="center"/>
          </w:tcPr>
          <w:p w:rsidRPr="00D43D39" w:rsidR="000F45EA" w:rsidP="001E587F" w:rsidRDefault="000F45EA" w14:paraId="52A85777"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0010</w:t>
            </w:r>
          </w:p>
        </w:tc>
        <w:tc>
          <w:tcPr>
            <w:tcW w:w="8003" w:type="dxa"/>
            <w:tcBorders>
              <w:top w:val="single" w:color="1A171C" w:sz="4" w:space="0"/>
              <w:left w:val="single" w:color="1A171C" w:sz="4" w:space="0"/>
              <w:bottom w:val="single" w:color="1A171C" w:sz="4" w:space="0"/>
              <w:right w:val="nil"/>
            </w:tcBorders>
            <w:vAlign w:val="center"/>
          </w:tcPr>
          <w:p w:rsidRPr="00D43D39" w:rsidR="000F45EA" w:rsidP="001E587F" w:rsidRDefault="000F45EA" w14:paraId="1F305922"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Description of economic function</w:t>
            </w:r>
          </w:p>
          <w:p w:rsidRPr="00D43D39" w:rsidR="000F45EA" w:rsidP="001E587F" w:rsidRDefault="000F45EA" w14:paraId="1CD82C38"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Where the Economic function is of the type ‘Other’ (functions 1.5 – 1.7), a description of that function shall be provided. </w:t>
            </w:r>
          </w:p>
        </w:tc>
      </w:tr>
      <w:tr w:rsidRPr="00D43D39" w:rsidR="000F45EA" w:rsidTr="001E587F" w14:paraId="6A5DC30C" w14:textId="77777777">
        <w:tc>
          <w:tcPr>
            <w:tcW w:w="1080" w:type="dxa"/>
            <w:tcBorders>
              <w:top w:val="single" w:color="1A171C" w:sz="4" w:space="0"/>
              <w:left w:val="nil"/>
              <w:bottom w:val="single" w:color="1A171C" w:sz="4" w:space="0"/>
              <w:right w:val="single" w:color="1A171C" w:sz="4" w:space="0"/>
            </w:tcBorders>
            <w:vAlign w:val="center"/>
          </w:tcPr>
          <w:p w:rsidRPr="00D43D39" w:rsidR="000F45EA" w:rsidP="001E587F" w:rsidRDefault="000F45EA" w14:paraId="27BDB6B6"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0020</w:t>
            </w:r>
          </w:p>
        </w:tc>
        <w:tc>
          <w:tcPr>
            <w:tcW w:w="8003" w:type="dxa"/>
            <w:tcBorders>
              <w:top w:val="single" w:color="1A171C" w:sz="4" w:space="0"/>
              <w:left w:val="single" w:color="1A171C" w:sz="4" w:space="0"/>
              <w:bottom w:val="single" w:color="1A171C" w:sz="4" w:space="0"/>
              <w:right w:val="nil"/>
            </w:tcBorders>
            <w:vAlign w:val="center"/>
          </w:tcPr>
          <w:p w:rsidRPr="00D43D39" w:rsidR="000F45EA" w:rsidP="001E587F" w:rsidRDefault="000F45EA" w14:paraId="34171E90"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Market share </w:t>
            </w:r>
          </w:p>
          <w:p w:rsidRPr="00D43D39" w:rsidR="000F45EA" w:rsidP="001E587F" w:rsidRDefault="000F45EA" w14:paraId="75FC47DC"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p>
        </w:tc>
      </w:tr>
      <w:tr w:rsidRPr="00D43D39" w:rsidR="000F45EA" w:rsidTr="001E587F" w14:paraId="5DF1E26A" w14:textId="77777777">
        <w:tc>
          <w:tcPr>
            <w:tcW w:w="1080" w:type="dxa"/>
            <w:tcBorders>
              <w:top w:val="single" w:color="1A171C" w:sz="4" w:space="0"/>
              <w:left w:val="nil"/>
              <w:bottom w:val="single" w:color="1A171C" w:sz="4" w:space="0"/>
              <w:right w:val="single" w:color="1A171C" w:sz="4" w:space="0"/>
            </w:tcBorders>
            <w:vAlign w:val="center"/>
          </w:tcPr>
          <w:p w:rsidRPr="00D43D39" w:rsidR="000F45EA" w:rsidP="001E587F" w:rsidRDefault="000F45EA" w14:paraId="2A109494"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0030</w:t>
            </w:r>
          </w:p>
        </w:tc>
        <w:tc>
          <w:tcPr>
            <w:tcW w:w="8003" w:type="dxa"/>
            <w:tcBorders>
              <w:top w:val="single" w:color="1A171C" w:sz="4" w:space="0"/>
              <w:left w:val="single" w:color="1A171C" w:sz="4" w:space="0"/>
              <w:bottom w:val="single" w:color="1A171C" w:sz="4" w:space="0"/>
              <w:right w:val="nil"/>
            </w:tcBorders>
            <w:vAlign w:val="center"/>
          </w:tcPr>
          <w:p w:rsidRPr="00D43D39" w:rsidR="00266240" w:rsidP="00266240" w:rsidRDefault="00266240" w14:paraId="1488ED6A" w14:textId="77777777">
            <w:pPr>
              <w:rPr>
                <w:rFonts w:ascii="Times New Roman" w:hAnsi="Times New Roman" w:cs="Times New Roman" w:eastAsiaTheme="minorHAnsi"/>
                <w:b/>
                <w:bCs/>
                <w:color w:val="000000" w:themeColor="text1"/>
                <w:sz w:val="20"/>
                <w:szCs w:val="20"/>
                <w:lang w:val="en-GB"/>
              </w:rPr>
            </w:pPr>
            <w:r w:rsidRPr="00D43D39">
              <w:rPr>
                <w:rFonts w:ascii="Times New Roman" w:hAnsi="Times New Roman" w:cs="Times New Roman" w:eastAsiaTheme="minorHAnsi"/>
                <w:b/>
                <w:bCs/>
                <w:color w:val="000000" w:themeColor="text1"/>
                <w:sz w:val="20"/>
                <w:szCs w:val="20"/>
                <w:lang w:val="en-GB"/>
              </w:rPr>
              <w:t>Gross carrying amount</w:t>
            </w:r>
          </w:p>
          <w:p w:rsidRPr="00D43D39" w:rsidR="00266240" w:rsidP="00266240" w:rsidRDefault="00266240" w14:paraId="3592ABAF"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Use gross carrying amount as defined in FINREP’. </w:t>
            </w:r>
          </w:p>
          <w:p w:rsidRPr="00D43D39" w:rsidR="00266240" w:rsidP="00266240" w:rsidRDefault="00266240" w14:paraId="56D115F0"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References: FINREP: Annex V Part 1, paragraph 34, FINREP: Annex III, IV, Templates: </w:t>
            </w:r>
          </w:p>
          <w:p w:rsidRPr="00D43D39" w:rsidR="00266240" w:rsidP="00266240" w:rsidRDefault="00266240" w14:paraId="2E438F53"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Borrowing (5.1): Template F 20.06 column 010 rows 100+110, all countries.</w:t>
            </w:r>
          </w:p>
          <w:p w:rsidRPr="00D43D39" w:rsidR="00266240" w:rsidP="00266240" w:rsidRDefault="00266240" w14:paraId="70DE35A5"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Derivatives (assets) (5.2): Template F20.04 column 010 row 010, all countries.</w:t>
            </w:r>
          </w:p>
          <w:p w:rsidRPr="00D43D39" w:rsidR="00266240" w:rsidP="00266240" w:rsidRDefault="00266240" w14:paraId="17BCFA9F"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 Lending (5.3): Template F 20.04, column 010 rows 170+180, all countries. </w:t>
            </w:r>
          </w:p>
          <w:p w:rsidRPr="00D43D39" w:rsidR="00266240" w:rsidP="00266240" w:rsidRDefault="00266240" w14:paraId="7317C2EA" w14:textId="77777777">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Derivatives (liabilities) (5.4): Template F 20.06, column 010, row 010, all countries.</w:t>
            </w:r>
          </w:p>
          <w:p w:rsidRPr="00D43D39" w:rsidR="000F45EA" w:rsidP="00266240" w:rsidRDefault="000F45EA" w14:paraId="32DCDC08" w14:textId="0012FA44">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Derivatives OTC (4.1): Template F 10.00 column 030 rows 300+310+320.</w:t>
            </w:r>
          </w:p>
        </w:tc>
      </w:tr>
      <w:tr w:rsidRPr="00D43D39" w:rsidR="000F45EA" w:rsidTr="001E587F" w14:paraId="52D39FB5" w14:textId="77777777">
        <w:tc>
          <w:tcPr>
            <w:tcW w:w="1080" w:type="dxa"/>
            <w:tcBorders>
              <w:top w:val="single" w:color="1A171C" w:sz="4" w:space="0"/>
              <w:left w:val="nil"/>
              <w:bottom w:val="single" w:color="1A171C" w:sz="4" w:space="0"/>
              <w:right w:val="single" w:color="1A171C" w:sz="4" w:space="0"/>
            </w:tcBorders>
            <w:vAlign w:val="center"/>
          </w:tcPr>
          <w:p w:rsidRPr="00D43D39" w:rsidR="000F45EA" w:rsidP="001E587F" w:rsidRDefault="000F45EA" w14:paraId="2387EF9A"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0040</w:t>
            </w:r>
          </w:p>
        </w:tc>
        <w:tc>
          <w:tcPr>
            <w:tcW w:w="8003" w:type="dxa"/>
            <w:tcBorders>
              <w:top w:val="single" w:color="1A171C" w:sz="4" w:space="0"/>
              <w:left w:val="single" w:color="1A171C" w:sz="4" w:space="0"/>
              <w:bottom w:val="single" w:color="1A171C" w:sz="4" w:space="0"/>
              <w:right w:val="nil"/>
            </w:tcBorders>
            <w:vAlign w:val="center"/>
          </w:tcPr>
          <w:p w:rsidRPr="00D43D39" w:rsidR="00266240" w:rsidP="00266240" w:rsidRDefault="00266240" w14:paraId="16E71A17" w14:textId="77777777">
            <w:pPr>
              <w:rPr>
                <w:rFonts w:ascii="Times New Roman" w:hAnsi="Times New Roman" w:cs="Times New Roman" w:eastAsiaTheme="minorHAnsi"/>
                <w:b/>
                <w:bCs/>
                <w:color w:val="000000" w:themeColor="text1"/>
                <w:sz w:val="20"/>
                <w:szCs w:val="20"/>
                <w:lang w:val="en-GB"/>
              </w:rPr>
            </w:pPr>
            <w:r w:rsidRPr="00D43D39">
              <w:rPr>
                <w:rFonts w:ascii="Times New Roman" w:hAnsi="Times New Roman" w:cs="Times New Roman" w:eastAsiaTheme="minorHAnsi"/>
                <w:b/>
                <w:bCs/>
                <w:color w:val="000000" w:themeColor="text1"/>
                <w:sz w:val="20"/>
                <w:szCs w:val="20"/>
                <w:lang w:val="en-GB"/>
              </w:rPr>
              <w:t>Number of Counterparties</w:t>
            </w:r>
          </w:p>
          <w:p w:rsidRPr="00D43D39" w:rsidR="000F45EA" w:rsidP="001E587F" w:rsidRDefault="00266240" w14:paraId="561A87AB" w14:textId="0EC924D5">
            <w:pPr>
              <w:pStyle w:val="TableParagraph"/>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Total number of counterparties. If one counterparty has more than one account and/or more than one transaction, the counterparty shall be counted only once.</w:t>
            </w:r>
          </w:p>
        </w:tc>
      </w:tr>
      <w:tr w:rsidRPr="00D43D39" w:rsidR="000F45EA" w:rsidTr="001E587F" w14:paraId="2CA20259" w14:textId="77777777">
        <w:tc>
          <w:tcPr>
            <w:tcW w:w="1080" w:type="dxa"/>
            <w:tcBorders>
              <w:top w:val="single" w:color="1A171C" w:sz="4" w:space="0"/>
              <w:left w:val="nil"/>
              <w:bottom w:val="single" w:color="1A171C" w:sz="4" w:space="0"/>
              <w:right w:val="single" w:color="1A171C" w:sz="4" w:space="0"/>
            </w:tcBorders>
            <w:vAlign w:val="center"/>
          </w:tcPr>
          <w:p w:rsidRPr="00D43D39" w:rsidR="000F45EA" w:rsidP="001E587F" w:rsidRDefault="000F45EA" w14:paraId="1BA2D4DF"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0050</w:t>
            </w:r>
          </w:p>
        </w:tc>
        <w:tc>
          <w:tcPr>
            <w:tcW w:w="8003" w:type="dxa"/>
            <w:tcBorders>
              <w:top w:val="single" w:color="1A171C" w:sz="4" w:space="0"/>
              <w:left w:val="single" w:color="1A171C" w:sz="4" w:space="0"/>
              <w:bottom w:val="single" w:color="1A171C" w:sz="4" w:space="0"/>
              <w:right w:val="nil"/>
            </w:tcBorders>
            <w:vAlign w:val="center"/>
          </w:tcPr>
          <w:p w:rsidRPr="00D43D39" w:rsidR="00BF74E8" w:rsidP="001E587F" w:rsidRDefault="00BF74E8" w14:paraId="560485EB"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(Reverse) repurchase agreements</w:t>
            </w:r>
          </w:p>
          <w:p w:rsidRPr="00D43D39" w:rsidR="00BF74E8" w:rsidP="00BF74E8" w:rsidRDefault="00BF74E8" w14:paraId="17B44F8F" w14:textId="3E721A5B">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Report repurchase agreements under wholesale borrowing. Repurchase</w:t>
            </w:r>
          </w:p>
          <w:p w:rsidRPr="00D43D39" w:rsidR="00BF74E8" w:rsidP="00BF74E8" w:rsidRDefault="00BF74E8" w14:paraId="7B5CE761"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agreements mean cash received in exchange for securities sold at a given price under a</w:t>
            </w:r>
          </w:p>
          <w:p w:rsidRPr="00D43D39" w:rsidR="00BF74E8" w:rsidP="00BF74E8" w:rsidRDefault="00BF74E8" w14:paraId="36256A8D"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firm commitment to repurchase the same (or similar) securities at a fixed price on a</w:t>
            </w:r>
          </w:p>
          <w:p w:rsidRPr="00D43D39" w:rsidR="00BF74E8" w:rsidP="00BF74E8" w:rsidRDefault="00BF74E8" w14:paraId="14A34D4E"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specified future date. </w:t>
            </w:r>
          </w:p>
          <w:p w:rsidRPr="00D43D39" w:rsidR="00BF74E8" w:rsidP="00BF74E8" w:rsidRDefault="00BF74E8" w14:paraId="3937ACE6" w14:textId="7A19E14E">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Report reverse repurchase loans under wholesale lending. Reverse repurchase loans mean finance granted in exchange for securities bought</w:t>
            </w:r>
          </w:p>
          <w:p w:rsidRPr="00D43D39" w:rsidR="000F45EA" w:rsidP="00BF74E8" w:rsidRDefault="00BF74E8" w14:paraId="68516B90"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under repurchase agreements or borrowed under securities lending agreements.</w:t>
            </w:r>
          </w:p>
          <w:p w:rsidRPr="00D43D39" w:rsidR="00BF74E8" w:rsidP="00BF74E8" w:rsidRDefault="00BF74E8" w14:paraId="58ACBC6D"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Background references: Regulation (2015/2365) on transparency of securities financing</w:t>
            </w:r>
          </w:p>
          <w:p w:rsidRPr="00D43D39" w:rsidR="00BF74E8" w:rsidP="00BF74E8" w:rsidRDefault="00BF74E8" w14:paraId="75C585D9"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transactions and of reuse Art. 3(9); FINREP: Annex V. Part 2. Chapter 5, paragraph 85(e)</w:t>
            </w:r>
          </w:p>
          <w:p w:rsidRPr="00D43D39" w:rsidR="00BF74E8" w:rsidP="00BF74E8" w:rsidRDefault="00BF74E8" w14:paraId="35ACD762"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and chapter 14, paragraph 183; FINREP Annex III:</w:t>
            </w:r>
          </w:p>
          <w:p w:rsidRPr="00D43D39" w:rsidR="00BF74E8" w:rsidP="005F5507" w:rsidRDefault="00BF74E8" w14:paraId="42CFA6B0" w14:textId="6551CD26">
            <w:pPr>
              <w:pStyle w:val="TableParagraph"/>
              <w:numPr>
                <w:ilvl w:val="0"/>
                <w:numId w:val="153"/>
              </w:numPr>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Repurchase agreements: Table 08.01 columns 010+020+030 rows 200+250.</w:t>
            </w:r>
          </w:p>
          <w:p w:rsidRPr="00D43D39" w:rsidR="00BF74E8" w:rsidP="005F5507" w:rsidRDefault="00BF74E8" w14:paraId="418F2C44" w14:textId="4AA0DA4B">
            <w:pPr>
              <w:pStyle w:val="TableParagraph"/>
              <w:numPr>
                <w:ilvl w:val="0"/>
                <w:numId w:val="153"/>
              </w:numPr>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Reverse repurchase agreements: Table 05.00 columns 030+040 row 050.</w:t>
            </w:r>
          </w:p>
        </w:tc>
      </w:tr>
      <w:tr w:rsidRPr="00D43D39" w:rsidR="000F45EA" w:rsidTr="001E587F" w14:paraId="6AA6731D" w14:textId="77777777">
        <w:tc>
          <w:tcPr>
            <w:tcW w:w="1080" w:type="dxa"/>
            <w:tcBorders>
              <w:top w:val="single" w:color="1A171C" w:sz="4" w:space="0"/>
              <w:left w:val="nil"/>
              <w:bottom w:val="single" w:color="1A171C" w:sz="4" w:space="0"/>
              <w:right w:val="single" w:color="1A171C" w:sz="4" w:space="0"/>
            </w:tcBorders>
            <w:vAlign w:val="center"/>
          </w:tcPr>
          <w:p w:rsidRPr="00D43D39" w:rsidR="000F45EA" w:rsidP="001E587F" w:rsidRDefault="000F45EA" w14:paraId="5E40DB69" w14:textId="77777777">
            <w:pPr>
              <w:pStyle w:val="TableParagraph"/>
              <w:spacing w:before="108"/>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0060-0080</w:t>
            </w:r>
          </w:p>
        </w:tc>
        <w:tc>
          <w:tcPr>
            <w:tcW w:w="8003" w:type="dxa"/>
            <w:tcBorders>
              <w:top w:val="single" w:color="1A171C" w:sz="4" w:space="0"/>
              <w:left w:val="single" w:color="1A171C" w:sz="4" w:space="0"/>
              <w:bottom w:val="single" w:color="1A171C" w:sz="4" w:space="0"/>
              <w:right w:val="nil"/>
            </w:tcBorders>
            <w:vAlign w:val="center"/>
          </w:tcPr>
          <w:p w:rsidRPr="00D43D39" w:rsidR="000F45EA" w:rsidP="001E587F" w:rsidRDefault="000F45EA" w14:paraId="792E2521" w14:textId="77777777">
            <w:pPr>
              <w:pStyle w:val="TableParagraph"/>
              <w:spacing w:before="108"/>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Cross-border value</w:t>
            </w:r>
          </w:p>
          <w:p w:rsidRPr="005F5507" w:rsidR="000F45EA" w:rsidP="001E587F" w:rsidRDefault="003B2B8B" w14:paraId="13457501" w14:textId="6C07B192">
            <w:pPr>
              <w:pStyle w:val="TableParagraph"/>
              <w:spacing w:before="108"/>
              <w:jc w:val="both"/>
              <w:rPr>
                <w:rFonts w:ascii="Times New Roman" w:hAnsi="Times New Roman" w:cs="Times New Roman"/>
              </w:rPr>
            </w:pPr>
            <w:r w:rsidRPr="00D43D39">
              <w:rPr>
                <w:rFonts w:ascii="Times New Roman" w:hAnsi="Times New Roman" w:cs="Times New Roman"/>
                <w:color w:val="000000" w:themeColor="text1"/>
                <w:sz w:val="20"/>
                <w:szCs w:val="20"/>
                <w:lang w:val="en-GB"/>
              </w:rPr>
              <w:t>Add the gross carrying amounts of all countries, except for the home or relevant country.</w:t>
            </w:r>
          </w:p>
        </w:tc>
      </w:tr>
      <w:tr w:rsidRPr="00D43D39" w:rsidR="000F45EA" w:rsidTr="001E587F" w14:paraId="72A18CC7" w14:textId="77777777">
        <w:tc>
          <w:tcPr>
            <w:tcW w:w="1080" w:type="dxa"/>
            <w:tcBorders>
              <w:top w:val="single" w:color="1A171C" w:sz="4" w:space="0"/>
              <w:left w:val="nil"/>
              <w:bottom w:val="single" w:color="1A171C" w:sz="4" w:space="0"/>
              <w:right w:val="single" w:color="1A171C" w:sz="4" w:space="0"/>
            </w:tcBorders>
            <w:vAlign w:val="center"/>
          </w:tcPr>
          <w:p w:rsidRPr="00D43D39" w:rsidR="000F45EA" w:rsidP="001E587F" w:rsidRDefault="003B2B8B" w14:paraId="0E9B11E1" w14:textId="37AC1A41">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0070</w:t>
            </w:r>
          </w:p>
        </w:tc>
        <w:tc>
          <w:tcPr>
            <w:tcW w:w="8003" w:type="dxa"/>
            <w:tcBorders>
              <w:top w:val="single" w:color="1A171C" w:sz="4" w:space="0"/>
              <w:left w:val="single" w:color="1A171C" w:sz="4" w:space="0"/>
              <w:bottom w:val="single" w:color="1A171C" w:sz="4" w:space="0"/>
              <w:right w:val="nil"/>
            </w:tcBorders>
            <w:vAlign w:val="center"/>
          </w:tcPr>
          <w:p w:rsidRPr="00D43D39" w:rsidR="003B2B8B" w:rsidP="003B2B8B" w:rsidRDefault="003B2B8B" w14:paraId="236F86A3" w14:textId="77777777">
            <w:pPr>
              <w:rPr>
                <w:rFonts w:ascii="Times New Roman" w:hAnsi="Times New Roman" w:cs="Times New Roman" w:eastAsiaTheme="minorHAnsi"/>
                <w:b/>
                <w:bCs/>
                <w:color w:val="000000" w:themeColor="text1"/>
                <w:sz w:val="20"/>
                <w:szCs w:val="20"/>
                <w:lang w:val="en-GB"/>
              </w:rPr>
            </w:pPr>
            <w:r w:rsidRPr="00D43D39">
              <w:rPr>
                <w:rFonts w:ascii="Times New Roman" w:hAnsi="Times New Roman" w:cs="Times New Roman" w:eastAsiaTheme="minorHAnsi"/>
                <w:b/>
                <w:bCs/>
                <w:color w:val="000000" w:themeColor="text1"/>
                <w:sz w:val="20"/>
                <w:szCs w:val="20"/>
                <w:lang w:val="en-GB"/>
              </w:rPr>
              <w:t>Value at Credit Institutions</w:t>
            </w:r>
          </w:p>
          <w:p w:rsidRPr="00D43D39" w:rsidR="003B2B8B" w:rsidP="003B2B8B" w:rsidRDefault="003B2B8B" w14:paraId="2F4DA815"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Gross carrying amount outstanding at credit institutions. Sector definition according to</w:t>
            </w:r>
          </w:p>
          <w:p w:rsidRPr="00D43D39" w:rsidR="003B2B8B" w:rsidP="003B2B8B" w:rsidRDefault="003B2B8B" w14:paraId="2030FF1F" w14:textId="223F7CBA">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FINREP (Annex V). </w:t>
            </w:r>
          </w:p>
          <w:p w:rsidRPr="00D43D39" w:rsidR="003B2B8B" w:rsidP="003B2B8B" w:rsidRDefault="003B2B8B" w14:paraId="12B815E4" w14:textId="77777777">
            <w:pPr>
              <w:pStyle w:val="TableParagraph"/>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Background references: FINREP: Annex III:</w:t>
            </w:r>
          </w:p>
          <w:p w:rsidRPr="00D43D39" w:rsidR="003B2B8B" w:rsidP="005F5507" w:rsidRDefault="003B2B8B" w14:paraId="3B2C8633" w14:textId="23E901E1">
            <w:pPr>
              <w:pStyle w:val="TableParagraph"/>
              <w:numPr>
                <w:ilvl w:val="0"/>
                <w:numId w:val="153"/>
              </w:numPr>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Borrowing: Table 20.06, column 010, row 100, all countries.</w:t>
            </w:r>
          </w:p>
          <w:p w:rsidRPr="00D43D39" w:rsidR="003B2B8B" w:rsidP="005F5507" w:rsidRDefault="003B2B8B" w14:paraId="3625191C" w14:textId="22CB3C6C">
            <w:pPr>
              <w:pStyle w:val="TableParagraph"/>
              <w:numPr>
                <w:ilvl w:val="0"/>
                <w:numId w:val="153"/>
              </w:numPr>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Derivatives (assets): Table 20.04, column 010, row 020, all countries.</w:t>
            </w:r>
          </w:p>
          <w:p w:rsidRPr="00D43D39" w:rsidR="003B2B8B" w:rsidP="003B2B8B" w:rsidRDefault="003B2B8B" w14:paraId="402A0968" w14:textId="32DC9748">
            <w:pPr>
              <w:pStyle w:val="TableParagraph"/>
              <w:numPr>
                <w:ilvl w:val="0"/>
                <w:numId w:val="153"/>
              </w:numPr>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Lending: Table 20.04, column 010, row 170, all countries.</w:t>
            </w:r>
          </w:p>
          <w:p w:rsidRPr="005F5507" w:rsidR="000F45EA" w:rsidP="005F5507" w:rsidRDefault="003B2B8B" w14:paraId="022F7B80" w14:textId="101BDB82">
            <w:pPr>
              <w:pStyle w:val="TableParagraph"/>
              <w:numPr>
                <w:ilvl w:val="0"/>
                <w:numId w:val="153"/>
              </w:numPr>
              <w:spacing w:before="108"/>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Derivatives liabilities: Table 20.06, column 010, row 020, all countries.</w:t>
            </w:r>
          </w:p>
        </w:tc>
      </w:tr>
      <w:tr w:rsidRPr="00CB3292" w:rsidR="003600C0" w:rsidTr="003600C0" w14:paraId="2F1891C3" w14:textId="77777777">
        <w:tc>
          <w:tcPr>
            <w:tcW w:w="1080" w:type="dxa"/>
            <w:tcBorders>
              <w:top w:val="single" w:color="1A171C" w:sz="4" w:space="0"/>
              <w:left w:val="nil"/>
              <w:bottom w:val="single" w:color="1A171C" w:sz="4" w:space="0"/>
              <w:right w:val="single" w:color="1A171C" w:sz="4" w:space="0"/>
            </w:tcBorders>
            <w:vAlign w:val="center"/>
          </w:tcPr>
          <w:p w:rsidR="003600C0" w:rsidP="003600C0" w:rsidRDefault="00E33C71" w14:paraId="7FB4DBAC" w14:textId="4BEC13A6">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0080 - 0150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585C4247"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Impact and Substitutability analyses</w:t>
            </w:r>
          </w:p>
          <w:p w:rsidRPr="005F5507" w:rsidR="003600C0" w:rsidP="003600C0" w:rsidRDefault="003600C0" w14:paraId="6667941A"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The assessment criteria for the impact on third parties shall include the following elements in accordance with Commission Delegated Regulation (EU) 2016/778 on critical functions:</w:t>
            </w:r>
          </w:p>
          <w:p w:rsidRPr="005F5507" w:rsidR="003600C0" w:rsidP="00CB3292" w:rsidRDefault="003600C0" w14:paraId="2EA9A262"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nature and reach of the activity, the global, national or regional reach, volume and number of transactions; the number of customers and counterparties; the number of customers for which the institution is the only or principal banking partner.</w:t>
            </w:r>
          </w:p>
          <w:p w:rsidRPr="005F5507" w:rsidR="003600C0" w:rsidP="00CB3292" w:rsidRDefault="003600C0" w14:paraId="3CC74386"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p>
          <w:p w:rsidRPr="005F5507" w:rsidR="003600C0" w:rsidP="00CB3292" w:rsidRDefault="003600C0" w14:paraId="43762ED1"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nature of the customers and stakeholders affected by the function, such as but not limited to retail customers, corporate customers, interbank customers, central clearing houses and public entities. </w:t>
            </w:r>
          </w:p>
          <w:p w:rsidRPr="005F5507" w:rsidR="003600C0" w:rsidP="00CB3292" w:rsidRDefault="003600C0" w14:paraId="27EED82D" w14:textId="77777777">
            <w:pPr>
              <w:pStyle w:val="ListParagraph"/>
              <w:numPr>
                <w:ilvl w:val="0"/>
                <w:numId w:val="131"/>
              </w:numPr>
              <w:spacing w:line="276" w:lineRule="auto"/>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p>
          <w:p w:rsidRPr="005F5507" w:rsidR="003600C0" w:rsidP="003600C0" w:rsidRDefault="003600C0" w14:paraId="10E7FE6F" w14:textId="77777777">
            <w:pPr>
              <w:rPr>
                <w:rFonts w:ascii="Times New Roman" w:hAnsi="Times New Roman" w:cs="Times New Roman" w:eastAsiaTheme="minorHAnsi"/>
                <w:color w:val="000000" w:themeColor="text1"/>
                <w:sz w:val="20"/>
                <w:szCs w:val="20"/>
                <w:lang w:val="en-GB"/>
              </w:rPr>
            </w:pPr>
          </w:p>
        </w:tc>
      </w:tr>
      <w:tr w:rsidRPr="00CB3292" w:rsidR="003600C0" w:rsidTr="003600C0" w14:paraId="1A0A409F" w14:textId="77777777">
        <w:tc>
          <w:tcPr>
            <w:tcW w:w="1080" w:type="dxa"/>
            <w:tcBorders>
              <w:top w:val="single" w:color="1A171C" w:sz="4" w:space="0"/>
              <w:left w:val="nil"/>
              <w:bottom w:val="single" w:color="1A171C" w:sz="4" w:space="0"/>
              <w:right w:val="single" w:color="1A171C" w:sz="4" w:space="0"/>
            </w:tcBorders>
            <w:vAlign w:val="center"/>
          </w:tcPr>
          <w:p w:rsidR="003600C0" w:rsidP="003600C0" w:rsidRDefault="00E33C71" w14:paraId="5C9CAA79" w14:textId="7029F899">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0080 - 0100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0144CC7C"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 xml:space="preserve">Nature and Reach </w:t>
            </w:r>
          </w:p>
          <w:p w:rsidRPr="005F5507" w:rsidR="003600C0" w:rsidP="003600C0" w:rsidRDefault="003600C0" w14:paraId="4765736F"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The global, national or regional reach, volume and number of transactions; the number of customers and counterparties; the number of customers for which the institution is the only or principal banking partner.</w:t>
            </w:r>
          </w:p>
        </w:tc>
      </w:tr>
      <w:tr w:rsidRPr="00CB3292" w:rsidR="003600C0" w:rsidTr="003600C0" w14:paraId="2B46CF87"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E33C71" w14:paraId="165DC3CB" w14:textId="220EF8F2">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0080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262D06C8"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Size Indicator 1</w:t>
            </w:r>
          </w:p>
          <w:p w:rsidRPr="005F5507" w:rsidR="003600C0" w:rsidP="003600C0" w:rsidRDefault="003600C0" w14:paraId="2869FDCD" w14:textId="435904C6">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Assess how important the bank is in these activities. This assessment </w:t>
            </w:r>
            <w:r w:rsidR="002526C2">
              <w:rPr>
                <w:rFonts w:ascii="Times New Roman" w:hAnsi="Times New Roman" w:cs="Times New Roman" w:eastAsiaTheme="minorHAnsi"/>
                <w:color w:val="000000" w:themeColor="text1"/>
                <w:sz w:val="20"/>
                <w:szCs w:val="20"/>
                <w:lang w:val="en-GB"/>
              </w:rPr>
              <w:t>is</w:t>
            </w:r>
            <w:r w:rsidRPr="005F5507">
              <w:rPr>
                <w:rFonts w:ascii="Times New Roman" w:hAnsi="Times New Roman" w:cs="Times New Roman" w:eastAsiaTheme="minorHAnsi"/>
                <w:color w:val="000000" w:themeColor="text1"/>
                <w:sz w:val="20"/>
                <w:szCs w:val="20"/>
                <w:lang w:val="en-GB"/>
              </w:rPr>
              <w: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p>
          <w:p w:rsidRPr="00CB3292" w:rsidR="00E33C71" w:rsidP="00E33C71" w:rsidRDefault="00E33C71" w14:paraId="7FC126B8" w14:textId="77777777">
            <w:pPr>
              <w:pStyle w:val="ListParagraph"/>
              <w:numPr>
                <w:ilvl w:val="0"/>
                <w:numId w:val="125"/>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value</w:t>
            </w:r>
            <w:r w:rsidRPr="00D43D39">
              <w:rPr>
                <w:rFonts w:ascii="Times New Roman" w:hAnsi="Times New Roman" w:eastAsia="Times New Roman"/>
                <w:sz w:val="20"/>
                <w:szCs w:val="20"/>
              </w:rPr>
              <w:t xml:space="preserve"> of the </w:t>
            </w:r>
            <w:r w:rsidRPr="00CB3292">
              <w:rPr>
                <w:rFonts w:ascii="Times New Roman" w:hAnsi="Times New Roman" w:eastAsia="Times New Roman"/>
                <w:sz w:val="20"/>
                <w:szCs w:val="20"/>
              </w:rPr>
              <w:t xml:space="preserve">gross carrying amount of reporting institution </w:t>
            </w:r>
            <w:r w:rsidRPr="00D43D39">
              <w:rPr>
                <w:rFonts w:ascii="Times New Roman" w:hAnsi="Times New Roman" w:eastAsia="Times New Roman"/>
                <w:sz w:val="20"/>
                <w:szCs w:val="20"/>
              </w:rPr>
              <w:t xml:space="preserve">(c0030) from a </w:t>
            </w:r>
            <w:r w:rsidRPr="00D43D39">
              <w:rPr>
                <w:rFonts w:ascii="Times New Roman" w:hAnsi="Times New Roman" w:eastAsia="Times New Roman"/>
                <w:b/>
                <w:bCs/>
                <w:sz w:val="20"/>
                <w:szCs w:val="20"/>
              </w:rPr>
              <w:t>global</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one level higher than the relevant market. If the relevant market is global, then size 1 becomes redundant and does not need to be reported]</w:t>
            </w:r>
            <w:r w:rsidRPr="00D43D39">
              <w:rPr>
                <w:rFonts w:ascii="Times New Roman" w:hAnsi="Times New Roman" w:eastAsia="Times New Roman"/>
                <w:sz w:val="20"/>
                <w:szCs w:val="20"/>
              </w:rPr>
              <w:t>:</w:t>
            </w:r>
          </w:p>
          <w:p w:rsidRPr="00D43D39" w:rsidR="00E33C71" w:rsidP="00E33C71" w:rsidRDefault="00E33C71" w14:paraId="2FF7500A" w14:textId="77777777">
            <w:pPr>
              <w:pStyle w:val="ListParagraph"/>
              <w:numPr>
                <w:ilvl w:val="1"/>
                <w:numId w:val="125"/>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From a global perspective, how large do you believe the gross carrying amount of the reporting entity is?</w:t>
            </w:r>
          </w:p>
          <w:p w:rsidRPr="005F5507" w:rsidR="003600C0" w:rsidP="003600C0" w:rsidRDefault="003600C0" w14:paraId="053A5E78" w14:textId="77777777">
            <w:pPr>
              <w:rPr>
                <w:rFonts w:ascii="Times New Roman" w:hAnsi="Times New Roman" w:cs="Times New Roman" w:eastAsiaTheme="minorHAnsi"/>
                <w:color w:val="000000" w:themeColor="text1"/>
                <w:sz w:val="20"/>
                <w:szCs w:val="20"/>
                <w:lang w:val="en-GB"/>
              </w:rPr>
            </w:pPr>
          </w:p>
        </w:tc>
      </w:tr>
      <w:tr w:rsidRPr="00CB3292" w:rsidR="003600C0" w:rsidTr="003600C0" w14:paraId="69151797"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56942EC8" w14:textId="10B23606">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w:t>
            </w:r>
            <w:r w:rsidR="00E33C71">
              <w:rPr>
                <w:rFonts w:ascii="Times New Roman" w:hAnsi="Times New Roman" w:eastAsia="Cambria" w:cs="Times New Roman"/>
                <w:color w:val="000000" w:themeColor="text1"/>
                <w:spacing w:val="-2"/>
                <w:w w:val="95"/>
                <w:sz w:val="20"/>
                <w:szCs w:val="20"/>
                <w:lang w:val="en-GB"/>
              </w:rPr>
              <w:t>090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0DD3861A"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Size Indicator 2</w:t>
            </w:r>
          </w:p>
          <w:p w:rsidRPr="005F5507" w:rsidR="003600C0" w:rsidP="003600C0" w:rsidRDefault="003600C0" w14:paraId="06CC45F3"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p>
          <w:p w:rsidRPr="00CB3292" w:rsidR="00E33C71" w:rsidP="00E33C71" w:rsidRDefault="00E33C71" w14:paraId="40232939" w14:textId="77777777">
            <w:pPr>
              <w:pStyle w:val="ListParagraph"/>
              <w:numPr>
                <w:ilvl w:val="0"/>
                <w:numId w:val="119"/>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number</w:t>
            </w:r>
            <w:r w:rsidRPr="00D43D39">
              <w:rPr>
                <w:rFonts w:ascii="Times New Roman" w:hAnsi="Times New Roman" w:eastAsia="Times New Roman"/>
                <w:sz w:val="20"/>
                <w:szCs w:val="20"/>
              </w:rPr>
              <w:t xml:space="preserve"> of counterparties or transactions (c0040) from a </w:t>
            </w:r>
            <w:r w:rsidRPr="00D43D39">
              <w:rPr>
                <w:rFonts w:ascii="Times New Roman" w:hAnsi="Times New Roman" w:eastAsia="Times New Roman"/>
                <w:b/>
                <w:bCs/>
                <w:sz w:val="20"/>
                <w:szCs w:val="20"/>
              </w:rPr>
              <w:t>national</w:t>
            </w:r>
            <w:r w:rsidRPr="00D43D39">
              <w:rPr>
                <w:rFonts w:ascii="Times New Roman" w:hAnsi="Times New Roman" w:eastAsia="Times New Roman"/>
                <w:sz w:val="20"/>
                <w:szCs w:val="20"/>
              </w:rPr>
              <w:t xml:space="preserve"> perspective [</w:t>
            </w:r>
            <w:r w:rsidRPr="00D43D39">
              <w:rPr>
                <w:rFonts w:ascii="Times New Roman" w:hAnsi="Times New Roman" w:eastAsia="Times New Roman"/>
                <w:i/>
                <w:iCs/>
                <w:sz w:val="20"/>
                <w:szCs w:val="20"/>
              </w:rPr>
              <w:t>at the level of the relevant market</w:t>
            </w:r>
            <w:r w:rsidRPr="00D43D39">
              <w:rPr>
                <w:rFonts w:ascii="Times New Roman" w:hAnsi="Times New Roman" w:eastAsia="Times New Roman"/>
                <w:sz w:val="20"/>
                <w:szCs w:val="20"/>
              </w:rPr>
              <w:t>]:</w:t>
            </w:r>
          </w:p>
          <w:p w:rsidRPr="00D43D39" w:rsidR="00E33C71" w:rsidP="00E33C71" w:rsidRDefault="00E33C71" w14:paraId="1FF14940" w14:textId="77777777">
            <w:pPr>
              <w:pStyle w:val="ListParagraph"/>
              <w:numPr>
                <w:ilvl w:val="1"/>
                <w:numId w:val="119"/>
              </w:numPr>
              <w:spacing w:line="276" w:lineRule="auto"/>
              <w:rPr>
                <w:rFonts w:ascii="Times New Roman" w:hAnsi="Times New Roman" w:eastAsia="Times New Roman"/>
                <w:sz w:val="20"/>
                <w:szCs w:val="20"/>
              </w:rPr>
            </w:pPr>
            <w:r w:rsidRPr="00D43D39">
              <w:rPr>
                <w:rFonts w:ascii="Times New Roman" w:hAnsi="Times New Roman" w:eastAsia="Times New Roman"/>
                <w:sz w:val="20"/>
                <w:szCs w:val="20"/>
              </w:rPr>
              <w:t xml:space="preserve">From a national perspective, how large </w:t>
            </w:r>
            <w:r>
              <w:rPr>
                <w:rFonts w:ascii="Times New Roman" w:hAnsi="Times New Roman" w:eastAsia="Times New Roman"/>
                <w:sz w:val="20"/>
                <w:szCs w:val="20"/>
              </w:rPr>
              <w:t>is the estimated</w:t>
            </w:r>
            <w:r w:rsidRPr="00D43D39">
              <w:rPr>
                <w:rFonts w:ascii="Times New Roman" w:hAnsi="Times New Roman" w:eastAsia="Times New Roman"/>
                <w:sz w:val="20"/>
                <w:szCs w:val="20"/>
              </w:rPr>
              <w:t xml:space="preserve"> number of counterparties of your institutions?</w:t>
            </w:r>
          </w:p>
          <w:p w:rsidRPr="005F5507" w:rsidR="003600C0" w:rsidP="003600C0" w:rsidRDefault="003600C0" w14:paraId="65A43F16" w14:textId="77777777">
            <w:pPr>
              <w:rPr>
                <w:rFonts w:ascii="Times New Roman" w:hAnsi="Times New Roman" w:cs="Times New Roman" w:eastAsiaTheme="minorHAnsi"/>
                <w:color w:val="000000" w:themeColor="text1"/>
                <w:sz w:val="20"/>
                <w:szCs w:val="20"/>
                <w:lang w:val="en-GB"/>
              </w:rPr>
            </w:pPr>
          </w:p>
        </w:tc>
      </w:tr>
      <w:tr w:rsidRPr="00CB3292" w:rsidR="003600C0" w:rsidTr="003600C0" w14:paraId="7DF53D5D"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6936EB92" w14:textId="52357CC2">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w:t>
            </w:r>
            <w:r w:rsidR="00E33C71">
              <w:rPr>
                <w:rFonts w:ascii="Times New Roman" w:hAnsi="Times New Roman" w:eastAsia="Cambria" w:cs="Times New Roman"/>
                <w:color w:val="000000" w:themeColor="text1"/>
                <w:spacing w:val="-2"/>
                <w:w w:val="95"/>
                <w:sz w:val="20"/>
                <w:szCs w:val="20"/>
                <w:lang w:val="en-GB"/>
              </w:rPr>
              <w:t>10</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7AF83992"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Cross border indicator</w:t>
            </w:r>
          </w:p>
          <w:p w:rsidRPr="005F5507" w:rsidR="003600C0" w:rsidP="003600C0" w:rsidRDefault="003600C0" w14:paraId="1FC587B5"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Assess the relative importance of cross-border activities for the different economic functions.</w:t>
            </w:r>
          </w:p>
          <w:p w:rsidRPr="005F5507" w:rsidR="003600C0" w:rsidP="003600C0" w:rsidRDefault="003600C0" w14:paraId="77F3F35B"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This does not need to be assessed in case of reports in which the relevant market is considered to be regional. </w:t>
            </w:r>
          </w:p>
          <w:p w:rsidRPr="00CB3292" w:rsidR="00E33C71" w:rsidP="00E33C71" w:rsidRDefault="00E33C71" w14:paraId="188BCA87" w14:textId="77777777">
            <w:pPr>
              <w:pStyle w:val="ListParagraph"/>
              <w:numPr>
                <w:ilvl w:val="0"/>
                <w:numId w:val="118"/>
              </w:numPr>
              <w:rPr>
                <w:rFonts w:ascii="Times New Roman" w:hAnsi="Times New Roman" w:eastAsia="Times New Roman"/>
                <w:i/>
                <w:iCs/>
                <w:sz w:val="20"/>
                <w:szCs w:val="20"/>
              </w:rPr>
            </w:pPr>
            <w:r w:rsidRPr="00D43D39">
              <w:rPr>
                <w:rFonts w:ascii="Times New Roman" w:hAnsi="Times New Roman" w:eastAsia="Times New Roman"/>
                <w:sz w:val="20"/>
                <w:szCs w:val="20"/>
              </w:rPr>
              <w:t xml:space="preserve">Share of the reporting entity’s cross-jurisdictional activity as percentage of total value, expressed in gross carrying amount. </w:t>
            </w:r>
            <w:r>
              <w:rPr>
                <w:rFonts w:ascii="Times New Roman" w:hAnsi="Times New Roman" w:eastAsia="Times New Roman"/>
                <w:sz w:val="20"/>
                <w:szCs w:val="20"/>
              </w:rPr>
              <w:t>R</w:t>
            </w:r>
            <w:r w:rsidRPr="00D43D39">
              <w:rPr>
                <w:rFonts w:ascii="Times New Roman" w:hAnsi="Times New Roman" w:eastAsia="Times New Roman"/>
                <w:sz w:val="20"/>
                <w:szCs w:val="20"/>
              </w:rPr>
              <w:t>eport: L: &lt;5%; ML: [5-15%); [MH: 15-25%), H: ≥25%.</w:t>
            </w:r>
          </w:p>
          <w:p w:rsidRPr="005F5507" w:rsidR="003600C0" w:rsidP="003600C0" w:rsidRDefault="003600C0" w14:paraId="64CBEAA2" w14:textId="77777777">
            <w:pPr>
              <w:rPr>
                <w:rFonts w:ascii="Times New Roman" w:hAnsi="Times New Roman" w:cs="Times New Roman" w:eastAsiaTheme="minorHAnsi"/>
                <w:color w:val="000000" w:themeColor="text1"/>
                <w:sz w:val="20"/>
                <w:szCs w:val="20"/>
                <w:lang w:val="en-GB"/>
              </w:rPr>
            </w:pPr>
          </w:p>
        </w:tc>
      </w:tr>
      <w:tr w:rsidRPr="00CB3292" w:rsidR="003600C0" w:rsidTr="003600C0" w14:paraId="4E5855D5"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444003EF" w14:textId="41A36D8B">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33C71">
              <w:rPr>
                <w:rFonts w:ascii="Times New Roman" w:hAnsi="Times New Roman" w:eastAsia="Cambria" w:cs="Times New Roman"/>
                <w:color w:val="000000" w:themeColor="text1"/>
                <w:spacing w:val="-2"/>
                <w:w w:val="95"/>
                <w:sz w:val="20"/>
                <w:szCs w:val="20"/>
                <w:lang w:val="en-GB"/>
              </w:rPr>
              <w:t>1</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66E3B812"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 xml:space="preserve">Relevance – </w:t>
            </w:r>
          </w:p>
          <w:p w:rsidRPr="005F5507" w:rsidR="003600C0" w:rsidP="003600C0" w:rsidRDefault="003600C0" w14:paraId="491978FC"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On a local, regional, national or European level, as appropriate for the market concerned. The relevance of the institution may be assessed on the basis of the market share, the interconnectedness, the complexity and cross- border activities.</w:t>
            </w:r>
          </w:p>
          <w:p w:rsidRPr="00E33C71" w:rsidR="003600C0" w:rsidP="003600C0" w:rsidRDefault="003600C0" w14:paraId="71432B58"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Market Share</w:t>
            </w:r>
          </w:p>
          <w:p w:rsidRPr="005F5507" w:rsidR="003600C0" w:rsidP="003600C0" w:rsidRDefault="003600C0" w14:paraId="38E2B9F8"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Assess how important the reporting entity’s market share is, compared to the national or other relevant market, as indicated in the template. This assessment is expressed qualitatively as </w:t>
            </w:r>
          </w:p>
          <w:p w:rsidRPr="005F5507" w:rsidR="003600C0" w:rsidP="00CB3292" w:rsidRDefault="003600C0" w14:paraId="6D052141"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High (H), if the market share is large</w:t>
            </w:r>
          </w:p>
          <w:p w:rsidRPr="005F5507" w:rsidR="003600C0" w:rsidP="00CB3292" w:rsidRDefault="003600C0" w14:paraId="78D9A35C"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Medium-High (MH), if the market share is medium</w:t>
            </w:r>
          </w:p>
          <w:p w:rsidRPr="005F5507" w:rsidR="003600C0" w:rsidP="00CB3292" w:rsidRDefault="003600C0" w14:paraId="505CFE3A"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Medium-Low (ML) if the market share is small or </w:t>
            </w:r>
          </w:p>
          <w:p w:rsidRPr="005F5507" w:rsidR="003600C0" w:rsidP="00CB3292" w:rsidRDefault="003600C0" w14:paraId="1A91D003" w14:textId="77777777">
            <w:pPr>
              <w:pStyle w:val="ListParagraph"/>
              <w:numPr>
                <w:ilvl w:val="0"/>
                <w:numId w:val="276"/>
              </w:numPr>
              <w:spacing w:line="276" w:lineRule="auto"/>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Low (L)’ if the market share is negligible. </w:t>
            </w:r>
          </w:p>
          <w:p w:rsidRPr="005F5507" w:rsidR="003600C0" w:rsidP="003600C0" w:rsidRDefault="003600C0" w14:paraId="66E5CDDE"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This assessment takes into account the market structure of the reporting entity’s country (or other relevant market), and market shares reported in part </w:t>
            </w:r>
          </w:p>
          <w:p w:rsidRPr="005F5507" w:rsidR="003600C0" w:rsidP="003600C0" w:rsidRDefault="003600C0" w14:paraId="1917A221"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2.Quantitative data:</w:t>
            </w:r>
          </w:p>
          <w:p w:rsidRPr="00CB3292" w:rsidR="00E33C71" w:rsidP="00E33C71" w:rsidRDefault="00E33C71" w14:paraId="094ECFFE" w14:textId="77777777">
            <w:pPr>
              <w:pStyle w:val="ListParagraph"/>
              <w:numPr>
                <w:ilvl w:val="0"/>
                <w:numId w:val="116"/>
              </w:numPr>
              <w:jc w:val="both"/>
              <w:rPr>
                <w:rFonts w:ascii="Times New Roman" w:hAnsi="Times New Roman" w:eastAsia="Times New Roman"/>
                <w:i/>
                <w:iCs/>
                <w:sz w:val="20"/>
                <w:szCs w:val="20"/>
              </w:rPr>
            </w:pPr>
            <w:r w:rsidRPr="00D43D39">
              <w:rPr>
                <w:rFonts w:ascii="Times New Roman" w:hAnsi="Times New Roman" w:eastAsia="Times New Roman"/>
                <w:sz w:val="20"/>
                <w:szCs w:val="20"/>
              </w:rPr>
              <w:t xml:space="preserve">Expert judgement of the size of the </w:t>
            </w:r>
            <w:r w:rsidRPr="00D43D39">
              <w:rPr>
                <w:rFonts w:ascii="Times New Roman" w:hAnsi="Times New Roman" w:eastAsia="Times New Roman"/>
                <w:b/>
                <w:bCs/>
                <w:sz w:val="20"/>
                <w:szCs w:val="20"/>
              </w:rPr>
              <w:t xml:space="preserve">national </w:t>
            </w:r>
            <w:r w:rsidRPr="00D43D39">
              <w:rPr>
                <w:rFonts w:ascii="Times New Roman" w:hAnsi="Times New Roman" w:eastAsia="Times New Roman"/>
                <w:sz w:val="20"/>
                <w:szCs w:val="20"/>
              </w:rPr>
              <w:t>market share (reported in c0020, except in cases where the report is provided for a different relevant market level, in which case an assessment of the relevant market share is expected).</w:t>
            </w:r>
          </w:p>
          <w:p w:rsidRPr="005F5507" w:rsidR="003600C0" w:rsidP="003600C0" w:rsidRDefault="003600C0" w14:paraId="3AB395B8" w14:textId="77777777">
            <w:pPr>
              <w:rPr>
                <w:rFonts w:ascii="Times New Roman" w:hAnsi="Times New Roman" w:cs="Times New Roman" w:eastAsiaTheme="minorHAnsi"/>
                <w:color w:val="000000" w:themeColor="text1"/>
                <w:sz w:val="20"/>
                <w:szCs w:val="20"/>
                <w:lang w:val="en-GB"/>
              </w:rPr>
            </w:pPr>
          </w:p>
          <w:p w:rsidRPr="005F5507" w:rsidR="003600C0" w:rsidP="003600C0" w:rsidRDefault="003600C0" w14:paraId="1683837F" w14:textId="77777777">
            <w:pPr>
              <w:rPr>
                <w:rFonts w:ascii="Times New Roman" w:hAnsi="Times New Roman" w:cs="Times New Roman" w:eastAsiaTheme="minorHAnsi"/>
                <w:color w:val="000000" w:themeColor="text1"/>
                <w:sz w:val="20"/>
                <w:szCs w:val="20"/>
                <w:lang w:val="en-GB"/>
              </w:rPr>
            </w:pPr>
          </w:p>
        </w:tc>
      </w:tr>
      <w:tr w:rsidRPr="00CB3292" w:rsidR="003600C0" w:rsidTr="003600C0" w14:paraId="29D23488"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2DE1BD26" w14:textId="78ABCEA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33C71">
              <w:rPr>
                <w:rFonts w:ascii="Times New Roman" w:hAnsi="Times New Roman" w:eastAsia="Cambria" w:cs="Times New Roman"/>
                <w:color w:val="000000" w:themeColor="text1"/>
                <w:spacing w:val="-2"/>
                <w:w w:val="95"/>
                <w:sz w:val="20"/>
                <w:szCs w:val="20"/>
                <w:lang w:val="en-GB"/>
              </w:rPr>
              <w:t>2</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48221C71"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Market Structure – Market concentration</w:t>
            </w:r>
          </w:p>
          <w:p w:rsidRPr="005F5507" w:rsidR="003600C0" w:rsidP="003600C0" w:rsidRDefault="003600C0" w14:paraId="5FA9F962"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The market concentration, measured by the number of competitors currently performing </w:t>
            </w:r>
          </w:p>
          <w:p w:rsidRPr="005F5507" w:rsidR="003600C0" w:rsidP="003600C0" w:rsidRDefault="003600C0" w14:paraId="16D118BE"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similar economic functions and/or offering similar services on equal terms (i.e. to a </w:t>
            </w:r>
          </w:p>
          <w:p w:rsidRPr="005F5507" w:rsidR="003600C0" w:rsidP="003600C0" w:rsidRDefault="003600C0" w14:paraId="6EAEF954"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comparable extent and quality and at a comparable cost) that potentially take over </w:t>
            </w:r>
          </w:p>
          <w:p w:rsidRPr="005F5507" w:rsidR="003600C0" w:rsidP="003600C0" w:rsidRDefault="003600C0" w14:paraId="499FF038"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(part of) the clients and/or business of the reporting entity within a reasonable timeframe. </w:t>
            </w:r>
          </w:p>
          <w:p w:rsidRPr="005F5507" w:rsidR="003600C0" w:rsidP="003600C0" w:rsidRDefault="003600C0" w14:paraId="17CF72FB"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This has to be reported in buckets, which are the same for each sub-function </w:t>
            </w:r>
          </w:p>
          <w:p w:rsidRPr="005F5507" w:rsidR="003600C0" w:rsidP="00CB3292" w:rsidRDefault="003600C0" w14:paraId="0C7ACA79"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≥20; </w:t>
            </w:r>
          </w:p>
          <w:p w:rsidRPr="005F5507" w:rsidR="003600C0" w:rsidP="00CB3292" w:rsidRDefault="003600C0" w14:paraId="5DB63BC7"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(10-20); </w:t>
            </w:r>
          </w:p>
          <w:p w:rsidRPr="005F5507" w:rsidR="003600C0" w:rsidP="00CB3292" w:rsidRDefault="003600C0" w14:paraId="3320277F"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(5-10), </w:t>
            </w:r>
          </w:p>
          <w:p w:rsidRPr="005F5507" w:rsidR="003600C0" w:rsidP="00CB3292" w:rsidRDefault="003600C0" w14:paraId="739803AF" w14:textId="77777777">
            <w:pPr>
              <w:pStyle w:val="ListParagraph"/>
              <w:numPr>
                <w:ilvl w:val="0"/>
                <w:numId w:val="277"/>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 &lt;5</w:t>
            </w:r>
          </w:p>
        </w:tc>
      </w:tr>
      <w:tr w:rsidRPr="00CB3292" w:rsidR="003600C0" w:rsidTr="003600C0" w14:paraId="127D9DF7"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003604E0" w14:textId="6636193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33C71">
              <w:rPr>
                <w:rFonts w:ascii="Times New Roman" w:hAnsi="Times New Roman" w:eastAsia="Cambria" w:cs="Times New Roman"/>
                <w:color w:val="000000" w:themeColor="text1"/>
                <w:spacing w:val="-2"/>
                <w:w w:val="95"/>
                <w:sz w:val="20"/>
                <w:szCs w:val="20"/>
                <w:lang w:val="en-GB"/>
              </w:rPr>
              <w:t>3</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3365B315"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Timing - Expected time for substitution</w:t>
            </w:r>
          </w:p>
          <w:p w:rsidRPr="005F5507" w:rsidR="003600C0" w:rsidP="003600C0" w:rsidRDefault="003600C0" w14:paraId="5F93FED3"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Estimate the time necessary for the economic function provided by the reporting</w:t>
            </w:r>
          </w:p>
          <w:p w:rsidRPr="005F5507" w:rsidR="003600C0" w:rsidP="003600C0" w:rsidRDefault="003600C0" w14:paraId="4BA3D6D8"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entity to be absorbed by the market in a crisis situation. This includes: </w:t>
            </w:r>
          </w:p>
          <w:p w:rsidRPr="005F5507" w:rsidR="003600C0" w:rsidP="00CB3292" w:rsidRDefault="003600C0" w14:paraId="6775EF6A" w14:textId="77777777">
            <w:pPr>
              <w:pStyle w:val="ListParagraph"/>
              <w:numPr>
                <w:ilvl w:val="0"/>
                <w:numId w:val="274"/>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expected time needed by one or several competitor(s) to accomplish the legal and technical steps to take over the function; as well as  </w:t>
            </w:r>
          </w:p>
          <w:p w:rsidRPr="005F5507" w:rsidR="003600C0" w:rsidP="00CB3292" w:rsidRDefault="003600C0" w14:paraId="326E9245" w14:textId="77777777">
            <w:pPr>
              <w:pStyle w:val="ListParagraph"/>
              <w:numPr>
                <w:ilvl w:val="0"/>
                <w:numId w:val="274"/>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the time required by users of the service to move to another service provider. </w:t>
            </w:r>
          </w:p>
          <w:p w:rsidRPr="005F5507" w:rsidR="003600C0" w:rsidP="003600C0" w:rsidRDefault="003600C0" w14:paraId="56EE35F6" w14:textId="77777777">
            <w:pPr>
              <w:rPr>
                <w:rFonts w:ascii="Times New Roman" w:hAnsi="Times New Roman" w:cs="Times New Roman" w:eastAsiaTheme="minorHAnsi"/>
                <w:color w:val="000000" w:themeColor="text1"/>
                <w:sz w:val="20"/>
                <w:szCs w:val="20"/>
                <w:lang w:val="en-GB"/>
              </w:rPr>
            </w:pPr>
          </w:p>
          <w:p w:rsidRPr="005F5507" w:rsidR="003600C0" w:rsidP="003600C0" w:rsidRDefault="003600C0" w14:paraId="3A64F4C0"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p>
          <w:p w:rsidR="00E33C71" w:rsidP="003600C0" w:rsidRDefault="00E33C71" w14:paraId="792F2C35" w14:textId="77777777">
            <w:pPr>
              <w:rPr>
                <w:rFonts w:ascii="Times New Roman" w:hAnsi="Times New Roman" w:eastAsia="Times New Roman" w:cs="Times New Roman"/>
                <w:sz w:val="20"/>
                <w:szCs w:val="20"/>
                <w:lang w:val="en-GB"/>
              </w:rPr>
            </w:pPr>
            <w:r w:rsidRPr="00CB3292">
              <w:rPr>
                <w:rFonts w:ascii="Times New Roman" w:hAnsi="Times New Roman" w:eastAsia="Times New Roman" w:cs="Times New Roman"/>
                <w:sz w:val="20"/>
                <w:szCs w:val="20"/>
                <w:lang w:val="en-GB"/>
              </w:rPr>
              <w:t xml:space="preserve">Buckets: </w:t>
            </w:r>
          </w:p>
          <w:p w:rsidRPr="005F5507" w:rsidR="00E33C71" w:rsidP="005F5507" w:rsidRDefault="00E33C71" w14:paraId="575F3D5B" w14:textId="77777777">
            <w:pPr>
              <w:pStyle w:val="ListParagraph"/>
              <w:numPr>
                <w:ilvl w:val="0"/>
                <w:numId w:val="287"/>
              </w:numPr>
              <w:rPr>
                <w:rFonts w:ascii="Times New Roman" w:hAnsi="Times New Roman" w:eastAsia="Times New Roman"/>
                <w:sz w:val="20"/>
                <w:szCs w:val="20"/>
              </w:rPr>
            </w:pPr>
            <w:r w:rsidRPr="005F5507">
              <w:rPr>
                <w:rFonts w:ascii="Times New Roman" w:hAnsi="Times New Roman" w:eastAsia="Times New Roman"/>
                <w:sz w:val="20"/>
                <w:szCs w:val="20"/>
              </w:rPr>
              <w:t xml:space="preserve">L: ≤ 1 day; </w:t>
            </w:r>
          </w:p>
          <w:p w:rsidRPr="005F5507" w:rsidR="00E33C71" w:rsidP="005F5507" w:rsidRDefault="00E33C71" w14:paraId="508A48C4" w14:textId="77777777">
            <w:pPr>
              <w:pStyle w:val="ListParagraph"/>
              <w:numPr>
                <w:ilvl w:val="0"/>
                <w:numId w:val="287"/>
              </w:numPr>
              <w:rPr>
                <w:rFonts w:ascii="Times New Roman" w:hAnsi="Times New Roman" w:eastAsia="Times New Roman"/>
                <w:sz w:val="20"/>
                <w:szCs w:val="20"/>
              </w:rPr>
            </w:pPr>
            <w:r w:rsidRPr="005F5507">
              <w:rPr>
                <w:rFonts w:ascii="Times New Roman" w:hAnsi="Times New Roman" w:eastAsia="Times New Roman"/>
                <w:sz w:val="20"/>
                <w:szCs w:val="20"/>
              </w:rPr>
              <w:t xml:space="preserve">ML: (1 day-1 week]; </w:t>
            </w:r>
          </w:p>
          <w:p w:rsidRPr="005F5507" w:rsidR="00E33C71" w:rsidP="005F5507" w:rsidRDefault="00E33C71" w14:paraId="4C645456" w14:textId="77777777">
            <w:pPr>
              <w:pStyle w:val="ListParagraph"/>
              <w:numPr>
                <w:ilvl w:val="0"/>
                <w:numId w:val="287"/>
              </w:numPr>
              <w:rPr>
                <w:rFonts w:ascii="Times New Roman" w:hAnsi="Times New Roman" w:eastAsia="Times New Roman"/>
                <w:sz w:val="20"/>
                <w:szCs w:val="20"/>
              </w:rPr>
            </w:pPr>
            <w:r w:rsidRPr="005F5507">
              <w:rPr>
                <w:rFonts w:ascii="Times New Roman" w:hAnsi="Times New Roman" w:eastAsia="Times New Roman"/>
                <w:sz w:val="20"/>
                <w:szCs w:val="20"/>
              </w:rPr>
              <w:t xml:space="preserve">MH: [1 week- 1month], </w:t>
            </w:r>
          </w:p>
          <w:p w:rsidRPr="005F5507" w:rsidR="003600C0" w:rsidP="005F5507" w:rsidRDefault="00E33C71" w14:paraId="4E0E37C0" w14:textId="641673C6">
            <w:pPr>
              <w:pStyle w:val="ListParagraph"/>
              <w:numPr>
                <w:ilvl w:val="0"/>
                <w:numId w:val="287"/>
              </w:numPr>
              <w:rPr>
                <w:rFonts w:ascii="Times New Roman" w:hAnsi="Times New Roman" w:eastAsiaTheme="minorHAnsi"/>
                <w:color w:val="000000" w:themeColor="text1"/>
                <w:sz w:val="20"/>
                <w:szCs w:val="20"/>
              </w:rPr>
            </w:pPr>
            <w:r w:rsidRPr="005F5507">
              <w:rPr>
                <w:rFonts w:ascii="Times New Roman" w:hAnsi="Times New Roman" w:eastAsia="Times New Roman"/>
                <w:sz w:val="20"/>
                <w:szCs w:val="20"/>
              </w:rPr>
              <w:t>H: &gt;1 month</w:t>
            </w:r>
          </w:p>
        </w:tc>
      </w:tr>
      <w:tr w:rsidRPr="00CB3292" w:rsidR="003600C0" w:rsidTr="003600C0" w14:paraId="664651D2"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7821BEB4" w14:textId="1731B7C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33C71">
              <w:rPr>
                <w:rFonts w:ascii="Times New Roman" w:hAnsi="Times New Roman" w:eastAsia="Cambria" w:cs="Times New Roman"/>
                <w:color w:val="000000" w:themeColor="text1"/>
                <w:spacing w:val="-2"/>
                <w:w w:val="95"/>
                <w:sz w:val="20"/>
                <w:szCs w:val="20"/>
                <w:lang w:val="en-GB"/>
              </w:rPr>
              <w:t>4</w:t>
            </w:r>
            <w:r>
              <w:rPr>
                <w:rFonts w:ascii="Times New Roman" w:hAnsi="Times New Roman" w:eastAsia="Cambria" w:cs="Times New Roman"/>
                <w:color w:val="000000" w:themeColor="text1"/>
                <w:spacing w:val="-2"/>
                <w:w w:val="95"/>
                <w:sz w:val="20"/>
                <w:szCs w:val="20"/>
                <w:lang w:val="en-GB"/>
              </w:rPr>
              <w:t>0 - 01</w:t>
            </w:r>
            <w:r w:rsidR="00E33C71">
              <w:rPr>
                <w:rFonts w:ascii="Times New Roman" w:hAnsi="Times New Roman" w:eastAsia="Cambria" w:cs="Times New Roman"/>
                <w:color w:val="000000" w:themeColor="text1"/>
                <w:spacing w:val="-2"/>
                <w:w w:val="95"/>
                <w:sz w:val="20"/>
                <w:szCs w:val="20"/>
                <w:lang w:val="en-GB"/>
              </w:rPr>
              <w:t>5</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419E0583"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Ability for substitution</w:t>
            </w:r>
          </w:p>
        </w:tc>
      </w:tr>
      <w:tr w:rsidRPr="00CB3292" w:rsidR="003600C0" w:rsidTr="003600C0" w14:paraId="13C61666" w14:textId="77777777">
        <w:tc>
          <w:tcPr>
            <w:tcW w:w="1080" w:type="dxa"/>
            <w:tcBorders>
              <w:top w:val="single" w:color="1A171C" w:sz="4" w:space="0"/>
              <w:left w:val="nil"/>
              <w:bottom w:val="single" w:color="1A171C" w:sz="4" w:space="0"/>
              <w:right w:val="single" w:color="1A171C" w:sz="4" w:space="0"/>
            </w:tcBorders>
            <w:vAlign w:val="center"/>
          </w:tcPr>
          <w:p w:rsidRPr="00D43D39" w:rsidR="003600C0" w:rsidP="003600C0" w:rsidRDefault="003600C0" w14:paraId="32BDE053" w14:textId="615E2E8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33C71">
              <w:rPr>
                <w:rFonts w:ascii="Times New Roman" w:hAnsi="Times New Roman" w:eastAsia="Cambria" w:cs="Times New Roman"/>
                <w:color w:val="000000" w:themeColor="text1"/>
                <w:spacing w:val="-2"/>
                <w:w w:val="95"/>
                <w:sz w:val="20"/>
                <w:szCs w:val="20"/>
                <w:lang w:val="en-GB"/>
              </w:rPr>
              <w:t>4</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39538D5F"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Legal barriers to entry or expansion</w:t>
            </w:r>
          </w:p>
          <w:p w:rsidRPr="005F5507" w:rsidR="003600C0" w:rsidP="003600C0" w:rsidRDefault="003600C0" w14:paraId="55633859" w14:textId="77777777">
            <w:pPr>
              <w:rPr>
                <w:rFonts w:ascii="Times New Roman" w:hAnsi="Times New Roman" w:cs="Times New Roman" w:eastAsiaTheme="minorHAnsi"/>
                <w:color w:val="000000" w:themeColor="text1"/>
                <w:sz w:val="20"/>
                <w:szCs w:val="20"/>
                <w:lang w:val="en-GB"/>
              </w:rPr>
            </w:pPr>
          </w:p>
          <w:p w:rsidRPr="005F5507" w:rsidR="003600C0" w:rsidP="003600C0" w:rsidRDefault="003600C0" w14:paraId="5A758912" w14:textId="770F8AA5">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Legal barriers for competitors to offer the service. Legal requirements for performing the business of credit institutions (e.g. banking licences or capital requirements) </w:t>
            </w:r>
            <w:r w:rsidR="002526C2">
              <w:rPr>
                <w:rFonts w:ascii="Times New Roman" w:hAnsi="Times New Roman" w:cs="Times New Roman" w:eastAsiaTheme="minorHAnsi"/>
                <w:color w:val="000000" w:themeColor="text1"/>
                <w:sz w:val="20"/>
                <w:szCs w:val="20"/>
                <w:lang w:val="en-GB"/>
              </w:rPr>
              <w:t>are</w:t>
            </w:r>
            <w:r w:rsidRPr="005F5507">
              <w:rPr>
                <w:rFonts w:ascii="Times New Roman" w:hAnsi="Times New Roman" w:cs="Times New Roman" w:eastAsiaTheme="minorHAnsi"/>
                <w:color w:val="000000" w:themeColor="text1"/>
                <w:sz w:val="20"/>
                <w:szCs w:val="20"/>
                <w:lang w:val="en-GB"/>
              </w:rPr>
              <w:t xml:space="preserve"> not </w:t>
            </w:r>
            <w:r w:rsidR="002526C2">
              <w:rPr>
                <w:rFonts w:ascii="Times New Roman" w:hAnsi="Times New Roman" w:cs="Times New Roman" w:eastAsiaTheme="minorHAnsi"/>
                <w:color w:val="000000" w:themeColor="text1"/>
                <w:sz w:val="20"/>
                <w:szCs w:val="20"/>
                <w:lang w:val="en-GB"/>
              </w:rPr>
              <w:t>to</w:t>
            </w:r>
            <w:r w:rsidRPr="005F5507">
              <w:rPr>
                <w:rFonts w:ascii="Times New Roman" w:hAnsi="Times New Roman" w:cs="Times New Roman" w:eastAsiaTheme="minorHAnsi"/>
                <w:color w:val="000000" w:themeColor="text1"/>
                <w:sz w:val="20"/>
                <w:szCs w:val="20"/>
                <w:lang w:val="en-GB"/>
              </w:rPr>
              <w:t xml:space="preserve"> be considered as unsurmountable barriers in the presence of alternative providers. This indicator has to be reported in buckets, which are the same for each sub-function: </w:t>
            </w:r>
          </w:p>
          <w:p w:rsidRPr="005F5507" w:rsidR="003600C0" w:rsidP="00CB3292" w:rsidRDefault="003600C0" w14:paraId="6A18501A"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no major barriers, </w:t>
            </w:r>
          </w:p>
          <w:p w:rsidRPr="005F5507" w:rsidR="003600C0" w:rsidP="00CB3292" w:rsidRDefault="003600C0" w14:paraId="41C5EA1C"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some barriers, </w:t>
            </w:r>
          </w:p>
          <w:p w:rsidRPr="005F5507" w:rsidR="003600C0" w:rsidP="00CB3292" w:rsidRDefault="003600C0" w14:paraId="60B306E4"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substantial (but surmountable) barriers, </w:t>
            </w:r>
          </w:p>
          <w:p w:rsidRPr="005F5507" w:rsidR="003600C0" w:rsidP="00CB3292" w:rsidRDefault="003600C0" w14:paraId="4F1C470C" w14:textId="77777777">
            <w:pPr>
              <w:pStyle w:val="ListParagraph"/>
              <w:numPr>
                <w:ilvl w:val="0"/>
                <w:numId w:val="275"/>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H: critical </w:t>
            </w:r>
          </w:p>
          <w:p w:rsidRPr="005F5507" w:rsidR="003600C0" w:rsidP="003600C0" w:rsidRDefault="003600C0" w14:paraId="0ADE789F"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(difficult to surmount) barriers.</w:t>
            </w:r>
          </w:p>
        </w:tc>
      </w:tr>
      <w:tr w:rsidRPr="00CB3292" w:rsidR="003600C0" w:rsidTr="003600C0" w14:paraId="65C412BA" w14:textId="77777777">
        <w:tc>
          <w:tcPr>
            <w:tcW w:w="1080" w:type="dxa"/>
            <w:tcBorders>
              <w:top w:val="single" w:color="1A171C" w:sz="4" w:space="0"/>
              <w:left w:val="nil"/>
              <w:bottom w:val="single" w:color="1A171C" w:sz="4" w:space="0"/>
              <w:right w:val="single" w:color="1A171C" w:sz="4" w:space="0"/>
            </w:tcBorders>
            <w:vAlign w:val="center"/>
          </w:tcPr>
          <w:p w:rsidR="003600C0" w:rsidP="003600C0" w:rsidRDefault="003600C0" w14:paraId="31560818" w14:textId="330F0155">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E33C71">
              <w:rPr>
                <w:rFonts w:ascii="Times New Roman" w:hAnsi="Times New Roman" w:eastAsia="Cambria" w:cs="Times New Roman"/>
                <w:color w:val="000000" w:themeColor="text1"/>
                <w:spacing w:val="-2"/>
                <w:w w:val="95"/>
                <w:sz w:val="20"/>
                <w:szCs w:val="20"/>
                <w:lang w:val="en-GB"/>
              </w:rPr>
              <w:t>5</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E33C71" w:rsidR="003600C0" w:rsidP="003600C0" w:rsidRDefault="003600C0" w14:paraId="4C814DAB" w14:textId="77777777">
            <w:pPr>
              <w:rPr>
                <w:rFonts w:ascii="Times New Roman" w:hAnsi="Times New Roman" w:cs="Times New Roman" w:eastAsiaTheme="minorHAnsi"/>
                <w:b/>
                <w:bCs/>
                <w:color w:val="000000" w:themeColor="text1"/>
                <w:sz w:val="20"/>
                <w:szCs w:val="20"/>
                <w:lang w:val="en-GB"/>
              </w:rPr>
            </w:pPr>
            <w:r w:rsidRPr="00E33C71">
              <w:rPr>
                <w:rFonts w:ascii="Times New Roman" w:hAnsi="Times New Roman" w:cs="Times New Roman" w:eastAsiaTheme="minorHAnsi"/>
                <w:b/>
                <w:bCs/>
                <w:color w:val="000000" w:themeColor="text1"/>
                <w:sz w:val="20"/>
                <w:szCs w:val="20"/>
                <w:lang w:val="en-GB"/>
              </w:rPr>
              <w:t>Operational requirements to entry or expansion</w:t>
            </w:r>
          </w:p>
          <w:p w:rsidRPr="005F5507" w:rsidR="003600C0" w:rsidP="003600C0" w:rsidRDefault="003600C0" w14:paraId="178D87DE" w14:textId="77777777">
            <w:pPr>
              <w:rPr>
                <w:rFonts w:ascii="Times New Roman" w:hAnsi="Times New Roman" w:cs="Times New Roman" w:eastAsiaTheme="minorHAnsi"/>
                <w:color w:val="000000" w:themeColor="text1"/>
                <w:sz w:val="20"/>
                <w:szCs w:val="20"/>
                <w:lang w:val="en-GB"/>
              </w:rPr>
            </w:pPr>
          </w:p>
          <w:p w:rsidRPr="005F5507" w:rsidR="003600C0" w:rsidP="003600C0" w:rsidRDefault="003600C0" w14:paraId="2BA214F5"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For lending, take into account the associated RWAs (reported in Q.17). </w:t>
            </w:r>
          </w:p>
          <w:p w:rsidRPr="005F5507" w:rsidR="003600C0" w:rsidP="003600C0" w:rsidRDefault="003600C0" w14:paraId="040AD585"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This indicator has to be reported in buckets, which are the same for each sub-function: </w:t>
            </w:r>
          </w:p>
          <w:p w:rsidRPr="005F5507" w:rsidR="003600C0" w:rsidP="00CB3292" w:rsidRDefault="003600C0" w14:paraId="2EAE12FA"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L: no  major requirements, </w:t>
            </w:r>
          </w:p>
          <w:p w:rsidRPr="005F5507" w:rsidR="003600C0" w:rsidP="00CB3292" w:rsidRDefault="003600C0" w14:paraId="671ADB7B"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ML: some requirements, </w:t>
            </w:r>
          </w:p>
          <w:p w:rsidRPr="005F5507" w:rsidR="003600C0" w:rsidP="00CB3292" w:rsidRDefault="003600C0" w14:paraId="0C62F5A6"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 xml:space="preserve">MH: substantial (but surmountable) requirements, </w:t>
            </w:r>
          </w:p>
          <w:p w:rsidRPr="005F5507" w:rsidR="003600C0" w:rsidP="00CB3292" w:rsidRDefault="003600C0" w14:paraId="4B768D5D" w14:textId="77777777">
            <w:pPr>
              <w:pStyle w:val="ListParagraph"/>
              <w:numPr>
                <w:ilvl w:val="0"/>
                <w:numId w:val="278"/>
              </w:numPr>
              <w:jc w:val="both"/>
              <w:rPr>
                <w:rFonts w:ascii="Times New Roman" w:hAnsi="Times New Roman" w:eastAsiaTheme="minorHAnsi"/>
                <w:color w:val="000000" w:themeColor="text1"/>
                <w:sz w:val="20"/>
                <w:szCs w:val="20"/>
              </w:rPr>
            </w:pPr>
            <w:r w:rsidRPr="005F5507">
              <w:rPr>
                <w:rFonts w:ascii="Times New Roman" w:hAnsi="Times New Roman" w:eastAsiaTheme="minorHAnsi"/>
                <w:color w:val="000000" w:themeColor="text1"/>
                <w:sz w:val="20"/>
                <w:szCs w:val="20"/>
              </w:rPr>
              <w:t>H: critical (difficult to surmount) requirements.</w:t>
            </w:r>
          </w:p>
          <w:p w:rsidRPr="005F5507" w:rsidR="003600C0" w:rsidP="003600C0" w:rsidRDefault="003600C0" w14:paraId="1E19FB22" w14:textId="77777777">
            <w:pPr>
              <w:rPr>
                <w:rFonts w:ascii="Times New Roman" w:hAnsi="Times New Roman" w:cs="Times New Roman" w:eastAsiaTheme="minorHAnsi"/>
                <w:color w:val="000000" w:themeColor="text1"/>
                <w:sz w:val="20"/>
                <w:szCs w:val="20"/>
                <w:lang w:val="en-GB"/>
              </w:rPr>
            </w:pPr>
          </w:p>
        </w:tc>
      </w:tr>
      <w:tr w:rsidRPr="008E4D28" w:rsidR="00DE7AE2" w:rsidTr="00DE7AE2" w14:paraId="7DD92BE1" w14:textId="77777777">
        <w:tc>
          <w:tcPr>
            <w:tcW w:w="1080" w:type="dxa"/>
            <w:tcBorders>
              <w:top w:val="single" w:color="1A171C" w:sz="4" w:space="0"/>
              <w:left w:val="nil"/>
              <w:bottom w:val="single" w:color="1A171C" w:sz="4" w:space="0"/>
              <w:right w:val="single" w:color="1A171C" w:sz="4" w:space="0"/>
            </w:tcBorders>
            <w:vAlign w:val="center"/>
          </w:tcPr>
          <w:p w:rsidRPr="008E4D28" w:rsidR="00DE7AE2" w:rsidDel="00F3471B" w:rsidP="00DE7AE2" w:rsidRDefault="002A69E3" w14:paraId="04796699" w14:textId="0289E13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0160</w:t>
            </w:r>
            <w:r w:rsidR="00FF0134">
              <w:rPr>
                <w:rFonts w:ascii="Times New Roman" w:hAnsi="Times New Roman" w:eastAsia="Cambria" w:cs="Times New Roman"/>
                <w:color w:val="000000" w:themeColor="text1"/>
                <w:spacing w:val="-2"/>
                <w:w w:val="95"/>
                <w:sz w:val="20"/>
                <w:szCs w:val="20"/>
                <w:lang w:val="en-GB"/>
              </w:rPr>
              <w:t xml:space="preserve"> - 0180</w:t>
            </w:r>
          </w:p>
        </w:tc>
        <w:tc>
          <w:tcPr>
            <w:tcW w:w="8003" w:type="dxa"/>
            <w:tcBorders>
              <w:top w:val="single" w:color="1A171C" w:sz="4" w:space="0"/>
              <w:left w:val="single" w:color="1A171C" w:sz="4" w:space="0"/>
              <w:bottom w:val="single" w:color="1A171C" w:sz="4" w:space="0"/>
              <w:right w:val="nil"/>
            </w:tcBorders>
            <w:vAlign w:val="center"/>
          </w:tcPr>
          <w:p w:rsidRPr="00DE7AE2" w:rsidR="00DE7AE2" w:rsidP="00DE7AE2" w:rsidRDefault="00DE7AE2" w14:paraId="4061AA90" w14:textId="77777777">
            <w:pPr>
              <w:rPr>
                <w:rFonts w:ascii="Times New Roman" w:hAnsi="Times New Roman" w:cs="Times New Roman" w:eastAsiaTheme="minorHAnsi"/>
                <w:b/>
                <w:bCs/>
                <w:color w:val="000000" w:themeColor="text1"/>
                <w:sz w:val="20"/>
                <w:szCs w:val="20"/>
                <w:lang w:val="en-GB"/>
              </w:rPr>
            </w:pPr>
            <w:r w:rsidRPr="00DE7AE2">
              <w:rPr>
                <w:rFonts w:ascii="Times New Roman" w:hAnsi="Times New Roman" w:cs="Times New Roman" w:eastAsiaTheme="minorHAnsi"/>
                <w:b/>
                <w:bCs/>
                <w:color w:val="000000" w:themeColor="text1"/>
                <w:sz w:val="20"/>
                <w:szCs w:val="20"/>
                <w:lang w:val="en-GB"/>
              </w:rPr>
              <w:t>Criticality Assessment</w:t>
            </w:r>
          </w:p>
        </w:tc>
      </w:tr>
      <w:tr w:rsidRPr="008E4D28" w:rsidR="00DE7AE2" w:rsidTr="00DE7AE2" w14:paraId="246D7AC5" w14:textId="77777777">
        <w:tc>
          <w:tcPr>
            <w:tcW w:w="1080" w:type="dxa"/>
            <w:tcBorders>
              <w:top w:val="single" w:color="1A171C" w:sz="4" w:space="0"/>
              <w:left w:val="nil"/>
              <w:bottom w:val="single" w:color="1A171C" w:sz="4" w:space="0"/>
              <w:right w:val="single" w:color="1A171C" w:sz="4" w:space="0"/>
            </w:tcBorders>
            <w:vAlign w:val="center"/>
          </w:tcPr>
          <w:p w:rsidRPr="008E4D28" w:rsidR="00DE7AE2" w:rsidDel="00F3471B" w:rsidP="00DE7AE2" w:rsidRDefault="002A69E3" w14:paraId="0F754137" w14:textId="776EDE78">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FF0134">
              <w:rPr>
                <w:rFonts w:ascii="Times New Roman" w:hAnsi="Times New Roman" w:eastAsia="Cambria" w:cs="Times New Roman"/>
                <w:color w:val="000000" w:themeColor="text1"/>
                <w:spacing w:val="-2"/>
                <w:w w:val="95"/>
                <w:sz w:val="20"/>
                <w:szCs w:val="20"/>
                <w:lang w:val="en-GB"/>
              </w:rPr>
              <w:t>6</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FF0134" w:rsidR="00DE7AE2" w:rsidP="00DE7AE2" w:rsidRDefault="00DE7AE2" w14:paraId="205392CE" w14:textId="77777777">
            <w:pPr>
              <w:rPr>
                <w:rFonts w:ascii="Times New Roman" w:hAnsi="Times New Roman" w:cs="Times New Roman" w:eastAsiaTheme="minorHAnsi"/>
                <w:b/>
                <w:bCs/>
                <w:color w:val="000000" w:themeColor="text1"/>
                <w:sz w:val="20"/>
                <w:szCs w:val="20"/>
                <w:lang w:val="en-GB"/>
              </w:rPr>
            </w:pPr>
            <w:r w:rsidRPr="00FF0134">
              <w:rPr>
                <w:rFonts w:ascii="Times New Roman" w:hAnsi="Times New Roman" w:cs="Times New Roman" w:eastAsiaTheme="minorHAnsi"/>
                <w:b/>
                <w:bCs/>
                <w:color w:val="000000" w:themeColor="text1"/>
                <w:sz w:val="20"/>
                <w:szCs w:val="20"/>
                <w:lang w:val="en-GB"/>
              </w:rPr>
              <w:t xml:space="preserve">Impact on market </w:t>
            </w:r>
          </w:p>
          <w:p w:rsidRPr="005F5507" w:rsidR="00DE7AE2" w:rsidP="00DE7AE2" w:rsidRDefault="00DE7AE2" w14:paraId="4133A8AD"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p>
          <w:p w:rsidRPr="005F5507" w:rsidR="00DE7AE2" w:rsidP="00DE7AE2" w:rsidRDefault="00DE7AE2" w14:paraId="75DAC565"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This assessment shall be expressed qualitatively as ‘High (H)’, ‘Medium-High (MH)’, ‘Medium-Low (ML)’ or Low (L)’.</w:t>
            </w:r>
          </w:p>
          <w:p w:rsidRPr="005F5507" w:rsidR="00DE7AE2" w:rsidP="00DE7AE2" w:rsidRDefault="00DE7AE2" w14:paraId="64D397A5"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‘H’ shall be selected if the discontinuation has a major impact on the national market; ‘MH’ if the impact is significant; ‘ML’ if the impact is material, but limited; and ‘L’ if the impact is low.</w:t>
            </w:r>
          </w:p>
        </w:tc>
      </w:tr>
      <w:tr w:rsidRPr="008E4D28" w:rsidR="00DE7AE2" w:rsidTr="00DE7AE2" w14:paraId="22278E41" w14:textId="77777777">
        <w:tc>
          <w:tcPr>
            <w:tcW w:w="1080" w:type="dxa"/>
            <w:tcBorders>
              <w:top w:val="single" w:color="1A171C" w:sz="4" w:space="0"/>
              <w:left w:val="nil"/>
              <w:bottom w:val="single" w:color="1A171C" w:sz="4" w:space="0"/>
              <w:right w:val="single" w:color="1A171C" w:sz="4" w:space="0"/>
            </w:tcBorders>
            <w:vAlign w:val="center"/>
          </w:tcPr>
          <w:p w:rsidRPr="008E4D28" w:rsidR="00DE7AE2" w:rsidDel="00F3471B" w:rsidP="00DE7AE2" w:rsidRDefault="002A69E3" w14:paraId="170BABA4" w14:textId="4F1712A6">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w:t>
            </w:r>
            <w:r w:rsidR="00FF0134">
              <w:rPr>
                <w:rFonts w:ascii="Times New Roman" w:hAnsi="Times New Roman" w:eastAsia="Cambria" w:cs="Times New Roman"/>
                <w:color w:val="000000" w:themeColor="text1"/>
                <w:spacing w:val="-2"/>
                <w:w w:val="95"/>
                <w:sz w:val="20"/>
                <w:szCs w:val="20"/>
                <w:lang w:val="en-GB"/>
              </w:rPr>
              <w:t>7</w:t>
            </w:r>
            <w:r>
              <w:rPr>
                <w:rFonts w:ascii="Times New Roman" w:hAnsi="Times New Roman" w:eastAsia="Cambria" w:cs="Times New Roman"/>
                <w:color w:val="000000" w:themeColor="text1"/>
                <w:spacing w:val="-2"/>
                <w:w w:val="95"/>
                <w:sz w:val="20"/>
                <w:szCs w:val="20"/>
                <w:lang w:val="en-GB"/>
              </w:rPr>
              <w:t>0</w:t>
            </w:r>
          </w:p>
        </w:tc>
        <w:tc>
          <w:tcPr>
            <w:tcW w:w="8003" w:type="dxa"/>
            <w:tcBorders>
              <w:top w:val="single" w:color="1A171C" w:sz="4" w:space="0"/>
              <w:left w:val="single" w:color="1A171C" w:sz="4" w:space="0"/>
              <w:bottom w:val="single" w:color="1A171C" w:sz="4" w:space="0"/>
              <w:right w:val="nil"/>
            </w:tcBorders>
            <w:vAlign w:val="center"/>
          </w:tcPr>
          <w:p w:rsidRPr="002A69E3" w:rsidR="00DE7AE2" w:rsidP="00DE7AE2" w:rsidRDefault="00DE7AE2" w14:paraId="35C45E6A" w14:textId="77777777">
            <w:pPr>
              <w:rPr>
                <w:rFonts w:ascii="Times New Roman" w:hAnsi="Times New Roman" w:cs="Times New Roman" w:eastAsiaTheme="minorHAnsi"/>
                <w:b/>
                <w:bCs/>
                <w:color w:val="000000" w:themeColor="text1"/>
                <w:sz w:val="20"/>
                <w:szCs w:val="20"/>
                <w:lang w:val="en-GB"/>
              </w:rPr>
            </w:pPr>
            <w:r w:rsidRPr="002A69E3">
              <w:rPr>
                <w:rFonts w:ascii="Times New Roman" w:hAnsi="Times New Roman" w:cs="Times New Roman" w:eastAsiaTheme="minorHAnsi"/>
                <w:b/>
                <w:bCs/>
                <w:color w:val="000000" w:themeColor="text1"/>
                <w:sz w:val="20"/>
                <w:szCs w:val="20"/>
                <w:lang w:val="en-GB"/>
              </w:rPr>
              <w:t>Substitutability</w:t>
            </w:r>
          </w:p>
          <w:p w:rsidRPr="005F5507" w:rsidR="00DE7AE2" w:rsidP="00DE7AE2" w:rsidRDefault="00DE7AE2" w14:paraId="4966C5F3"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Article 6(3) of Delegated regulation (EU) 2016/778.</w:t>
            </w:r>
          </w:p>
          <w:p w:rsidRPr="005F5507" w:rsidR="00DE7AE2" w:rsidP="00DE7AE2" w:rsidRDefault="00DE7AE2" w14:paraId="06C4D306"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A function is considered substitutable where it can be replaced in an acceptable manner and within a reasonable timeframe thereby avoiding systemic problems for the real economy and the financial markets. The following shall be taken into account:</w:t>
            </w:r>
          </w:p>
          <w:p w:rsidRPr="005F5507" w:rsidR="00DE7AE2" w:rsidP="00DE7AE2" w:rsidRDefault="00DE7AE2" w14:paraId="47E03531"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(a) the structure of the market for that function and the availability of substitute providers; </w:t>
            </w:r>
          </w:p>
          <w:p w:rsidRPr="005F5507" w:rsidR="00DE7AE2" w:rsidP="00DE7AE2" w:rsidRDefault="00DE7AE2" w14:paraId="7F65727D"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(b) the ability of other providers in terms of capacity, the requirements for performing the function, and potential barriers to entry or expansion; </w:t>
            </w:r>
          </w:p>
          <w:p w:rsidRPr="005F5507" w:rsidR="00DE7AE2" w:rsidP="00DE7AE2" w:rsidRDefault="00DE7AE2" w14:paraId="71E60F82"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(c) the incentive of other providers to take on these activities; </w:t>
            </w:r>
          </w:p>
          <w:p w:rsidRPr="005F5507" w:rsidR="00DE7AE2" w:rsidP="00DE7AE2" w:rsidRDefault="00DE7AE2" w14:paraId="21EDCFDC"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p>
          <w:p w:rsidRPr="005F5507" w:rsidR="00DE7AE2" w:rsidP="00DE7AE2" w:rsidRDefault="00DE7AE2" w14:paraId="3B4BF879"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t>
            </w:r>
          </w:p>
          <w:p w:rsidRPr="005F5507" w:rsidR="00DE7AE2" w:rsidP="00DE7AE2" w:rsidRDefault="00DE7AE2" w14:paraId="6C8813B8"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‘H’ shall be selected if a function can easily be provided by another bank under comparable conditions within a reasonable timeframe;</w:t>
            </w:r>
          </w:p>
          <w:p w:rsidRPr="005F5507" w:rsidR="00DE7AE2" w:rsidP="00DE7AE2" w:rsidRDefault="00DE7AE2" w14:paraId="3B696AE9"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 xml:space="preserve">‘L’ if  a function cannot be easily or rapidly substituted; </w:t>
            </w:r>
          </w:p>
          <w:p w:rsidRPr="005F5507" w:rsidR="00DE7AE2" w:rsidP="00DE7AE2" w:rsidRDefault="00DE7AE2" w14:paraId="56374A3B"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‘MH’ and ‘ML’ for intermediate cases taking into account different dimensions (e.g. market share, market concentration, time to substitution, as well as legal barriers to and operational requirements for entry or expansion).</w:t>
            </w:r>
          </w:p>
        </w:tc>
      </w:tr>
      <w:tr w:rsidRPr="008E4D28" w:rsidR="00DE7AE2" w:rsidTr="00DE7AE2" w14:paraId="78F73213" w14:textId="77777777">
        <w:tc>
          <w:tcPr>
            <w:tcW w:w="1080" w:type="dxa"/>
            <w:tcBorders>
              <w:top w:val="single" w:color="1A171C" w:sz="4" w:space="0"/>
              <w:left w:val="nil"/>
              <w:bottom w:val="single" w:color="1A171C" w:sz="4" w:space="0"/>
              <w:right w:val="single" w:color="1A171C" w:sz="4" w:space="0"/>
            </w:tcBorders>
            <w:vAlign w:val="center"/>
          </w:tcPr>
          <w:p w:rsidRPr="00D43D39" w:rsidR="00DE7AE2" w:rsidP="00DE7AE2" w:rsidRDefault="002A69E3" w14:paraId="62891EC4" w14:textId="284E8F56">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0190</w:t>
            </w:r>
          </w:p>
        </w:tc>
        <w:tc>
          <w:tcPr>
            <w:tcW w:w="8003" w:type="dxa"/>
            <w:tcBorders>
              <w:top w:val="single" w:color="1A171C" w:sz="4" w:space="0"/>
              <w:left w:val="single" w:color="1A171C" w:sz="4" w:space="0"/>
              <w:bottom w:val="single" w:color="1A171C" w:sz="4" w:space="0"/>
              <w:right w:val="nil"/>
            </w:tcBorders>
            <w:vAlign w:val="center"/>
          </w:tcPr>
          <w:p w:rsidRPr="002A69E3" w:rsidR="00DE7AE2" w:rsidP="00DE7AE2" w:rsidRDefault="00DE7AE2" w14:paraId="416E2629" w14:textId="77777777">
            <w:pPr>
              <w:rPr>
                <w:rFonts w:ascii="Times New Roman" w:hAnsi="Times New Roman" w:cs="Times New Roman" w:eastAsiaTheme="minorHAnsi"/>
                <w:b/>
                <w:bCs/>
                <w:color w:val="000000" w:themeColor="text1"/>
                <w:sz w:val="20"/>
                <w:szCs w:val="20"/>
                <w:lang w:val="en-GB"/>
              </w:rPr>
            </w:pPr>
            <w:r w:rsidRPr="002A69E3">
              <w:rPr>
                <w:rFonts w:ascii="Times New Roman" w:hAnsi="Times New Roman" w:cs="Times New Roman" w:eastAsiaTheme="minorHAnsi"/>
                <w:b/>
                <w:bCs/>
                <w:color w:val="000000" w:themeColor="text1"/>
                <w:sz w:val="20"/>
                <w:szCs w:val="20"/>
                <w:lang w:val="en-GB"/>
              </w:rPr>
              <w:t>Critical Function</w:t>
            </w:r>
          </w:p>
          <w:p w:rsidRPr="005F5507" w:rsidR="00DE7AE2" w:rsidP="00DE7AE2" w:rsidRDefault="00DE7AE2" w14:paraId="39BACE62"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In this column it shall be reported whether, taking into account the impact and substitutability analysis performed by the institution, the economic function is considered to be critical in the market for the relevant country.</w:t>
            </w:r>
          </w:p>
          <w:p w:rsidRPr="005F5507" w:rsidR="00DE7AE2" w:rsidP="00DE7AE2" w:rsidRDefault="00DE7AE2" w14:paraId="4E8C571F"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Report ‘Yes’ or ‘No’</w:t>
            </w:r>
          </w:p>
        </w:tc>
      </w:tr>
      <w:tr w:rsidRPr="008E4D28" w:rsidR="00DE7AE2" w:rsidTr="00DE7AE2" w14:paraId="336B1DC9" w14:textId="77777777">
        <w:tc>
          <w:tcPr>
            <w:tcW w:w="1080" w:type="dxa"/>
            <w:tcBorders>
              <w:top w:val="single" w:color="1A171C" w:sz="4" w:space="0"/>
              <w:left w:val="nil"/>
              <w:bottom w:val="single" w:color="1A171C" w:sz="4" w:space="0"/>
              <w:right w:val="single" w:color="1A171C" w:sz="4" w:space="0"/>
            </w:tcBorders>
            <w:vAlign w:val="center"/>
          </w:tcPr>
          <w:p w:rsidRPr="00D43D39" w:rsidR="00DE7AE2" w:rsidDel="005B562A" w:rsidP="00DE7AE2" w:rsidRDefault="002A69E3" w14:paraId="3E48FFBC" w14:textId="31B7855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eastAsia="Cambria" w:cs="Times New Roman"/>
                <w:color w:val="000000" w:themeColor="text1"/>
                <w:spacing w:val="-2"/>
                <w:w w:val="95"/>
                <w:sz w:val="20"/>
                <w:szCs w:val="20"/>
                <w:lang w:val="en-GB"/>
              </w:rPr>
              <w:t>0200</w:t>
            </w:r>
          </w:p>
        </w:tc>
        <w:tc>
          <w:tcPr>
            <w:tcW w:w="8003" w:type="dxa"/>
            <w:tcBorders>
              <w:top w:val="single" w:color="1A171C" w:sz="4" w:space="0"/>
              <w:left w:val="single" w:color="1A171C" w:sz="4" w:space="0"/>
              <w:bottom w:val="single" w:color="1A171C" w:sz="4" w:space="0"/>
              <w:right w:val="nil"/>
            </w:tcBorders>
            <w:vAlign w:val="center"/>
          </w:tcPr>
          <w:p w:rsidRPr="002A69E3" w:rsidR="00DE7AE2" w:rsidP="00DE7AE2" w:rsidRDefault="00DE7AE2" w14:paraId="11879A74" w14:textId="77777777">
            <w:pPr>
              <w:rPr>
                <w:rFonts w:ascii="Times New Roman" w:hAnsi="Times New Roman" w:cs="Times New Roman" w:eastAsiaTheme="minorHAnsi"/>
                <w:b/>
                <w:bCs/>
                <w:color w:val="000000" w:themeColor="text1"/>
                <w:sz w:val="20"/>
                <w:szCs w:val="20"/>
                <w:lang w:val="en-GB"/>
              </w:rPr>
            </w:pPr>
            <w:r w:rsidRPr="002A69E3">
              <w:rPr>
                <w:rFonts w:ascii="Times New Roman" w:hAnsi="Times New Roman" w:cs="Times New Roman" w:eastAsiaTheme="minorHAnsi"/>
                <w:b/>
                <w:bCs/>
                <w:color w:val="000000" w:themeColor="text1"/>
                <w:sz w:val="20"/>
                <w:szCs w:val="20"/>
                <w:lang w:val="en-GB"/>
              </w:rPr>
              <w:t>Comments from the Group</w:t>
            </w:r>
          </w:p>
          <w:p w:rsidRPr="005F5507" w:rsidR="00DE7AE2" w:rsidP="00DE7AE2" w:rsidRDefault="00DE7AE2" w14:paraId="1A3D0EBD" w14:textId="77777777">
            <w:pPr>
              <w:rPr>
                <w:rFonts w:ascii="Times New Roman" w:hAnsi="Times New Roman" w:cs="Times New Roman" w:eastAsiaTheme="minorHAnsi"/>
                <w:color w:val="000000" w:themeColor="text1"/>
                <w:sz w:val="20"/>
                <w:szCs w:val="20"/>
                <w:lang w:val="en-GB"/>
              </w:rPr>
            </w:pPr>
            <w:r w:rsidRPr="005F5507">
              <w:rPr>
                <w:rFonts w:ascii="Times New Roman" w:hAnsi="Times New Roman" w:cs="Times New Roman" w:eastAsiaTheme="minorHAnsi"/>
                <w:color w:val="000000" w:themeColor="text1"/>
                <w:sz w:val="20"/>
                <w:szCs w:val="20"/>
                <w:lang w:val="en-GB"/>
              </w:rPr>
              <w:t>This field enables the reporting entity to explain any assumptions used in assessing the criticality of the function(s) reported.</w:t>
            </w:r>
          </w:p>
        </w:tc>
      </w:tr>
    </w:tbl>
    <w:p w:rsidRPr="00D43D39" w:rsidR="000F45EA" w:rsidP="0056559D" w:rsidRDefault="000F45EA" w14:paraId="76E03A05" w14:textId="77777777">
      <w:pPr>
        <w:rPr>
          <w:rFonts w:ascii="Times New Roman" w:hAnsi="Times New Roman" w:cs="Times New Roman"/>
          <w:color w:val="000000" w:themeColor="text1"/>
          <w:sz w:val="20"/>
          <w:szCs w:val="20"/>
          <w:lang w:val="en-GB"/>
        </w:rPr>
      </w:pPr>
    </w:p>
    <w:p w:rsidRPr="005F5507" w:rsidR="5E2F2DB1" w:rsidRDefault="5E2F2DB1" w14:paraId="7445CD17" w14:textId="32AA0816">
      <w:pPr>
        <w:rPr>
          <w:rFonts w:ascii="Times New Roman" w:hAnsi="Times New Roman" w:cs="Times New Roman"/>
        </w:rPr>
      </w:pPr>
    </w:p>
    <w:p w:rsidRPr="00D43D39" w:rsidR="00BF4FED" w:rsidP="001C34E8" w:rsidRDefault="5D4D90EB" w14:paraId="1C94B0E0" w14:textId="773013EE">
      <w:pPr>
        <w:pStyle w:val="Instructionsberschrift2"/>
        <w:numPr>
          <w:ilvl w:val="1"/>
          <w:numId w:val="49"/>
        </w:numPr>
        <w:ind w:left="357" w:hanging="357"/>
        <w:rPr>
          <w:rFonts w:ascii="Times New Roman" w:hAnsi="Times New Roman" w:cs="Times New Roman"/>
        </w:rPr>
      </w:pPr>
      <w:bookmarkStart w:name="_Toc172732238" w:id="112"/>
      <w:r w:rsidRPr="00D43D39">
        <w:rPr>
          <w:rFonts w:ascii="Times New Roman" w:hAnsi="Times New Roman" w:cs="Times New Roman"/>
        </w:rPr>
        <w:t>Z 0</w:t>
      </w:r>
      <w:r w:rsidRPr="00D43D39" w:rsidR="4DBBE7FF">
        <w:rPr>
          <w:rFonts w:ascii="Times New Roman" w:hAnsi="Times New Roman" w:cs="Times New Roman"/>
        </w:rPr>
        <w:t>7</w:t>
      </w:r>
      <w:r w:rsidRPr="00D43D39" w:rsidR="7D43F9C9">
        <w:rPr>
          <w:rFonts w:ascii="Times New Roman" w:hAnsi="Times New Roman" w:cs="Times New Roman"/>
        </w:rPr>
        <w:t xml:space="preserve">.02 - Mapping of </w:t>
      </w:r>
      <w:r w:rsidRPr="00D43D39" w:rsidR="00AC25B8">
        <w:rPr>
          <w:rFonts w:ascii="Times New Roman" w:hAnsi="Times New Roman" w:cs="Times New Roman"/>
        </w:rPr>
        <w:t xml:space="preserve">economic </w:t>
      </w:r>
      <w:r w:rsidRPr="00D43D39" w:rsidR="7D43F9C9">
        <w:rPr>
          <w:rFonts w:ascii="Times New Roman" w:hAnsi="Times New Roman" w:cs="Times New Roman"/>
        </w:rPr>
        <w:t>functions</w:t>
      </w:r>
      <w:r w:rsidRPr="00D43D39" w:rsidR="21D7C07B">
        <w:rPr>
          <w:rFonts w:ascii="Times New Roman" w:hAnsi="Times New Roman" w:cs="Times New Roman"/>
        </w:rPr>
        <w:t xml:space="preserve"> </w:t>
      </w:r>
      <w:r w:rsidRPr="00D43D39" w:rsidR="046647FA">
        <w:rPr>
          <w:rFonts w:ascii="Times New Roman" w:hAnsi="Times New Roman" w:cs="Times New Roman"/>
        </w:rPr>
        <w:t>to legal entities</w:t>
      </w:r>
      <w:r w:rsidRPr="00D43D39" w:rsidR="7D43F9C9">
        <w:rPr>
          <w:rFonts w:ascii="Times New Roman" w:hAnsi="Times New Roman" w:cs="Times New Roman"/>
        </w:rPr>
        <w:t xml:space="preserve"> (FUNC 2)</w:t>
      </w:r>
      <w:bookmarkEnd w:id="112"/>
      <w:r w:rsidRPr="00D43D39" w:rsidR="21D7C07B">
        <w:rPr>
          <w:rFonts w:ascii="Times New Roman" w:hAnsi="Times New Roman" w:cs="Times New Roman"/>
        </w:rPr>
        <w:t xml:space="preserve"> </w:t>
      </w:r>
    </w:p>
    <w:p w:rsidRPr="00D43D39" w:rsidR="0056559D" w:rsidP="001C34E8" w:rsidRDefault="79586C8C" w14:paraId="625EAD53" w14:textId="492B48CD">
      <w:pPr>
        <w:pStyle w:val="Instructionsberschrift3"/>
        <w:rPr>
          <w:color w:val="auto"/>
          <w:lang w:val="en-GB"/>
        </w:rPr>
      </w:pPr>
      <w:r w:rsidRPr="00D43D39">
        <w:rPr>
          <w:b/>
          <w:bCs/>
        </w:rPr>
        <w:t>Instructions</w:t>
      </w:r>
      <w:r w:rsidRPr="00D43D39" w:rsidR="21D7C07B">
        <w:rPr>
          <w:b/>
          <w:bCs/>
          <w:color w:val="auto"/>
          <w:lang w:val="en-GB"/>
        </w:rPr>
        <w:t xml:space="preserve"> concerning specific positions</w:t>
      </w:r>
    </w:p>
    <w:p w:rsidRPr="00D43D39" w:rsidR="00517C03" w:rsidP="005F5507" w:rsidRDefault="7213EB13" w14:paraId="652C2EAE" w14:textId="0A79908B">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This template shall be reported for the entire group</w:t>
      </w:r>
      <w:r w:rsidRPr="00D43D39" w:rsidR="00BF0B6A">
        <w:rPr>
          <w:rFonts w:ascii="Times New Roman" w:hAnsi="Times New Roman" w:cs="Times New Roman"/>
          <w:sz w:val="20"/>
          <w:szCs w:val="20"/>
          <w:lang w:val="en-GB"/>
        </w:rPr>
        <w:t xml:space="preserve"> and considering the economic functions that the Group is providing to the economy.</w:t>
      </w:r>
    </w:p>
    <w:p w:rsidRPr="00D43D39" w:rsidR="00517C03" w:rsidP="005F5507" w:rsidRDefault="7A971A49" w14:paraId="6B07A7C5"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The combination of values reported in columns </w:t>
      </w:r>
      <w:r w:rsidRPr="00D43D39" w:rsidR="5BB1E467">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010, </w:t>
      </w:r>
      <w:r w:rsidRPr="00D43D39" w:rsidR="5BB1E467">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020 and </w:t>
      </w:r>
      <w:r w:rsidRPr="00D43D39" w:rsidR="5BB1E467">
        <w:rPr>
          <w:rFonts w:ascii="Times New Roman" w:hAnsi="Times New Roman" w:cs="Times New Roman"/>
          <w:sz w:val="20"/>
          <w:szCs w:val="20"/>
          <w:lang w:val="en-GB"/>
        </w:rPr>
        <w:t>0</w:t>
      </w:r>
      <w:r w:rsidRPr="00D43D39">
        <w:rPr>
          <w:rFonts w:ascii="Times New Roman" w:hAnsi="Times New Roman" w:cs="Times New Roman"/>
          <w:sz w:val="20"/>
          <w:szCs w:val="20"/>
          <w:lang w:val="en-GB"/>
        </w:rPr>
        <w:t>040 of this template forms a primary key which has to be unique for each row of the template.</w:t>
      </w: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Pr="00D43D39" w:rsidR="00D22EB0" w:rsidTr="0A1E4F91" w14:paraId="34372F80" w14:textId="77777777">
        <w:tc>
          <w:tcPr>
            <w:tcW w:w="1191" w:type="dxa"/>
            <w:tcBorders>
              <w:top w:val="single" w:color="1A171C" w:sz="4" w:space="0"/>
              <w:left w:val="nil"/>
              <w:bottom w:val="single" w:color="1A171C" w:sz="4" w:space="0"/>
              <w:right w:val="single" w:color="1A171C" w:sz="4" w:space="0"/>
            </w:tcBorders>
            <w:shd w:val="clear" w:color="auto" w:fill="E4E5E5"/>
          </w:tcPr>
          <w:p w:rsidRPr="006167BA" w:rsidR="00517C03" w:rsidP="00772F88" w:rsidRDefault="00517C03" w14:paraId="1FBC1340"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Columns</w:t>
            </w:r>
          </w:p>
        </w:tc>
        <w:tc>
          <w:tcPr>
            <w:tcW w:w="7892" w:type="dxa"/>
            <w:tcBorders>
              <w:top w:val="single" w:color="1A171C" w:sz="4" w:space="0"/>
              <w:left w:val="single" w:color="1A171C" w:sz="4" w:space="0"/>
              <w:bottom w:val="single" w:color="1A171C" w:sz="4" w:space="0"/>
              <w:right w:val="nil"/>
            </w:tcBorders>
            <w:shd w:val="clear" w:color="auto" w:fill="E4E5E5"/>
          </w:tcPr>
          <w:p w:rsidRPr="00D43D39" w:rsidR="00517C03" w:rsidP="00772F88" w:rsidRDefault="00517C03" w14:paraId="0D3B3A45"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6049D9" w:rsidTr="0A1E4F91" w14:paraId="3689A59E" w14:textId="77777777">
        <w:tc>
          <w:tcPr>
            <w:tcW w:w="1191" w:type="dxa"/>
            <w:tcBorders>
              <w:top w:val="single" w:color="1A171C" w:sz="4" w:space="0"/>
              <w:left w:val="nil"/>
              <w:bottom w:val="single" w:color="1A171C" w:sz="4" w:space="0"/>
              <w:right w:val="single" w:color="1A171C" w:sz="4" w:space="0"/>
            </w:tcBorders>
            <w:vAlign w:val="center"/>
          </w:tcPr>
          <w:p w:rsidRPr="00D43D39" w:rsidR="006049D9" w:rsidP="00517C03" w:rsidRDefault="006049D9" w14:paraId="44261173"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0010 – 0020 </w:t>
            </w:r>
          </w:p>
        </w:tc>
        <w:tc>
          <w:tcPr>
            <w:tcW w:w="7892" w:type="dxa"/>
            <w:tcBorders>
              <w:top w:val="single" w:color="1A171C" w:sz="4" w:space="0"/>
              <w:left w:val="single" w:color="1A171C" w:sz="4" w:space="0"/>
              <w:bottom w:val="single" w:color="1A171C" w:sz="4" w:space="0"/>
              <w:right w:val="nil"/>
            </w:tcBorders>
            <w:vAlign w:val="center"/>
          </w:tcPr>
          <w:p w:rsidRPr="00D43D39" w:rsidR="006049D9" w:rsidP="008E0D4B" w:rsidRDefault="00684B07" w14:paraId="03783B5A" w14:textId="74AADA5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Economic</w:t>
            </w:r>
            <w:r w:rsidRPr="00D43D39" w:rsidR="006049D9">
              <w:rPr>
                <w:rFonts w:ascii="Times New Roman" w:hAnsi="Times New Roman" w:cs="Times New Roman"/>
                <w:b/>
                <w:bCs/>
                <w:color w:val="000000" w:themeColor="text1"/>
                <w:sz w:val="20"/>
                <w:szCs w:val="20"/>
                <w:lang w:val="en-GB"/>
              </w:rPr>
              <w:t xml:space="preserve"> function</w:t>
            </w:r>
          </w:p>
        </w:tc>
      </w:tr>
      <w:tr w:rsidRPr="00D43D39" w:rsidR="00D22EB0" w:rsidTr="0A1E4F91" w14:paraId="5B424F80" w14:textId="77777777">
        <w:tc>
          <w:tcPr>
            <w:tcW w:w="1191" w:type="dxa"/>
            <w:tcBorders>
              <w:top w:val="single" w:color="1A171C" w:sz="4" w:space="0"/>
              <w:left w:val="nil"/>
              <w:bottom w:val="single" w:color="1A171C" w:sz="4" w:space="0"/>
              <w:right w:val="single" w:color="1A171C" w:sz="4" w:space="0"/>
            </w:tcBorders>
            <w:vAlign w:val="center"/>
          </w:tcPr>
          <w:p w:rsidRPr="00D43D39" w:rsidR="00517C03" w:rsidP="00517C03" w:rsidRDefault="00517C03" w14:paraId="59A36188"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DF164D">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10</w:t>
            </w:r>
          </w:p>
        </w:tc>
        <w:tc>
          <w:tcPr>
            <w:tcW w:w="7892" w:type="dxa"/>
            <w:tcBorders>
              <w:top w:val="single" w:color="1A171C" w:sz="4" w:space="0"/>
              <w:left w:val="single" w:color="1A171C" w:sz="4" w:space="0"/>
              <w:bottom w:val="single" w:color="1A171C" w:sz="4" w:space="0"/>
              <w:right w:val="nil"/>
            </w:tcBorders>
            <w:vAlign w:val="center"/>
          </w:tcPr>
          <w:p w:rsidRPr="00D43D39" w:rsidR="00517C03" w:rsidP="008E0D4B" w:rsidRDefault="00F234EC" w14:paraId="6BE19504"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Country</w:t>
            </w:r>
          </w:p>
          <w:p w:rsidRPr="00D43D39" w:rsidR="00517C03" w:rsidP="00A7108C" w:rsidRDefault="00A7108C" w14:paraId="481EA8E6" w14:textId="20FB8F93">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The country </w:t>
            </w:r>
            <w:r w:rsidRPr="00D43D39" w:rsidR="008E0D4B">
              <w:rPr>
                <w:rFonts w:ascii="Times New Roman" w:hAnsi="Times New Roman" w:eastAsia="Cambria" w:cs="Times New Roman"/>
                <w:color w:val="000000" w:themeColor="text1"/>
                <w:spacing w:val="-2"/>
                <w:w w:val="95"/>
                <w:sz w:val="20"/>
                <w:szCs w:val="20"/>
                <w:lang w:val="en-GB"/>
              </w:rPr>
              <w:t>for</w:t>
            </w:r>
            <w:r w:rsidRPr="00D43D39" w:rsidR="00517C03">
              <w:rPr>
                <w:rFonts w:ascii="Times New Roman" w:hAnsi="Times New Roman" w:eastAsia="Cambria" w:cs="Times New Roman"/>
                <w:color w:val="000000" w:themeColor="text1"/>
                <w:spacing w:val="-2"/>
                <w:w w:val="95"/>
                <w:sz w:val="20"/>
                <w:szCs w:val="20"/>
                <w:lang w:val="en-GB"/>
              </w:rPr>
              <w:t xml:space="preserve"> which the </w:t>
            </w:r>
            <w:r w:rsidR="00F13886">
              <w:rPr>
                <w:rFonts w:ascii="Times New Roman" w:hAnsi="Times New Roman" w:eastAsia="Cambria" w:cs="Times New Roman"/>
                <w:color w:val="000000" w:themeColor="text1"/>
                <w:spacing w:val="-2"/>
                <w:w w:val="95"/>
                <w:sz w:val="20"/>
                <w:szCs w:val="20"/>
                <w:lang w:val="en-GB"/>
              </w:rPr>
              <w:t xml:space="preserve">economic </w:t>
            </w:r>
            <w:r w:rsidRPr="00D43D39" w:rsidR="00517C03">
              <w:rPr>
                <w:rFonts w:ascii="Times New Roman" w:hAnsi="Times New Roman" w:eastAsia="Cambria" w:cs="Times New Roman"/>
                <w:color w:val="000000" w:themeColor="text1"/>
                <w:spacing w:val="-2"/>
                <w:w w:val="95"/>
                <w:sz w:val="20"/>
                <w:szCs w:val="20"/>
                <w:lang w:val="en-GB"/>
              </w:rPr>
              <w:t xml:space="preserve">function is </w:t>
            </w:r>
            <w:r w:rsidR="00F13886">
              <w:rPr>
                <w:rFonts w:ascii="Times New Roman" w:hAnsi="Times New Roman" w:eastAsia="Cambria" w:cs="Times New Roman"/>
                <w:color w:val="000000" w:themeColor="text1"/>
                <w:spacing w:val="-2"/>
                <w:w w:val="95"/>
                <w:sz w:val="20"/>
                <w:szCs w:val="20"/>
                <w:lang w:val="en-GB"/>
              </w:rPr>
              <w:t>provided</w:t>
            </w:r>
          </w:p>
        </w:tc>
      </w:tr>
      <w:tr w:rsidRPr="00D43D39" w:rsidR="00D22EB0" w:rsidTr="0A1E4F91" w14:paraId="3FA7E073" w14:textId="77777777">
        <w:tc>
          <w:tcPr>
            <w:tcW w:w="1191" w:type="dxa"/>
            <w:tcBorders>
              <w:top w:val="single" w:color="1A171C" w:sz="4" w:space="0"/>
              <w:left w:val="nil"/>
              <w:bottom w:val="single" w:color="1A171C" w:sz="4" w:space="0"/>
              <w:right w:val="single" w:color="1A171C" w:sz="4" w:space="0"/>
            </w:tcBorders>
            <w:vAlign w:val="center"/>
          </w:tcPr>
          <w:p w:rsidRPr="00D43D39" w:rsidR="00517C03" w:rsidP="00517C03" w:rsidRDefault="00517C03" w14:paraId="19F0DA70"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DF164D">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20</w:t>
            </w:r>
          </w:p>
        </w:tc>
        <w:tc>
          <w:tcPr>
            <w:tcW w:w="7892" w:type="dxa"/>
            <w:tcBorders>
              <w:top w:val="single" w:color="1A171C" w:sz="4" w:space="0"/>
              <w:left w:val="single" w:color="1A171C" w:sz="4" w:space="0"/>
              <w:bottom w:val="single" w:color="1A171C" w:sz="4" w:space="0"/>
              <w:right w:val="nil"/>
            </w:tcBorders>
            <w:vAlign w:val="center"/>
          </w:tcPr>
          <w:p w:rsidRPr="00D43D39" w:rsidR="00517C03" w:rsidP="008E0D4B" w:rsidRDefault="00517C03" w14:paraId="47F8B49B" w14:textId="710882D0">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ID</w:t>
            </w:r>
          </w:p>
          <w:p w:rsidRPr="00D43D39" w:rsidR="00517C03" w:rsidP="00B940FC" w:rsidRDefault="00517C03" w14:paraId="2B3587CF" w14:textId="7033233D">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ID of the </w:t>
            </w:r>
            <w:r w:rsidRPr="00D43D39" w:rsidR="000B3F73">
              <w:rPr>
                <w:rFonts w:ascii="Times New Roman" w:hAnsi="Times New Roman" w:eastAsia="Cambria" w:cs="Times New Roman"/>
                <w:color w:val="000000" w:themeColor="text1"/>
                <w:spacing w:val="-2"/>
                <w:w w:val="95"/>
                <w:sz w:val="20"/>
                <w:szCs w:val="20"/>
                <w:lang w:val="en-GB"/>
              </w:rPr>
              <w:t xml:space="preserve">economic </w:t>
            </w:r>
            <w:r w:rsidRPr="00D43D39">
              <w:rPr>
                <w:rFonts w:ascii="Times New Roman" w:hAnsi="Times New Roman" w:eastAsia="Cambria" w:cs="Times New Roman"/>
                <w:color w:val="000000" w:themeColor="text1"/>
                <w:spacing w:val="-2"/>
                <w:w w:val="95"/>
                <w:sz w:val="20"/>
                <w:szCs w:val="20"/>
                <w:lang w:val="en-GB"/>
              </w:rPr>
              <w:t xml:space="preserve">functions </w:t>
            </w:r>
            <w:r w:rsidR="00F13886">
              <w:rPr>
                <w:rFonts w:ascii="Times New Roman" w:hAnsi="Times New Roman" w:eastAsia="Cambria" w:cs="Times New Roman"/>
                <w:color w:val="000000" w:themeColor="text1"/>
                <w:spacing w:val="-2"/>
                <w:w w:val="95"/>
                <w:sz w:val="20"/>
                <w:szCs w:val="20"/>
                <w:lang w:val="en-GB"/>
              </w:rPr>
              <w:t>(</w:t>
            </w:r>
            <w:r w:rsidRPr="00D43D39">
              <w:rPr>
                <w:rFonts w:ascii="Times New Roman" w:hAnsi="Times New Roman" w:eastAsia="Cambria" w:cs="Times New Roman"/>
                <w:color w:val="000000" w:themeColor="text1"/>
                <w:spacing w:val="-2"/>
                <w:w w:val="95"/>
                <w:sz w:val="20"/>
                <w:szCs w:val="20"/>
                <w:lang w:val="en-GB"/>
              </w:rPr>
              <w:t xml:space="preserve">as </w:t>
            </w:r>
            <w:r w:rsidRPr="00D43D39" w:rsidR="008E0D4B">
              <w:rPr>
                <w:rFonts w:ascii="Times New Roman" w:hAnsi="Times New Roman" w:eastAsia="Cambria" w:cs="Times New Roman"/>
                <w:color w:val="000000" w:themeColor="text1"/>
                <w:spacing w:val="-2"/>
                <w:w w:val="95"/>
                <w:sz w:val="20"/>
                <w:szCs w:val="20"/>
                <w:lang w:val="en-GB"/>
              </w:rPr>
              <w:t xml:space="preserve">referred to </w:t>
            </w:r>
            <w:r w:rsidRPr="00D43D39">
              <w:rPr>
                <w:rFonts w:ascii="Times New Roman" w:hAnsi="Times New Roman" w:eastAsia="Cambria" w:cs="Times New Roman"/>
                <w:color w:val="000000" w:themeColor="text1"/>
                <w:spacing w:val="-2"/>
                <w:w w:val="95"/>
                <w:sz w:val="20"/>
                <w:szCs w:val="20"/>
                <w:lang w:val="en-GB"/>
              </w:rPr>
              <w:t xml:space="preserve">in </w:t>
            </w:r>
            <w:r w:rsidRPr="00D43D39" w:rsidR="008E0D4B">
              <w:rPr>
                <w:rFonts w:ascii="Times New Roman" w:hAnsi="Times New Roman" w:eastAsia="Cambria" w:cs="Times New Roman"/>
                <w:color w:val="000000" w:themeColor="text1"/>
                <w:spacing w:val="-2"/>
                <w:w w:val="95"/>
                <w:sz w:val="20"/>
                <w:szCs w:val="20"/>
                <w:lang w:val="en-GB"/>
              </w:rPr>
              <w:t xml:space="preserve">template </w:t>
            </w:r>
            <w:r w:rsidRPr="00D43D39" w:rsidR="00F7117F">
              <w:rPr>
                <w:rFonts w:ascii="Times New Roman" w:hAnsi="Times New Roman" w:eastAsia="Cambria" w:cs="Times New Roman"/>
                <w:color w:val="000000" w:themeColor="text1"/>
                <w:spacing w:val="-2"/>
                <w:w w:val="95"/>
                <w:sz w:val="20"/>
                <w:szCs w:val="20"/>
                <w:lang w:val="en-GB"/>
              </w:rPr>
              <w:t>Z 0</w:t>
            </w:r>
            <w:r w:rsidRPr="00D43D39">
              <w:rPr>
                <w:rFonts w:ascii="Times New Roman" w:hAnsi="Times New Roman" w:eastAsia="Cambria" w:cs="Times New Roman"/>
                <w:color w:val="000000" w:themeColor="text1"/>
                <w:spacing w:val="-2"/>
                <w:w w:val="95"/>
                <w:sz w:val="20"/>
                <w:szCs w:val="20"/>
                <w:lang w:val="en-GB"/>
              </w:rPr>
              <w:t>7.01 (FUNC 1)</w:t>
            </w:r>
            <w:r w:rsidR="00F13886">
              <w:rPr>
                <w:rFonts w:ascii="Times New Roman" w:hAnsi="Times New Roman" w:eastAsia="Cambria" w:cs="Times New Roman"/>
                <w:color w:val="000000" w:themeColor="text1"/>
                <w:spacing w:val="-2"/>
                <w:w w:val="95"/>
                <w:sz w:val="20"/>
                <w:szCs w:val="20"/>
                <w:lang w:val="en-GB"/>
              </w:rPr>
              <w:t xml:space="preserve"> in the case of critical functions).</w:t>
            </w:r>
          </w:p>
        </w:tc>
      </w:tr>
      <w:tr w:rsidRPr="00D43D39" w:rsidR="006049D9" w:rsidTr="0A1E4F91" w14:paraId="7B6283D7" w14:textId="77777777">
        <w:tc>
          <w:tcPr>
            <w:tcW w:w="1191" w:type="dxa"/>
            <w:tcBorders>
              <w:top w:val="single" w:color="1A171C" w:sz="4" w:space="0"/>
              <w:left w:val="nil"/>
              <w:bottom w:val="single" w:color="1A171C" w:sz="4" w:space="0"/>
              <w:right w:val="single" w:color="1A171C" w:sz="4" w:space="0"/>
            </w:tcBorders>
            <w:vAlign w:val="center"/>
          </w:tcPr>
          <w:p w:rsidRPr="00D43D39" w:rsidR="006049D9" w:rsidP="00517C03" w:rsidRDefault="006049D9" w14:paraId="265A63DC"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0030 – 0040 </w:t>
            </w:r>
          </w:p>
        </w:tc>
        <w:tc>
          <w:tcPr>
            <w:tcW w:w="7892" w:type="dxa"/>
            <w:tcBorders>
              <w:top w:val="single" w:color="1A171C" w:sz="4" w:space="0"/>
              <w:left w:val="single" w:color="1A171C" w:sz="4" w:space="0"/>
              <w:bottom w:val="single" w:color="1A171C" w:sz="4" w:space="0"/>
              <w:right w:val="nil"/>
            </w:tcBorders>
            <w:vAlign w:val="center"/>
          </w:tcPr>
          <w:p w:rsidRPr="00D43D39" w:rsidR="006049D9" w:rsidP="008E0D4B" w:rsidRDefault="006049D9" w14:paraId="74B5BEB8"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Legal entity</w:t>
            </w:r>
          </w:p>
        </w:tc>
      </w:tr>
      <w:tr w:rsidRPr="00D43D39" w:rsidR="00D22EB0" w:rsidTr="0A1E4F91" w14:paraId="0C70CECC" w14:textId="77777777">
        <w:tc>
          <w:tcPr>
            <w:tcW w:w="1191" w:type="dxa"/>
            <w:tcBorders>
              <w:top w:val="single" w:color="1A171C" w:sz="4" w:space="0"/>
              <w:left w:val="nil"/>
              <w:bottom w:val="single" w:color="1A171C" w:sz="4" w:space="0"/>
              <w:right w:val="single" w:color="1A171C" w:sz="4" w:space="0"/>
            </w:tcBorders>
            <w:vAlign w:val="center"/>
          </w:tcPr>
          <w:p w:rsidRPr="00D43D39" w:rsidR="00517C03" w:rsidP="00517C03" w:rsidRDefault="00517C03" w14:paraId="0D68B7A2"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DF164D">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30</w:t>
            </w:r>
          </w:p>
        </w:tc>
        <w:tc>
          <w:tcPr>
            <w:tcW w:w="7892" w:type="dxa"/>
            <w:tcBorders>
              <w:top w:val="single" w:color="1A171C" w:sz="4" w:space="0"/>
              <w:left w:val="single" w:color="1A171C" w:sz="4" w:space="0"/>
              <w:bottom w:val="single" w:color="1A171C" w:sz="4" w:space="0"/>
              <w:right w:val="nil"/>
            </w:tcBorders>
            <w:vAlign w:val="center"/>
          </w:tcPr>
          <w:p w:rsidRPr="00D43D39" w:rsidR="00517C03" w:rsidP="008E0D4B" w:rsidRDefault="00517C03" w14:paraId="05598451"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Entity Name</w:t>
            </w:r>
          </w:p>
          <w:p w:rsidRPr="00D43D39" w:rsidR="00F87644" w:rsidP="000165E9" w:rsidRDefault="00542E44" w14:paraId="3F37F809" w14:textId="32C26AD3">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Name of the Entity performing the economic function, as reported in Z 01.01 (ORG 1).</w:t>
            </w:r>
          </w:p>
          <w:p w:rsidRPr="00D43D39" w:rsidR="00517C03" w:rsidP="00A910D7" w:rsidRDefault="008E0D4B" w14:paraId="695F69F5" w14:textId="6788ED74">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If t</w:t>
            </w:r>
            <w:r w:rsidRPr="00D43D39" w:rsidR="00517C03">
              <w:rPr>
                <w:rFonts w:ascii="Times New Roman" w:hAnsi="Times New Roman" w:eastAsia="Cambria" w:cs="Times New Roman"/>
                <w:color w:val="000000" w:themeColor="text1"/>
                <w:spacing w:val="-2"/>
                <w:w w:val="95"/>
                <w:sz w:val="20"/>
                <w:szCs w:val="20"/>
                <w:lang w:val="en-GB"/>
              </w:rPr>
              <w:t xml:space="preserve">here </w:t>
            </w:r>
            <w:r w:rsidRPr="00D43D39">
              <w:rPr>
                <w:rFonts w:ascii="Times New Roman" w:hAnsi="Times New Roman" w:eastAsia="Cambria" w:cs="Times New Roman"/>
                <w:color w:val="000000" w:themeColor="text1"/>
                <w:spacing w:val="-2"/>
                <w:w w:val="95"/>
                <w:sz w:val="20"/>
                <w:szCs w:val="20"/>
                <w:lang w:val="en-GB"/>
              </w:rPr>
              <w:t>are</w:t>
            </w:r>
            <w:r w:rsidRPr="00D43D39" w:rsidR="00517C03">
              <w:rPr>
                <w:rFonts w:ascii="Times New Roman" w:hAnsi="Times New Roman" w:eastAsia="Cambria" w:cs="Times New Roman"/>
                <w:color w:val="000000" w:themeColor="text1"/>
                <w:spacing w:val="-2"/>
                <w:w w:val="95"/>
                <w:sz w:val="20"/>
                <w:szCs w:val="20"/>
                <w:lang w:val="en-GB"/>
              </w:rPr>
              <w:t xml:space="preserve"> several entities performing the same </w:t>
            </w:r>
            <w:r w:rsidRPr="00D43D39" w:rsidR="000B3F73">
              <w:rPr>
                <w:rFonts w:ascii="Times New Roman" w:hAnsi="Times New Roman" w:eastAsia="Cambria" w:cs="Times New Roman"/>
                <w:color w:val="000000" w:themeColor="text1"/>
                <w:spacing w:val="-2"/>
                <w:w w:val="95"/>
                <w:sz w:val="20"/>
                <w:szCs w:val="20"/>
                <w:lang w:val="en-GB"/>
              </w:rPr>
              <w:t xml:space="preserve">economic </w:t>
            </w:r>
            <w:r w:rsidRPr="00D43D39" w:rsidR="00517C03">
              <w:rPr>
                <w:rFonts w:ascii="Times New Roman" w:hAnsi="Times New Roman" w:eastAsia="Cambria" w:cs="Times New Roman"/>
                <w:color w:val="000000" w:themeColor="text1"/>
                <w:spacing w:val="-2"/>
                <w:w w:val="95"/>
                <w:sz w:val="20"/>
                <w:szCs w:val="20"/>
                <w:lang w:val="en-GB"/>
              </w:rPr>
              <w:t>functions</w:t>
            </w:r>
            <w:r w:rsidRPr="00D43D39">
              <w:rPr>
                <w:rFonts w:ascii="Times New Roman" w:hAnsi="Times New Roman" w:eastAsia="Cambria" w:cs="Times New Roman"/>
                <w:color w:val="000000" w:themeColor="text1"/>
                <w:spacing w:val="-2"/>
                <w:w w:val="95"/>
                <w:sz w:val="20"/>
                <w:szCs w:val="20"/>
                <w:lang w:val="en-GB"/>
              </w:rPr>
              <w:t xml:space="preserve"> in the same </w:t>
            </w:r>
            <w:r w:rsidRPr="00D43D39" w:rsidR="000165E9">
              <w:rPr>
                <w:rFonts w:ascii="Times New Roman" w:hAnsi="Times New Roman" w:eastAsia="Cambria" w:cs="Times New Roman"/>
                <w:color w:val="000000" w:themeColor="text1"/>
                <w:spacing w:val="-2"/>
                <w:w w:val="95"/>
                <w:sz w:val="20"/>
                <w:szCs w:val="20"/>
                <w:lang w:val="en-GB"/>
              </w:rPr>
              <w:t>country</w:t>
            </w:r>
            <w:r w:rsidRPr="00D43D39" w:rsidR="00517C03">
              <w:rPr>
                <w:rFonts w:ascii="Times New Roman" w:hAnsi="Times New Roman" w:eastAsia="Cambria" w:cs="Times New Roman"/>
                <w:color w:val="000000" w:themeColor="text1"/>
                <w:spacing w:val="-2"/>
                <w:w w:val="95"/>
                <w:sz w:val="20"/>
                <w:szCs w:val="20"/>
                <w:lang w:val="en-GB"/>
              </w:rPr>
              <w:t xml:space="preserve">, </w:t>
            </w:r>
            <w:r w:rsidRPr="00D43D39">
              <w:rPr>
                <w:rFonts w:ascii="Times New Roman" w:hAnsi="Times New Roman" w:eastAsia="Cambria" w:cs="Times New Roman"/>
                <w:color w:val="000000" w:themeColor="text1"/>
                <w:spacing w:val="-2"/>
                <w:w w:val="95"/>
                <w:sz w:val="20"/>
                <w:szCs w:val="20"/>
                <w:lang w:val="en-GB"/>
              </w:rPr>
              <w:t xml:space="preserve">each entity shall be reported in a separate </w:t>
            </w:r>
            <w:r w:rsidRPr="00D43D39" w:rsidR="00517C03">
              <w:rPr>
                <w:rFonts w:ascii="Times New Roman" w:hAnsi="Times New Roman" w:eastAsia="Cambria" w:cs="Times New Roman"/>
                <w:color w:val="000000" w:themeColor="text1"/>
                <w:spacing w:val="-2"/>
                <w:w w:val="95"/>
                <w:sz w:val="20"/>
                <w:szCs w:val="20"/>
                <w:lang w:val="en-GB"/>
              </w:rPr>
              <w:t>row.</w:t>
            </w:r>
          </w:p>
        </w:tc>
      </w:tr>
      <w:tr w:rsidRPr="00D43D39" w:rsidR="00D22EB0" w:rsidTr="0A1E4F91" w14:paraId="27BAD1EB" w14:textId="77777777">
        <w:tc>
          <w:tcPr>
            <w:tcW w:w="1191" w:type="dxa"/>
            <w:tcBorders>
              <w:top w:val="single" w:color="1A171C" w:sz="4" w:space="0"/>
              <w:left w:val="nil"/>
              <w:bottom w:val="single" w:color="1A171C" w:sz="4" w:space="0"/>
              <w:right w:val="single" w:color="1A171C" w:sz="4" w:space="0"/>
            </w:tcBorders>
            <w:vAlign w:val="center"/>
          </w:tcPr>
          <w:p w:rsidRPr="00D43D39" w:rsidR="00517C03" w:rsidP="00517C03" w:rsidRDefault="00517C03" w14:paraId="5EBA2613"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DF164D">
              <w:rPr>
                <w:rFonts w:ascii="Times New Roman" w:hAnsi="Times New Roman" w:eastAsia="Cambria" w:cs="Times New Roman"/>
                <w:color w:val="000000" w:themeColor="text1"/>
                <w:spacing w:val="-2"/>
                <w:w w:val="95"/>
                <w:sz w:val="20"/>
                <w:szCs w:val="20"/>
                <w:lang w:val="en-GB"/>
              </w:rPr>
              <w:t>0</w:t>
            </w:r>
            <w:r w:rsidRPr="00D43D39">
              <w:rPr>
                <w:rFonts w:ascii="Times New Roman" w:hAnsi="Times New Roman" w:eastAsia="Cambria" w:cs="Times New Roman"/>
                <w:color w:val="000000" w:themeColor="text1"/>
                <w:spacing w:val="-2"/>
                <w:w w:val="95"/>
                <w:sz w:val="20"/>
                <w:szCs w:val="20"/>
                <w:lang w:val="en-GB"/>
              </w:rPr>
              <w:t>40</w:t>
            </w:r>
          </w:p>
        </w:tc>
        <w:tc>
          <w:tcPr>
            <w:tcW w:w="7892" w:type="dxa"/>
            <w:tcBorders>
              <w:top w:val="single" w:color="1A171C" w:sz="4" w:space="0"/>
              <w:left w:val="single" w:color="1A171C" w:sz="4" w:space="0"/>
              <w:bottom w:val="single" w:color="1A171C" w:sz="4" w:space="0"/>
              <w:right w:val="nil"/>
            </w:tcBorders>
            <w:vAlign w:val="center"/>
          </w:tcPr>
          <w:p w:rsidRPr="00D43D39" w:rsidR="00517C03" w:rsidP="008E0D4B" w:rsidRDefault="00517C03" w14:paraId="2653890F"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rsidRPr="00D43D39" w:rsidR="00014755" w:rsidP="00014755" w:rsidRDefault="00014755" w14:paraId="3979F5D4"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Unique identifier of the legal entity in column 0020, as reported in template Z 01.01 (ORG 1).</w:t>
            </w:r>
          </w:p>
          <w:p w:rsidRPr="00D43D39" w:rsidR="00517C03" w:rsidP="00014755" w:rsidRDefault="00014755" w14:paraId="6DBDDC56" w14:textId="74187D02">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identification of entities shall be made in a consistent way across the templates.</w:t>
            </w:r>
          </w:p>
        </w:tc>
      </w:tr>
      <w:tr w:rsidRPr="00D43D39" w:rsidR="00014755" w:rsidTr="0A1E4F91" w14:paraId="4B0C98C5" w14:textId="77777777">
        <w:tc>
          <w:tcPr>
            <w:tcW w:w="1191" w:type="dxa"/>
            <w:tcBorders>
              <w:top w:val="single" w:color="1A171C" w:sz="4" w:space="0"/>
              <w:left w:val="nil"/>
              <w:bottom w:val="single" w:color="1A171C" w:sz="4" w:space="0"/>
              <w:right w:val="single" w:color="1A171C" w:sz="4" w:space="0"/>
            </w:tcBorders>
            <w:vAlign w:val="center"/>
          </w:tcPr>
          <w:p w:rsidRPr="00D43D39" w:rsidR="00014755" w:rsidP="00517C03" w:rsidRDefault="00014755" w14:paraId="4218F289" w14:textId="3CBDB1B5">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0050</w:t>
            </w:r>
          </w:p>
        </w:tc>
        <w:tc>
          <w:tcPr>
            <w:tcW w:w="7892" w:type="dxa"/>
            <w:tcBorders>
              <w:top w:val="single" w:color="1A171C" w:sz="4" w:space="0"/>
              <w:left w:val="single" w:color="1A171C" w:sz="4" w:space="0"/>
              <w:bottom w:val="single" w:color="1A171C" w:sz="4" w:space="0"/>
              <w:right w:val="nil"/>
            </w:tcBorders>
            <w:vAlign w:val="center"/>
          </w:tcPr>
          <w:p w:rsidRPr="00D43D39" w:rsidR="00014755" w:rsidP="00014755" w:rsidRDefault="00014755" w14:paraId="071B85E6"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 of Code</w:t>
            </w:r>
          </w:p>
          <w:p w:rsidR="00161C05" w:rsidP="00161C05" w:rsidRDefault="00161C05" w14:paraId="1B38ED60" w14:textId="6954A1D3">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hAnsi="Times New Roman" w:eastAsia="Cambria" w:cs="Times New Roman"/>
                <w:color w:val="000000" w:themeColor="text1"/>
                <w:spacing w:val="-2"/>
                <w:w w:val="95"/>
                <w:sz w:val="20"/>
                <w:szCs w:val="20"/>
                <w:lang w:val="en-GB"/>
              </w:rPr>
              <w:t xml:space="preserve"> preferably the LEI code.</w:t>
            </w:r>
          </w:p>
          <w:p w:rsidR="00161C05" w:rsidP="00161C05" w:rsidRDefault="00161C05" w14:paraId="71F72F7F" w14:textId="6C650733">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BC38B6">
              <w:rPr>
                <w:rFonts w:ascii="Times New Roman" w:hAnsi="Times New Roman" w:eastAsia="Cambria" w:cs="Times New Roman"/>
                <w:color w:val="000000" w:themeColor="text1"/>
                <w:spacing w:val="-2"/>
                <w:w w:val="95"/>
                <w:sz w:val="20"/>
                <w:szCs w:val="20"/>
                <w:lang w:val="en-GB"/>
              </w:rPr>
              <w:t>, or if not available</w:t>
            </w:r>
            <w:r w:rsidR="002526C2">
              <w:rPr>
                <w:rFonts w:ascii="Times New Roman" w:hAnsi="Times New Roman" w:eastAsia="Cambria" w:cs="Times New Roman"/>
                <w:color w:val="000000" w:themeColor="text1"/>
                <w:spacing w:val="-2"/>
                <w:w w:val="95"/>
                <w:sz w:val="20"/>
                <w:szCs w:val="20"/>
                <w:lang w:val="en-GB"/>
              </w:rPr>
              <w:t>, report</w:t>
            </w:r>
            <w:r w:rsidRPr="00BC38B6">
              <w:rPr>
                <w:rFonts w:ascii="Times New Roman" w:hAnsi="Times New Roman" w:eastAsia="Cambria" w:cs="Times New Roman"/>
                <w:color w:val="000000" w:themeColor="text1"/>
                <w:spacing w:val="-2"/>
                <w:w w:val="95"/>
                <w:sz w:val="20"/>
                <w:szCs w:val="20"/>
                <w:lang w:val="en-GB"/>
              </w:rPr>
              <w:t xml:space="preserve"> a national code</w:t>
            </w:r>
            <w:r>
              <w:rPr>
                <w:rFonts w:ascii="Times New Roman" w:hAnsi="Times New Roman" w:eastAsia="Cambria" w:cs="Times New Roman"/>
                <w:color w:val="000000" w:themeColor="text1"/>
                <w:spacing w:val="-2"/>
                <w:w w:val="95"/>
                <w:sz w:val="20"/>
                <w:szCs w:val="20"/>
                <w:lang w:val="en-GB"/>
              </w:rPr>
              <w:t>.</w:t>
            </w:r>
          </w:p>
          <w:p w:rsidRPr="00D43D39" w:rsidR="00014755" w:rsidP="00014755" w:rsidRDefault="00014755" w14:paraId="521D59D8" w14:textId="1A0EEB39">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Cs/>
                <w:color w:val="000000" w:themeColor="text1"/>
                <w:sz w:val="20"/>
                <w:szCs w:val="20"/>
                <w:lang w:val="en-GB"/>
              </w:rPr>
              <w:t>The identification of entities shall be made in a consistent way across the templates.</w:t>
            </w:r>
          </w:p>
        </w:tc>
      </w:tr>
      <w:tr w:rsidRPr="00D43D39" w:rsidR="00517C03" w:rsidTr="0A1E4F91" w14:paraId="6B4A4BF1" w14:textId="77777777">
        <w:trPr>
          <w:trHeight w:val="302"/>
        </w:trPr>
        <w:tc>
          <w:tcPr>
            <w:tcW w:w="1191" w:type="dxa"/>
            <w:tcBorders>
              <w:top w:val="single" w:color="1A171C" w:sz="4" w:space="0"/>
              <w:left w:val="nil"/>
              <w:bottom w:val="single" w:color="1A171C" w:sz="4" w:space="0"/>
              <w:right w:val="single" w:color="1A171C" w:sz="4" w:space="0"/>
            </w:tcBorders>
            <w:vAlign w:val="center"/>
          </w:tcPr>
          <w:p w:rsidRPr="00D43D39" w:rsidR="00517C03" w:rsidP="00517C03" w:rsidRDefault="00014755" w14:paraId="4513F5D1" w14:textId="60F8ABA1">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0060</w:t>
            </w:r>
          </w:p>
        </w:tc>
        <w:tc>
          <w:tcPr>
            <w:tcW w:w="7892" w:type="dxa"/>
            <w:tcBorders>
              <w:top w:val="single" w:color="1A171C" w:sz="4" w:space="0"/>
              <w:left w:val="single" w:color="1A171C" w:sz="4" w:space="0"/>
              <w:bottom w:val="single" w:color="1A171C" w:sz="4" w:space="0"/>
              <w:right w:val="nil"/>
            </w:tcBorders>
            <w:vAlign w:val="center"/>
          </w:tcPr>
          <w:p w:rsidRPr="00D43D39" w:rsidR="00517C03" w:rsidP="008E0D4B" w:rsidRDefault="00517C03" w14:paraId="29CA3DC6" w14:textId="3EDD18BA">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Monetary </w:t>
            </w:r>
            <w:r w:rsidRPr="00D43D39" w:rsidR="004220EF">
              <w:rPr>
                <w:rFonts w:ascii="Times New Roman" w:hAnsi="Times New Roman" w:cs="Times New Roman"/>
                <w:b/>
                <w:bCs/>
                <w:color w:val="000000" w:themeColor="text1"/>
                <w:sz w:val="20"/>
                <w:szCs w:val="20"/>
                <w:lang w:val="en-GB"/>
              </w:rPr>
              <w:t>amount</w:t>
            </w:r>
          </w:p>
          <w:p w:rsidRPr="00D43D39" w:rsidR="00517C03" w:rsidP="008A6429" w:rsidRDefault="00C21D6D" w14:paraId="17C619F5" w14:textId="33FCD738">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Contribution, in monetary amount, </w:t>
            </w:r>
            <w:r w:rsidRPr="00D43D39" w:rsidR="00990EBD">
              <w:rPr>
                <w:rFonts w:ascii="Times New Roman" w:hAnsi="Times New Roman" w:eastAsia="Cambria" w:cs="Times New Roman"/>
                <w:color w:val="000000" w:themeColor="text1"/>
                <w:spacing w:val="-2"/>
                <w:w w:val="95"/>
                <w:sz w:val="20"/>
                <w:szCs w:val="20"/>
                <w:lang w:val="en-GB"/>
              </w:rPr>
              <w:t xml:space="preserve">of the </w:t>
            </w:r>
            <w:r w:rsidRPr="00D43D39" w:rsidR="00014755">
              <w:rPr>
                <w:rFonts w:ascii="Times New Roman" w:hAnsi="Times New Roman" w:eastAsia="Cambria" w:cs="Times New Roman"/>
                <w:color w:val="000000" w:themeColor="text1"/>
                <w:spacing w:val="-2"/>
                <w:w w:val="95"/>
                <w:sz w:val="20"/>
                <w:szCs w:val="20"/>
                <w:lang w:val="en-GB"/>
              </w:rPr>
              <w:t>l</w:t>
            </w:r>
            <w:r w:rsidRPr="00D43D39" w:rsidR="00F26B4F">
              <w:rPr>
                <w:rFonts w:ascii="Times New Roman" w:hAnsi="Times New Roman" w:eastAsia="Cambria" w:cs="Times New Roman"/>
                <w:color w:val="000000" w:themeColor="text1"/>
                <w:spacing w:val="-2"/>
                <w:w w:val="95"/>
                <w:sz w:val="20"/>
                <w:szCs w:val="20"/>
                <w:lang w:val="en-GB"/>
              </w:rPr>
              <w:t xml:space="preserve">egal entity to the </w:t>
            </w:r>
            <w:r w:rsidRPr="00D43D39" w:rsidR="00990EBD">
              <w:rPr>
                <w:rFonts w:ascii="Times New Roman" w:hAnsi="Times New Roman" w:eastAsia="Cambria" w:cs="Times New Roman"/>
                <w:color w:val="000000" w:themeColor="text1"/>
                <w:spacing w:val="-2"/>
                <w:w w:val="95"/>
                <w:sz w:val="20"/>
                <w:szCs w:val="20"/>
                <w:lang w:val="en-GB"/>
              </w:rPr>
              <w:t>m</w:t>
            </w:r>
            <w:r w:rsidRPr="00D43D39" w:rsidR="00517C03">
              <w:rPr>
                <w:rFonts w:ascii="Times New Roman" w:hAnsi="Times New Roman" w:eastAsia="Cambria" w:cs="Times New Roman"/>
                <w:color w:val="000000" w:themeColor="text1"/>
                <w:spacing w:val="-2"/>
                <w:w w:val="95"/>
                <w:sz w:val="20"/>
                <w:szCs w:val="20"/>
                <w:lang w:val="en-GB"/>
              </w:rPr>
              <w:t>onetary amount</w:t>
            </w:r>
            <w:r w:rsidRPr="00D43D39" w:rsidR="00024D56">
              <w:rPr>
                <w:rFonts w:ascii="Times New Roman" w:hAnsi="Times New Roman" w:eastAsia="Cambria" w:cs="Times New Roman"/>
                <w:color w:val="000000" w:themeColor="text1"/>
                <w:spacing w:val="-2"/>
                <w:w w:val="95"/>
                <w:sz w:val="20"/>
                <w:szCs w:val="20"/>
                <w:lang w:val="en-GB"/>
              </w:rPr>
              <w:t>s</w:t>
            </w:r>
            <w:r w:rsidRPr="00D43D39" w:rsidR="00517C03">
              <w:rPr>
                <w:rFonts w:ascii="Times New Roman" w:hAnsi="Times New Roman" w:eastAsia="Cambria" w:cs="Times New Roman"/>
                <w:color w:val="000000" w:themeColor="text1"/>
                <w:spacing w:val="-2"/>
                <w:w w:val="95"/>
                <w:sz w:val="20"/>
                <w:szCs w:val="20"/>
                <w:lang w:val="en-GB"/>
              </w:rPr>
              <w:t xml:space="preserve"> </w:t>
            </w:r>
            <w:r w:rsidRPr="00D43D39" w:rsidR="001D73EA">
              <w:rPr>
                <w:rFonts w:ascii="Times New Roman" w:hAnsi="Times New Roman" w:eastAsia="Cambria" w:cs="Times New Roman"/>
                <w:color w:val="000000" w:themeColor="text1"/>
                <w:spacing w:val="-2"/>
                <w:w w:val="95"/>
                <w:sz w:val="20"/>
                <w:szCs w:val="20"/>
                <w:lang w:val="en-GB"/>
              </w:rPr>
              <w:t xml:space="preserve">as described </w:t>
            </w:r>
            <w:r w:rsidRPr="00D43D39" w:rsidR="00517C03">
              <w:rPr>
                <w:rFonts w:ascii="Times New Roman" w:hAnsi="Times New Roman" w:eastAsia="Cambria" w:cs="Times New Roman"/>
                <w:color w:val="000000" w:themeColor="text1"/>
                <w:spacing w:val="-2"/>
                <w:w w:val="95"/>
                <w:sz w:val="20"/>
                <w:szCs w:val="20"/>
                <w:lang w:val="en-GB"/>
              </w:rPr>
              <w:t xml:space="preserve">in </w:t>
            </w:r>
            <w:r w:rsidRPr="00D43D39" w:rsidR="001D73EA">
              <w:rPr>
                <w:rFonts w:ascii="Times New Roman" w:hAnsi="Times New Roman" w:eastAsia="Cambria" w:cs="Times New Roman"/>
                <w:color w:val="000000" w:themeColor="text1"/>
                <w:spacing w:val="-2"/>
                <w:w w:val="95"/>
                <w:sz w:val="20"/>
                <w:szCs w:val="20"/>
                <w:lang w:val="en-GB"/>
              </w:rPr>
              <w:t>template</w:t>
            </w:r>
            <w:r w:rsidRPr="00D43D39" w:rsidR="00517C03">
              <w:rPr>
                <w:rFonts w:ascii="Times New Roman" w:hAnsi="Times New Roman" w:eastAsia="Cambria" w:cs="Times New Roman"/>
                <w:color w:val="000000" w:themeColor="text1"/>
                <w:spacing w:val="-2"/>
                <w:w w:val="95"/>
                <w:sz w:val="20"/>
                <w:szCs w:val="20"/>
                <w:lang w:val="en-GB"/>
              </w:rPr>
              <w:t xml:space="preserve"> </w:t>
            </w:r>
            <w:r w:rsidRPr="00D43D39" w:rsidR="00F7117F">
              <w:rPr>
                <w:rFonts w:ascii="Times New Roman" w:hAnsi="Times New Roman" w:eastAsia="Cambria" w:cs="Times New Roman"/>
                <w:color w:val="000000" w:themeColor="text1"/>
                <w:spacing w:val="-2"/>
                <w:w w:val="95"/>
                <w:sz w:val="20"/>
                <w:szCs w:val="20"/>
                <w:lang w:val="en-GB"/>
              </w:rPr>
              <w:t>Z 0</w:t>
            </w:r>
            <w:r w:rsidRPr="00D43D39" w:rsidR="001D73EA">
              <w:rPr>
                <w:rFonts w:ascii="Times New Roman" w:hAnsi="Times New Roman" w:eastAsia="Cambria" w:cs="Times New Roman"/>
                <w:color w:val="000000" w:themeColor="text1"/>
                <w:spacing w:val="-2"/>
                <w:w w:val="95"/>
                <w:sz w:val="20"/>
                <w:szCs w:val="20"/>
                <w:lang w:val="en-GB"/>
              </w:rPr>
              <w:t>7.01 (</w:t>
            </w:r>
            <w:r w:rsidRPr="00D43D39" w:rsidR="00517C03">
              <w:rPr>
                <w:rFonts w:ascii="Times New Roman" w:hAnsi="Times New Roman" w:eastAsia="Cambria" w:cs="Times New Roman"/>
                <w:color w:val="000000" w:themeColor="text1"/>
                <w:spacing w:val="-2"/>
                <w:w w:val="95"/>
                <w:sz w:val="20"/>
                <w:szCs w:val="20"/>
                <w:lang w:val="en-GB"/>
              </w:rPr>
              <w:t>FUNC 1</w:t>
            </w:r>
            <w:r w:rsidRPr="00D43D39" w:rsidR="001D73EA">
              <w:rPr>
                <w:rFonts w:ascii="Times New Roman" w:hAnsi="Times New Roman" w:eastAsia="Cambria" w:cs="Times New Roman"/>
                <w:color w:val="000000" w:themeColor="text1"/>
                <w:spacing w:val="-2"/>
                <w:w w:val="95"/>
                <w:sz w:val="20"/>
                <w:szCs w:val="20"/>
                <w:lang w:val="en-GB"/>
              </w:rPr>
              <w:t>)</w:t>
            </w:r>
            <w:r w:rsidRPr="00D43D39" w:rsidR="00024D56">
              <w:rPr>
                <w:rFonts w:ascii="Times New Roman" w:hAnsi="Times New Roman" w:eastAsia="Cambria" w:cs="Times New Roman"/>
                <w:color w:val="000000" w:themeColor="text1"/>
                <w:spacing w:val="-2"/>
                <w:w w:val="95"/>
                <w:sz w:val="20"/>
                <w:szCs w:val="20"/>
                <w:lang w:val="en-GB"/>
              </w:rPr>
              <w:t>:</w:t>
            </w:r>
          </w:p>
          <w:p w:rsidRPr="00D43D39" w:rsidR="00024D56" w:rsidP="00024D56" w:rsidRDefault="00024D56" w14:paraId="26B8C327" w14:textId="77777777">
            <w:pPr>
              <w:pStyle w:val="TableParagraph"/>
              <w:numPr>
                <w:ilvl w:val="0"/>
                <w:numId w:val="64"/>
              </w:numPr>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Deposits – Value on accounts</w:t>
            </w:r>
          </w:p>
          <w:p w:rsidRPr="00D43D39" w:rsidR="00024D56" w:rsidP="00024D56" w:rsidRDefault="00024D56" w14:paraId="1CB47A15" w14:textId="77777777">
            <w:pPr>
              <w:pStyle w:val="TableParagraph"/>
              <w:numPr>
                <w:ilvl w:val="0"/>
                <w:numId w:val="64"/>
              </w:numPr>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Lending – Value Outstanding</w:t>
            </w:r>
          </w:p>
          <w:p w:rsidRPr="00D43D39" w:rsidR="00024D56" w:rsidP="00024D56" w:rsidRDefault="00024D56" w14:paraId="0695A004" w14:textId="09061C12">
            <w:pPr>
              <w:pStyle w:val="TableParagraph"/>
              <w:numPr>
                <w:ilvl w:val="0"/>
                <w:numId w:val="64"/>
              </w:numPr>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Payments – Value of transactions/ open positions/ assets under custody (as applicable)</w:t>
            </w:r>
          </w:p>
          <w:p w:rsidRPr="00D43D39" w:rsidR="00024D56" w:rsidP="00024D56" w:rsidRDefault="00024D56" w14:paraId="1387D0FC" w14:textId="41B4CB9C">
            <w:pPr>
              <w:pStyle w:val="TableParagraph"/>
              <w:numPr>
                <w:ilvl w:val="0"/>
                <w:numId w:val="64"/>
              </w:numPr>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Capital Markets – Notional amount/ Carrying amount/ Fee income (as applicable)</w:t>
            </w:r>
          </w:p>
          <w:p w:rsidRPr="00D43D39" w:rsidR="00024D56" w:rsidP="005F5507" w:rsidRDefault="00024D56" w14:paraId="4EB0AF84" w14:textId="2C7F2DF7">
            <w:pPr>
              <w:pStyle w:val="TableParagraph"/>
              <w:numPr>
                <w:ilvl w:val="0"/>
                <w:numId w:val="64"/>
              </w:numPr>
              <w:spacing w:before="108"/>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Wholesale Funding – Gross carrying amount</w:t>
            </w:r>
          </w:p>
        </w:tc>
      </w:tr>
    </w:tbl>
    <w:p w:rsidRPr="00D43D39" w:rsidR="0056559D" w:rsidP="0056559D" w:rsidRDefault="0056559D" w14:paraId="1C505975" w14:textId="61EF92D7">
      <w:pPr>
        <w:rPr>
          <w:rFonts w:ascii="Times New Roman" w:hAnsi="Times New Roman" w:cs="Times New Roman"/>
          <w:color w:val="000000" w:themeColor="text1"/>
          <w:sz w:val="20"/>
          <w:szCs w:val="20"/>
          <w:lang w:val="en-GB"/>
        </w:rPr>
      </w:pPr>
    </w:p>
    <w:p w:rsidRPr="00D43D39" w:rsidR="00D54FCD" w:rsidP="001C34E8" w:rsidRDefault="00F7117F" w14:paraId="1FECDD74" w14:textId="2CDC0A1A">
      <w:pPr>
        <w:pStyle w:val="Instructionsberschrift2"/>
        <w:numPr>
          <w:ilvl w:val="1"/>
          <w:numId w:val="49"/>
        </w:numPr>
        <w:ind w:left="357" w:hanging="357"/>
        <w:rPr>
          <w:rFonts w:ascii="Times New Roman" w:hAnsi="Times New Roman" w:cs="Times New Roman"/>
        </w:rPr>
      </w:pPr>
      <w:bookmarkStart w:name="_Toc172732239" w:id="113"/>
      <w:r w:rsidRPr="00D43D39">
        <w:rPr>
          <w:rFonts w:ascii="Times New Roman" w:hAnsi="Times New Roman" w:cs="Times New Roman"/>
        </w:rPr>
        <w:t>Z 0</w:t>
      </w:r>
      <w:r w:rsidRPr="00D43D39" w:rsidR="00356129">
        <w:rPr>
          <w:rFonts w:ascii="Times New Roman" w:hAnsi="Times New Roman" w:cs="Times New Roman"/>
        </w:rPr>
        <w:t>7</w:t>
      </w:r>
      <w:r w:rsidRPr="00D43D39" w:rsidR="0056559D">
        <w:rPr>
          <w:rFonts w:ascii="Times New Roman" w:hAnsi="Times New Roman" w:cs="Times New Roman"/>
        </w:rPr>
        <w:t xml:space="preserve">.03 - Mapping of </w:t>
      </w:r>
      <w:r w:rsidRPr="00D43D39" w:rsidR="00542E44">
        <w:rPr>
          <w:rFonts w:ascii="Times New Roman" w:hAnsi="Times New Roman" w:cs="Times New Roman"/>
        </w:rPr>
        <w:t>Core B</w:t>
      </w:r>
      <w:r w:rsidRPr="00D43D39" w:rsidR="0056559D">
        <w:rPr>
          <w:rFonts w:ascii="Times New Roman" w:hAnsi="Times New Roman" w:cs="Times New Roman"/>
        </w:rPr>
        <w:t xml:space="preserve">usiness </w:t>
      </w:r>
      <w:r w:rsidRPr="00D43D39" w:rsidR="00542E44">
        <w:rPr>
          <w:rFonts w:ascii="Times New Roman" w:hAnsi="Times New Roman" w:cs="Times New Roman"/>
        </w:rPr>
        <w:t>L</w:t>
      </w:r>
      <w:r w:rsidRPr="00D43D39" w:rsidR="0056559D">
        <w:rPr>
          <w:rFonts w:ascii="Times New Roman" w:hAnsi="Times New Roman" w:cs="Times New Roman"/>
        </w:rPr>
        <w:t xml:space="preserve">ines </w:t>
      </w:r>
      <w:r w:rsidRPr="00D43D39" w:rsidR="003D0643">
        <w:rPr>
          <w:rFonts w:ascii="Times New Roman" w:hAnsi="Times New Roman" w:cs="Times New Roman"/>
        </w:rPr>
        <w:t>to</w:t>
      </w:r>
      <w:r w:rsidRPr="00D43D39" w:rsidR="004A5A35">
        <w:rPr>
          <w:rFonts w:ascii="Times New Roman" w:hAnsi="Times New Roman" w:cs="Times New Roman"/>
        </w:rPr>
        <w:t xml:space="preserve"> </w:t>
      </w:r>
      <w:r w:rsidRPr="00D43D39" w:rsidR="0056559D">
        <w:rPr>
          <w:rFonts w:ascii="Times New Roman" w:hAnsi="Times New Roman" w:cs="Times New Roman"/>
        </w:rPr>
        <w:t>legal entit</w:t>
      </w:r>
      <w:r w:rsidRPr="00D43D39" w:rsidR="003D0643">
        <w:rPr>
          <w:rFonts w:ascii="Times New Roman" w:hAnsi="Times New Roman" w:cs="Times New Roman"/>
        </w:rPr>
        <w:t>ies</w:t>
      </w:r>
      <w:r w:rsidRPr="00D43D39" w:rsidR="004D47D8">
        <w:rPr>
          <w:rFonts w:ascii="Times New Roman" w:hAnsi="Times New Roman" w:cs="Times New Roman"/>
        </w:rPr>
        <w:t xml:space="preserve"> (</w:t>
      </w:r>
      <w:r w:rsidRPr="00D43D39" w:rsidR="0056559D">
        <w:rPr>
          <w:rFonts w:ascii="Times New Roman" w:hAnsi="Times New Roman" w:cs="Times New Roman"/>
        </w:rPr>
        <w:t>FUNC 3)</w:t>
      </w:r>
      <w:bookmarkEnd w:id="113"/>
    </w:p>
    <w:p w:rsidRPr="00D43D39" w:rsidR="0056559D" w:rsidP="001C34E8" w:rsidRDefault="003D0643" w14:paraId="5184AF8D" w14:textId="4B1E9AFE">
      <w:pPr>
        <w:pStyle w:val="Instructionsberschrift3"/>
        <w:rPr>
          <w:b/>
          <w:bCs/>
        </w:rPr>
      </w:pPr>
      <w:r w:rsidRPr="00D43D39">
        <w:rPr>
          <w:b/>
          <w:bCs/>
        </w:rPr>
        <w:t>Instru</w:t>
      </w:r>
      <w:r w:rsidRPr="00D43D39" w:rsidR="00B71704">
        <w:rPr>
          <w:b/>
          <w:bCs/>
        </w:rPr>
        <w:t>c</w:t>
      </w:r>
      <w:r w:rsidRPr="00D43D39">
        <w:rPr>
          <w:b/>
          <w:bCs/>
        </w:rPr>
        <w:t>tions concerning specific positions</w:t>
      </w:r>
    </w:p>
    <w:p w:rsidRPr="00D43D39" w:rsidR="008D7004" w:rsidP="005F5507" w:rsidRDefault="3DB5EBFD" w14:paraId="6A4F8A17" w14:textId="77777777">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The combination of values reported in columns </w:t>
      </w:r>
      <w:r w:rsidRPr="00D43D39" w:rsidR="445F068B">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020 and </w:t>
      </w:r>
      <w:r w:rsidRPr="00D43D39" w:rsidR="445F068B">
        <w:rPr>
          <w:rFonts w:ascii="Times New Roman" w:hAnsi="Times New Roman" w:cs="Times New Roman"/>
          <w:sz w:val="20"/>
          <w:szCs w:val="20"/>
          <w:lang w:val="en-GB"/>
        </w:rPr>
        <w:t>0</w:t>
      </w:r>
      <w:r w:rsidRPr="00D43D39">
        <w:rPr>
          <w:rFonts w:ascii="Times New Roman" w:hAnsi="Times New Roman" w:cs="Times New Roman"/>
          <w:sz w:val="20"/>
          <w:szCs w:val="20"/>
          <w:lang w:val="en-GB"/>
        </w:rPr>
        <w:t>040 of this template forms a primary key which has to be unique for each row of the template.</w:t>
      </w:r>
    </w:p>
    <w:p w:rsidRPr="00D43D39" w:rsidR="002D7C07" w:rsidP="005F5507" w:rsidRDefault="4CCA9103" w14:paraId="08717458" w14:textId="702CDB96">
      <w:pPr>
        <w:pStyle w:val="InstructionsText2"/>
        <w:numPr>
          <w:ilvl w:val="0"/>
          <w:numId w:val="232"/>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Only </w:t>
      </w:r>
      <w:r w:rsidRPr="00D43D39" w:rsidR="00D91283">
        <w:rPr>
          <w:rFonts w:ascii="Times New Roman" w:hAnsi="Times New Roman" w:cs="Times New Roman"/>
          <w:sz w:val="20"/>
          <w:szCs w:val="20"/>
          <w:lang w:val="en-GB"/>
        </w:rPr>
        <w:t xml:space="preserve">the business lines of </w:t>
      </w:r>
      <w:r w:rsidR="00BD0105">
        <w:rPr>
          <w:rFonts w:ascii="Times New Roman" w:hAnsi="Times New Roman" w:cs="Times New Roman"/>
          <w:sz w:val="20"/>
          <w:szCs w:val="20"/>
          <w:lang w:val="en-GB"/>
        </w:rPr>
        <w:t>relevant legal entities</w:t>
      </w:r>
      <w:r w:rsidRPr="00D43D39" w:rsidR="00D91283">
        <w:rPr>
          <w:rFonts w:ascii="Times New Roman" w:hAnsi="Times New Roman" w:cs="Times New Roman"/>
          <w:sz w:val="20"/>
          <w:szCs w:val="20"/>
          <w:lang w:val="en-GB"/>
        </w:rPr>
        <w:t xml:space="preserve"> </w:t>
      </w:r>
      <w:r w:rsidRPr="00D43D39">
        <w:rPr>
          <w:rFonts w:ascii="Times New Roman" w:hAnsi="Times New Roman" w:cs="Times New Roman"/>
          <w:sz w:val="20"/>
          <w:szCs w:val="20"/>
          <w:lang w:val="en-GB"/>
        </w:rPr>
        <w:t xml:space="preserve">shall be reported in this template. </w:t>
      </w: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Pr="00D43D39" w:rsidR="00D22EB0" w:rsidTr="005F5507" w14:paraId="58232334" w14:textId="77777777">
        <w:trPr>
          <w:tblHeader/>
        </w:trPr>
        <w:tc>
          <w:tcPr>
            <w:tcW w:w="1191" w:type="dxa"/>
            <w:tcBorders>
              <w:top w:val="single" w:color="1A171C" w:sz="4" w:space="0"/>
              <w:left w:val="nil"/>
              <w:bottom w:val="single" w:color="1A171C" w:sz="4" w:space="0"/>
              <w:right w:val="single" w:color="1A171C" w:sz="4" w:space="0"/>
            </w:tcBorders>
            <w:shd w:val="clear" w:color="auto" w:fill="E4E5E5"/>
          </w:tcPr>
          <w:p w:rsidRPr="00D43D39" w:rsidR="00356129" w:rsidP="00772F88" w:rsidRDefault="00356129" w14:paraId="0388FB3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Columns</w:t>
            </w:r>
          </w:p>
        </w:tc>
        <w:tc>
          <w:tcPr>
            <w:tcW w:w="7892" w:type="dxa"/>
            <w:tcBorders>
              <w:top w:val="single" w:color="1A171C" w:sz="4" w:space="0"/>
              <w:left w:val="single" w:color="1A171C" w:sz="4" w:space="0"/>
              <w:bottom w:val="single" w:color="1A171C" w:sz="4" w:space="0"/>
              <w:right w:val="nil"/>
            </w:tcBorders>
            <w:shd w:val="clear" w:color="auto" w:fill="E4E5E5"/>
          </w:tcPr>
          <w:p w:rsidRPr="00D43D39" w:rsidR="00356129" w:rsidP="00772F88" w:rsidRDefault="00356129" w14:paraId="391AE72B"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6049D9" w:rsidTr="001C34E8" w14:paraId="2D0EF7CC" w14:textId="77777777">
        <w:tc>
          <w:tcPr>
            <w:tcW w:w="1191" w:type="dxa"/>
            <w:tcBorders>
              <w:top w:val="single" w:color="1A171C" w:sz="4" w:space="0"/>
              <w:left w:val="nil"/>
              <w:bottom w:val="single" w:color="1A171C" w:sz="4" w:space="0"/>
              <w:right w:val="single" w:color="1A171C" w:sz="4" w:space="0"/>
            </w:tcBorders>
            <w:vAlign w:val="center"/>
          </w:tcPr>
          <w:p w:rsidRPr="00D43D39" w:rsidR="006049D9" w:rsidP="00772F88" w:rsidRDefault="006049D9" w14:paraId="570A5FC6"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0010 – 0030 </w:t>
            </w:r>
          </w:p>
        </w:tc>
        <w:tc>
          <w:tcPr>
            <w:tcW w:w="7892" w:type="dxa"/>
            <w:tcBorders>
              <w:top w:val="single" w:color="1A171C" w:sz="4" w:space="0"/>
              <w:left w:val="single" w:color="1A171C" w:sz="4" w:space="0"/>
              <w:bottom w:val="single" w:color="1A171C" w:sz="4" w:space="0"/>
              <w:right w:val="nil"/>
            </w:tcBorders>
            <w:vAlign w:val="center"/>
          </w:tcPr>
          <w:p w:rsidRPr="00D43D39" w:rsidR="006049D9" w:rsidP="00D75AA9" w:rsidRDefault="00D7741F" w14:paraId="44091F9F" w14:textId="4E44E37C">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Core </w:t>
            </w:r>
            <w:r w:rsidRPr="00D43D39" w:rsidR="00D91283">
              <w:rPr>
                <w:rFonts w:ascii="Times New Roman" w:hAnsi="Times New Roman" w:cs="Times New Roman"/>
                <w:b/>
                <w:bCs/>
                <w:color w:val="000000" w:themeColor="text1"/>
                <w:sz w:val="20"/>
                <w:szCs w:val="20"/>
                <w:lang w:val="en-GB"/>
              </w:rPr>
              <w:t>B</w:t>
            </w:r>
            <w:r w:rsidRPr="00D43D39" w:rsidR="006049D9">
              <w:rPr>
                <w:rFonts w:ascii="Times New Roman" w:hAnsi="Times New Roman" w:cs="Times New Roman"/>
                <w:b/>
                <w:bCs/>
                <w:color w:val="000000" w:themeColor="text1"/>
                <w:sz w:val="20"/>
                <w:szCs w:val="20"/>
                <w:lang w:val="en-GB"/>
              </w:rPr>
              <w:t>usiness line</w:t>
            </w:r>
          </w:p>
        </w:tc>
      </w:tr>
      <w:tr w:rsidRPr="00D43D39" w:rsidR="00D22EB0" w:rsidTr="001C34E8" w14:paraId="38E575D9" w14:textId="7169A2E6">
        <w:tc>
          <w:tcPr>
            <w:tcW w:w="1191" w:type="dxa"/>
            <w:tcBorders>
              <w:top w:val="single" w:color="1A171C" w:sz="4" w:space="0"/>
              <w:left w:val="nil"/>
              <w:bottom w:val="single" w:color="1A171C" w:sz="4" w:space="0"/>
              <w:right w:val="single" w:color="1A171C" w:sz="4" w:space="0"/>
            </w:tcBorders>
            <w:vAlign w:val="center"/>
          </w:tcPr>
          <w:p w:rsidRPr="00D43D39" w:rsidR="00356129" w:rsidP="00772F88" w:rsidRDefault="00997AB3" w14:paraId="32450934" w14:textId="43D7DE9E">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356129">
              <w:rPr>
                <w:rFonts w:ascii="Times New Roman" w:hAnsi="Times New Roman" w:eastAsia="Cambria" w:cs="Times New Roman"/>
                <w:color w:val="000000" w:themeColor="text1"/>
                <w:spacing w:val="-2"/>
                <w:w w:val="95"/>
                <w:sz w:val="20"/>
                <w:szCs w:val="20"/>
                <w:lang w:val="en-GB"/>
              </w:rPr>
              <w:t>0</w:t>
            </w:r>
            <w:r w:rsidRPr="00D43D39" w:rsidR="00C747E8">
              <w:rPr>
                <w:rFonts w:ascii="Times New Roman" w:hAnsi="Times New Roman" w:eastAsia="Cambria" w:cs="Times New Roman"/>
                <w:color w:val="000000" w:themeColor="text1"/>
                <w:spacing w:val="-2"/>
                <w:w w:val="95"/>
                <w:sz w:val="20"/>
                <w:szCs w:val="20"/>
                <w:lang w:val="en-GB"/>
              </w:rPr>
              <w:t>1</w:t>
            </w:r>
            <w:r w:rsidRPr="00D43D39" w:rsidR="00356129">
              <w:rPr>
                <w:rFonts w:ascii="Times New Roman" w:hAnsi="Times New Roman" w:eastAsia="Cambria" w:cs="Times New Roman"/>
                <w:color w:val="000000" w:themeColor="text1"/>
                <w:spacing w:val="-2"/>
                <w:w w:val="95"/>
                <w:sz w:val="20"/>
                <w:szCs w:val="20"/>
                <w:lang w:val="en-GB"/>
              </w:rPr>
              <w:t>0</w:t>
            </w:r>
          </w:p>
        </w:tc>
        <w:tc>
          <w:tcPr>
            <w:tcW w:w="7892" w:type="dxa"/>
            <w:tcBorders>
              <w:top w:val="single" w:color="1A171C" w:sz="4" w:space="0"/>
              <w:left w:val="single" w:color="1A171C" w:sz="4" w:space="0"/>
              <w:bottom w:val="single" w:color="1A171C" w:sz="4" w:space="0"/>
              <w:right w:val="nil"/>
            </w:tcBorders>
            <w:vAlign w:val="center"/>
          </w:tcPr>
          <w:p w:rsidRPr="00D43D39" w:rsidR="00356129" w:rsidP="00D75AA9" w:rsidRDefault="00356129" w14:paraId="1D7EDD4B" w14:textId="35F27999">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Core business line</w:t>
            </w:r>
          </w:p>
          <w:p w:rsidRPr="00D43D39" w:rsidR="00356129" w:rsidP="0D42EA41" w:rsidRDefault="205458C9" w14:paraId="10FDCA36" w14:textId="44C7ACD6">
            <w:pPr>
              <w:pStyle w:val="TableParagraph"/>
              <w:spacing w:before="108"/>
              <w:ind w:left="85"/>
              <w:rPr>
                <w:rFonts w:ascii="Times New Roman" w:hAnsi="Times New Roman" w:eastAsia="Cambria" w:cs="Times New Roman"/>
                <w:color w:val="000000" w:themeColor="text1"/>
                <w:sz w:val="20"/>
                <w:szCs w:val="20"/>
                <w:lang w:val="en-GB"/>
              </w:rPr>
            </w:pPr>
            <w:r w:rsidRPr="00D43D39">
              <w:rPr>
                <w:rFonts w:ascii="Times New Roman" w:hAnsi="Times New Roman" w:eastAsia="Cambria" w:cs="Times New Roman"/>
                <w:color w:val="000000" w:themeColor="text1"/>
                <w:spacing w:val="-2"/>
                <w:w w:val="95"/>
                <w:sz w:val="20"/>
                <w:szCs w:val="20"/>
                <w:lang w:val="en-GB"/>
              </w:rPr>
              <w:t>C</w:t>
            </w:r>
            <w:r w:rsidRPr="00D43D39" w:rsidR="00356129">
              <w:rPr>
                <w:rFonts w:ascii="Times New Roman" w:hAnsi="Times New Roman" w:eastAsia="Cambria" w:cs="Times New Roman"/>
                <w:color w:val="000000" w:themeColor="text1"/>
                <w:spacing w:val="-2"/>
                <w:w w:val="95"/>
                <w:sz w:val="20"/>
                <w:szCs w:val="20"/>
                <w:lang w:val="en-GB"/>
              </w:rPr>
              <w:t xml:space="preserve">ore business line pursuant to Article 2(1)(36) and Article 2(2) of </w:t>
            </w:r>
            <w:r w:rsidRPr="00D43D39" w:rsidR="00063EEC">
              <w:rPr>
                <w:rFonts w:ascii="Times New Roman" w:hAnsi="Times New Roman" w:eastAsia="Cambria" w:cs="Times New Roman"/>
                <w:color w:val="000000" w:themeColor="text1"/>
                <w:spacing w:val="-2"/>
                <w:w w:val="95"/>
                <w:sz w:val="20"/>
                <w:szCs w:val="20"/>
                <w:lang w:val="en-GB"/>
              </w:rPr>
              <w:t>Directive 2014/59/EU</w:t>
            </w:r>
            <w:r w:rsidRPr="00D43D39" w:rsidR="00356129">
              <w:rPr>
                <w:rFonts w:ascii="Times New Roman" w:hAnsi="Times New Roman" w:eastAsia="Cambria" w:cs="Times New Roman"/>
                <w:color w:val="000000" w:themeColor="text1"/>
                <w:spacing w:val="-2"/>
                <w:w w:val="95"/>
                <w:sz w:val="20"/>
                <w:szCs w:val="20"/>
                <w:lang w:val="en-GB"/>
              </w:rPr>
              <w:t>.</w:t>
            </w:r>
          </w:p>
          <w:p w:rsidRPr="00D43D39" w:rsidR="00356129" w:rsidP="0D42EA41" w:rsidRDefault="4FF25437" w14:paraId="6DDB3D97" w14:textId="74668E50">
            <w:pPr>
              <w:pStyle w:val="TableParagraph"/>
              <w:spacing w:before="108"/>
              <w:ind w:left="85"/>
              <w:rPr>
                <w:rFonts w:ascii="Times New Roman" w:hAnsi="Times New Roman" w:eastAsia="Cambria"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The core business line shall be one of the business lines listed below.</w:t>
            </w:r>
          </w:p>
          <w:p w:rsidRPr="005F5507" w:rsidR="00356129" w:rsidP="005F5507" w:rsidRDefault="4FF25437" w14:paraId="0BB9DE1F" w14:textId="34C9D840">
            <w:pPr>
              <w:pStyle w:val="TableParagraph"/>
              <w:numPr>
                <w:ilvl w:val="0"/>
                <w:numId w:val="139"/>
              </w:numPr>
              <w:spacing w:before="108"/>
              <w:rPr>
                <w:rFonts w:ascii="Times New Roman" w:hAnsi="Times New Roman" w:cs="Times New Roman" w:eastAsiaTheme="minorEastAsia"/>
                <w:color w:val="000000" w:themeColor="text1"/>
                <w:sz w:val="20"/>
                <w:szCs w:val="20"/>
                <w:lang w:val="en-GB"/>
              </w:rPr>
            </w:pPr>
            <w:r w:rsidRPr="00D43D39">
              <w:rPr>
                <w:rFonts w:ascii="Times New Roman" w:hAnsi="Times New Roman" w:eastAsia="Cambria" w:cs="Times New Roman"/>
                <w:color w:val="000000" w:themeColor="text1"/>
                <w:sz w:val="20"/>
                <w:szCs w:val="20"/>
                <w:lang w:val="en-GB"/>
              </w:rPr>
              <w:t xml:space="preserve">Consumer Banking </w:t>
            </w:r>
          </w:p>
          <w:p w:rsidRPr="005F5507" w:rsidR="00356129" w:rsidP="005F5507" w:rsidRDefault="4FF25437" w14:paraId="5F51A0C9" w14:textId="6227349C">
            <w:pPr>
              <w:pStyle w:val="TableParagraph"/>
              <w:numPr>
                <w:ilvl w:val="0"/>
                <w:numId w:val="139"/>
              </w:numPr>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Corporate Banking</w:t>
            </w:r>
          </w:p>
          <w:p w:rsidRPr="005F5507" w:rsidR="00356129" w:rsidP="005F5507" w:rsidRDefault="4FF25437" w14:paraId="1EF0895A" w14:textId="27282CB8">
            <w:pPr>
              <w:pStyle w:val="TableParagraph"/>
              <w:numPr>
                <w:ilvl w:val="0"/>
                <w:numId w:val="139"/>
              </w:numPr>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 xml:space="preserve">Investment banking </w:t>
            </w:r>
          </w:p>
          <w:p w:rsidRPr="005F5507" w:rsidR="00356129" w:rsidP="005F5507" w:rsidRDefault="4FF25437" w14:paraId="64DD9741" w14:textId="31698FD4">
            <w:pPr>
              <w:pStyle w:val="TableParagraph"/>
              <w:numPr>
                <w:ilvl w:val="0"/>
                <w:numId w:val="139"/>
              </w:numPr>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Insurance</w:t>
            </w:r>
          </w:p>
          <w:p w:rsidRPr="005F5507" w:rsidR="00356129" w:rsidP="005F5507" w:rsidRDefault="4FF25437" w14:paraId="2734545A" w14:textId="03BBC236">
            <w:pPr>
              <w:pStyle w:val="TableParagraph"/>
              <w:numPr>
                <w:ilvl w:val="0"/>
                <w:numId w:val="139"/>
              </w:numPr>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Reinsurance</w:t>
            </w:r>
          </w:p>
          <w:p w:rsidRPr="005F5507" w:rsidR="00356129" w:rsidP="005F5507" w:rsidRDefault="4FF25437" w14:paraId="083E564E" w14:textId="51EFA0B1">
            <w:pPr>
              <w:pStyle w:val="TableParagraph"/>
              <w:numPr>
                <w:ilvl w:val="0"/>
                <w:numId w:val="139"/>
              </w:numPr>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Retail Brokerage</w:t>
            </w:r>
          </w:p>
          <w:p w:rsidRPr="005F5507" w:rsidR="00356129" w:rsidP="005F5507" w:rsidRDefault="4FF25437" w14:paraId="0344BB4C" w14:textId="6C8CE13C">
            <w:pPr>
              <w:pStyle w:val="TableParagraph"/>
              <w:numPr>
                <w:ilvl w:val="0"/>
                <w:numId w:val="139"/>
              </w:numPr>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 xml:space="preserve">Wealth management </w:t>
            </w:r>
          </w:p>
          <w:p w:rsidRPr="005F5507" w:rsidR="00356129" w:rsidP="005F5507" w:rsidRDefault="4FF25437" w14:paraId="10F5CE33" w14:textId="04292892">
            <w:pPr>
              <w:pStyle w:val="TableParagraph"/>
              <w:numPr>
                <w:ilvl w:val="0"/>
                <w:numId w:val="139"/>
              </w:numPr>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Real estate agency</w:t>
            </w:r>
          </w:p>
          <w:p w:rsidRPr="005F5507" w:rsidR="00356129" w:rsidP="005F5507" w:rsidRDefault="5C41BFB7" w14:paraId="1A3B44CE" w14:textId="5EE1592A">
            <w:pPr>
              <w:pStyle w:val="TableParagraph"/>
              <w:numPr>
                <w:ilvl w:val="0"/>
                <w:numId w:val="139"/>
              </w:numPr>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 xml:space="preserve">Accounting </w:t>
            </w:r>
          </w:p>
          <w:p w:rsidRPr="005F5507" w:rsidR="719AED5F" w:rsidP="005F5507" w:rsidRDefault="719AED5F" w14:paraId="63855E2D" w14:textId="6DEEDF9E">
            <w:pPr>
              <w:pStyle w:val="TableParagraph"/>
              <w:numPr>
                <w:ilvl w:val="0"/>
                <w:numId w:val="139"/>
              </w:numPr>
              <w:spacing w:before="108"/>
              <w:rPr>
                <w:rFonts w:ascii="Times New Roman" w:hAnsi="Times New Roman"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Other</w:t>
            </w:r>
          </w:p>
          <w:p w:rsidRPr="00D43D39" w:rsidR="00356129" w:rsidP="00764532" w:rsidRDefault="00356129" w14:paraId="26FC5213" w14:textId="00059674">
            <w:pPr>
              <w:pStyle w:val="TableParagraph"/>
              <w:spacing w:before="108"/>
              <w:ind w:left="85"/>
              <w:rPr>
                <w:rFonts w:ascii="Times New Roman" w:hAnsi="Times New Roman" w:eastAsia="Cambria" w:cs="Times New Roman"/>
                <w:color w:val="000000" w:themeColor="text1"/>
                <w:spacing w:val="-2"/>
                <w:w w:val="95"/>
                <w:sz w:val="20"/>
                <w:szCs w:val="20"/>
                <w:lang w:val="en-GB"/>
              </w:rPr>
            </w:pPr>
          </w:p>
        </w:tc>
      </w:tr>
      <w:tr w:rsidRPr="00D43D39" w:rsidR="00D22EB0" w:rsidTr="001C34E8" w14:paraId="4DD231DE" w14:textId="77777777">
        <w:tc>
          <w:tcPr>
            <w:tcW w:w="1191" w:type="dxa"/>
            <w:tcBorders>
              <w:top w:val="single" w:color="1A171C" w:sz="4" w:space="0"/>
              <w:left w:val="nil"/>
              <w:bottom w:val="single" w:color="1A171C" w:sz="4" w:space="0"/>
              <w:right w:val="single" w:color="1A171C" w:sz="4" w:space="0"/>
            </w:tcBorders>
            <w:vAlign w:val="center"/>
          </w:tcPr>
          <w:p w:rsidRPr="00D43D39" w:rsidR="00356129" w:rsidP="00772F88" w:rsidRDefault="00997AB3" w14:paraId="55E6E298" w14:textId="29BF83B6">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356129">
              <w:rPr>
                <w:rFonts w:ascii="Times New Roman" w:hAnsi="Times New Roman" w:eastAsia="Cambria" w:cs="Times New Roman"/>
                <w:color w:val="000000" w:themeColor="text1"/>
                <w:spacing w:val="-2"/>
                <w:w w:val="95"/>
                <w:sz w:val="20"/>
                <w:szCs w:val="20"/>
                <w:lang w:val="en-GB"/>
              </w:rPr>
              <w:t>0</w:t>
            </w:r>
            <w:r w:rsidRPr="00D43D39" w:rsidR="00C747E8">
              <w:rPr>
                <w:rFonts w:ascii="Times New Roman" w:hAnsi="Times New Roman" w:eastAsia="Cambria" w:cs="Times New Roman"/>
                <w:color w:val="000000" w:themeColor="text1"/>
                <w:spacing w:val="-2"/>
                <w:w w:val="95"/>
                <w:sz w:val="20"/>
                <w:szCs w:val="20"/>
                <w:lang w:val="en-GB"/>
              </w:rPr>
              <w:t>2</w:t>
            </w:r>
            <w:r w:rsidRPr="00D43D39" w:rsidR="00356129">
              <w:rPr>
                <w:rFonts w:ascii="Times New Roman" w:hAnsi="Times New Roman" w:eastAsia="Cambria" w:cs="Times New Roman"/>
                <w:color w:val="000000" w:themeColor="text1"/>
                <w:spacing w:val="-2"/>
                <w:w w:val="95"/>
                <w:sz w:val="20"/>
                <w:szCs w:val="20"/>
                <w:lang w:val="en-GB"/>
              </w:rPr>
              <w:t>0</w:t>
            </w:r>
          </w:p>
        </w:tc>
        <w:tc>
          <w:tcPr>
            <w:tcW w:w="7892" w:type="dxa"/>
            <w:tcBorders>
              <w:top w:val="single" w:color="1A171C" w:sz="4" w:space="0"/>
              <w:left w:val="single" w:color="1A171C" w:sz="4" w:space="0"/>
              <w:bottom w:val="single" w:color="1A171C" w:sz="4" w:space="0"/>
              <w:right w:val="nil"/>
            </w:tcBorders>
            <w:vAlign w:val="center"/>
          </w:tcPr>
          <w:p w:rsidRPr="00D43D39" w:rsidR="00356129" w:rsidP="00D75AA9" w:rsidRDefault="00D429E6" w14:paraId="158FB61E"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Business Line </w:t>
            </w:r>
            <w:r w:rsidRPr="00D43D39" w:rsidR="00356129">
              <w:rPr>
                <w:rFonts w:ascii="Times New Roman" w:hAnsi="Times New Roman" w:cs="Times New Roman"/>
                <w:b/>
                <w:bCs/>
                <w:color w:val="000000" w:themeColor="text1"/>
                <w:sz w:val="20"/>
                <w:szCs w:val="20"/>
                <w:lang w:val="en-GB"/>
              </w:rPr>
              <w:t>ID</w:t>
            </w:r>
          </w:p>
          <w:p w:rsidRPr="00D43D39" w:rsidR="00356129" w:rsidP="00D429E6" w:rsidRDefault="00356129" w14:paraId="454A48A8" w14:textId="4D55AC2B">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Unique </w:t>
            </w:r>
            <w:r w:rsidRPr="00D43D39" w:rsidR="00D429E6">
              <w:rPr>
                <w:rFonts w:ascii="Times New Roman" w:hAnsi="Times New Roman" w:eastAsia="Cambria" w:cs="Times New Roman"/>
                <w:color w:val="000000" w:themeColor="text1"/>
                <w:spacing w:val="-2"/>
                <w:w w:val="95"/>
                <w:sz w:val="20"/>
                <w:szCs w:val="20"/>
                <w:lang w:val="en-GB"/>
              </w:rPr>
              <w:t xml:space="preserve">ID of the business line </w:t>
            </w:r>
            <w:r w:rsidRPr="00D43D39">
              <w:rPr>
                <w:rFonts w:ascii="Times New Roman" w:hAnsi="Times New Roman" w:eastAsia="Cambria" w:cs="Times New Roman"/>
                <w:color w:val="000000" w:themeColor="text1"/>
                <w:spacing w:val="-2"/>
                <w:w w:val="95"/>
                <w:sz w:val="20"/>
                <w:szCs w:val="20"/>
                <w:lang w:val="en-GB"/>
              </w:rPr>
              <w:t>to be provided by the institution</w:t>
            </w:r>
            <w:r w:rsidRPr="00D43D39" w:rsidR="00A910D7">
              <w:rPr>
                <w:rFonts w:ascii="Times New Roman" w:hAnsi="Times New Roman" w:eastAsia="Cambria" w:cs="Times New Roman"/>
                <w:color w:val="000000" w:themeColor="text1"/>
                <w:spacing w:val="-2"/>
                <w:w w:val="95"/>
                <w:sz w:val="20"/>
                <w:szCs w:val="20"/>
                <w:lang w:val="en-GB"/>
              </w:rPr>
              <w:t>.</w:t>
            </w:r>
          </w:p>
        </w:tc>
      </w:tr>
      <w:tr w:rsidRPr="00D43D39" w:rsidR="00D22EB0" w:rsidTr="001C34E8" w14:paraId="7649F283" w14:textId="77777777">
        <w:tc>
          <w:tcPr>
            <w:tcW w:w="1191" w:type="dxa"/>
            <w:tcBorders>
              <w:top w:val="single" w:color="1A171C" w:sz="4" w:space="0"/>
              <w:left w:val="nil"/>
              <w:bottom w:val="single" w:color="1A171C" w:sz="4" w:space="0"/>
              <w:right w:val="single" w:color="1A171C" w:sz="4" w:space="0"/>
            </w:tcBorders>
            <w:vAlign w:val="center"/>
          </w:tcPr>
          <w:p w:rsidRPr="00D43D39" w:rsidR="00D429E6" w:rsidP="00772F88" w:rsidRDefault="00997AB3" w14:paraId="13CFED83"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D429E6">
              <w:rPr>
                <w:rFonts w:ascii="Times New Roman" w:hAnsi="Times New Roman" w:eastAsia="Cambria" w:cs="Times New Roman"/>
                <w:color w:val="000000" w:themeColor="text1"/>
                <w:spacing w:val="-2"/>
                <w:w w:val="95"/>
                <w:sz w:val="20"/>
                <w:szCs w:val="20"/>
                <w:lang w:val="en-GB"/>
              </w:rPr>
              <w:t>030</w:t>
            </w:r>
          </w:p>
        </w:tc>
        <w:tc>
          <w:tcPr>
            <w:tcW w:w="7892" w:type="dxa"/>
            <w:tcBorders>
              <w:top w:val="single" w:color="1A171C" w:sz="4" w:space="0"/>
              <w:left w:val="single" w:color="1A171C" w:sz="4" w:space="0"/>
              <w:bottom w:val="single" w:color="1A171C" w:sz="4" w:space="0"/>
              <w:right w:val="nil"/>
            </w:tcBorders>
            <w:vAlign w:val="center"/>
          </w:tcPr>
          <w:p w:rsidRPr="00D43D39" w:rsidR="00D429E6" w:rsidP="00772F88" w:rsidRDefault="00D429E6" w14:paraId="2AD78898"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Description</w:t>
            </w:r>
          </w:p>
          <w:p w:rsidRPr="00D43D39" w:rsidR="00D429E6" w:rsidP="00B940FC" w:rsidRDefault="00D429E6" w14:paraId="299FE611" w14:textId="512F8D7B">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Description of </w:t>
            </w:r>
            <w:r w:rsidRPr="00D43D39" w:rsidR="00A910D7">
              <w:rPr>
                <w:rFonts w:ascii="Times New Roman" w:hAnsi="Times New Roman" w:eastAsia="Cambria" w:cs="Times New Roman"/>
                <w:color w:val="000000" w:themeColor="text1"/>
                <w:spacing w:val="-2"/>
                <w:w w:val="95"/>
                <w:sz w:val="20"/>
                <w:szCs w:val="20"/>
                <w:lang w:val="en-GB"/>
              </w:rPr>
              <w:t xml:space="preserve">the </w:t>
            </w:r>
            <w:r w:rsidRPr="00D43D39">
              <w:rPr>
                <w:rFonts w:ascii="Times New Roman" w:hAnsi="Times New Roman" w:eastAsia="Cambria" w:cs="Times New Roman"/>
                <w:color w:val="000000" w:themeColor="text1"/>
                <w:spacing w:val="-2"/>
                <w:w w:val="95"/>
                <w:sz w:val="20"/>
                <w:szCs w:val="20"/>
                <w:lang w:val="en-GB"/>
              </w:rPr>
              <w:t>business line.</w:t>
            </w:r>
          </w:p>
        </w:tc>
      </w:tr>
      <w:tr w:rsidRPr="00D43D39" w:rsidR="00D22EB0" w:rsidTr="001C34E8" w14:paraId="1C08777F" w14:textId="77777777">
        <w:tc>
          <w:tcPr>
            <w:tcW w:w="1191" w:type="dxa"/>
            <w:tcBorders>
              <w:top w:val="single" w:color="1A171C" w:sz="4" w:space="0"/>
              <w:left w:val="nil"/>
              <w:bottom w:val="single" w:color="1A171C" w:sz="4" w:space="0"/>
              <w:right w:val="single" w:color="1A171C" w:sz="4" w:space="0"/>
            </w:tcBorders>
            <w:vAlign w:val="center"/>
          </w:tcPr>
          <w:p w:rsidRPr="00D43D39" w:rsidR="00356129" w:rsidP="00772F88" w:rsidRDefault="00997AB3" w14:paraId="2E5E225E" w14:textId="54CBB8CE">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356129">
              <w:rPr>
                <w:rFonts w:ascii="Times New Roman" w:hAnsi="Times New Roman" w:eastAsia="Cambria" w:cs="Times New Roman"/>
                <w:color w:val="000000" w:themeColor="text1"/>
                <w:spacing w:val="-2"/>
                <w:w w:val="95"/>
                <w:sz w:val="20"/>
                <w:szCs w:val="20"/>
                <w:lang w:val="en-GB"/>
              </w:rPr>
              <w:t>0</w:t>
            </w:r>
            <w:r w:rsidRPr="00D43D39" w:rsidR="00C747E8">
              <w:rPr>
                <w:rFonts w:ascii="Times New Roman" w:hAnsi="Times New Roman" w:eastAsia="Cambria" w:cs="Times New Roman"/>
                <w:color w:val="000000" w:themeColor="text1"/>
                <w:spacing w:val="-2"/>
                <w:w w:val="95"/>
                <w:sz w:val="20"/>
                <w:szCs w:val="20"/>
                <w:lang w:val="en-GB"/>
              </w:rPr>
              <w:t>4</w:t>
            </w:r>
            <w:r w:rsidRPr="00D43D39" w:rsidR="004253A0">
              <w:rPr>
                <w:rFonts w:ascii="Times New Roman" w:hAnsi="Times New Roman" w:eastAsia="Cambria" w:cs="Times New Roman"/>
                <w:color w:val="000000" w:themeColor="text1"/>
                <w:spacing w:val="-2"/>
                <w:w w:val="95"/>
                <w:sz w:val="20"/>
                <w:szCs w:val="20"/>
                <w:lang w:val="en-GB"/>
              </w:rPr>
              <w:t>0</w:t>
            </w:r>
          </w:p>
        </w:tc>
        <w:tc>
          <w:tcPr>
            <w:tcW w:w="7892" w:type="dxa"/>
            <w:tcBorders>
              <w:top w:val="single" w:color="1A171C" w:sz="4" w:space="0"/>
              <w:left w:val="single" w:color="1A171C" w:sz="4" w:space="0"/>
              <w:bottom w:val="single" w:color="1A171C" w:sz="4" w:space="0"/>
              <w:right w:val="nil"/>
            </w:tcBorders>
            <w:vAlign w:val="center"/>
          </w:tcPr>
          <w:p w:rsidRPr="00D43D39" w:rsidR="00356129" w:rsidP="00D75AA9" w:rsidRDefault="00356129" w14:paraId="6C59330F" w14:textId="267DAC8D">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w:t>
            </w:r>
            <w:r w:rsidRPr="00D43D39" w:rsidR="006049D9">
              <w:rPr>
                <w:rFonts w:ascii="Times New Roman" w:hAnsi="Times New Roman" w:cs="Times New Roman"/>
                <w:b/>
                <w:bCs/>
                <w:color w:val="000000" w:themeColor="text1"/>
                <w:sz w:val="20"/>
                <w:szCs w:val="20"/>
                <w:lang w:val="en-GB"/>
              </w:rPr>
              <w:t>n</w:t>
            </w:r>
            <w:r w:rsidRPr="00D43D39">
              <w:rPr>
                <w:rFonts w:ascii="Times New Roman" w:hAnsi="Times New Roman" w:cs="Times New Roman"/>
                <w:b/>
                <w:bCs/>
                <w:color w:val="000000" w:themeColor="text1"/>
                <w:sz w:val="20"/>
                <w:szCs w:val="20"/>
                <w:lang w:val="en-GB"/>
              </w:rPr>
              <w:t>ame</w:t>
            </w:r>
          </w:p>
          <w:p w:rsidRPr="00D43D39" w:rsidR="00356129" w:rsidP="003C0155" w:rsidRDefault="00D429E6" w14:paraId="2827DAFA" w14:textId="011AE538">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N</w:t>
            </w:r>
            <w:r w:rsidRPr="00D43D39" w:rsidR="00356129">
              <w:rPr>
                <w:rFonts w:ascii="Times New Roman" w:hAnsi="Times New Roman" w:eastAsia="Cambria" w:cs="Times New Roman"/>
                <w:color w:val="000000" w:themeColor="text1"/>
                <w:spacing w:val="-2"/>
                <w:w w:val="95"/>
                <w:sz w:val="20"/>
                <w:szCs w:val="20"/>
                <w:lang w:val="en-GB"/>
              </w:rPr>
              <w:t xml:space="preserve">ame of the </w:t>
            </w:r>
            <w:r w:rsidRPr="00D43D39" w:rsidR="001C74FB">
              <w:rPr>
                <w:rFonts w:ascii="Times New Roman" w:hAnsi="Times New Roman" w:eastAsia="Cambria" w:cs="Times New Roman"/>
                <w:color w:val="000000" w:themeColor="text1"/>
                <w:spacing w:val="-2"/>
                <w:w w:val="95"/>
                <w:sz w:val="20"/>
                <w:szCs w:val="20"/>
                <w:lang w:val="en-GB"/>
              </w:rPr>
              <w:t>Entity</w:t>
            </w:r>
            <w:r w:rsidRPr="00D43D39">
              <w:rPr>
                <w:rFonts w:ascii="Times New Roman" w:hAnsi="Times New Roman" w:eastAsia="Cambria" w:cs="Times New Roman"/>
                <w:color w:val="000000" w:themeColor="text1"/>
                <w:spacing w:val="-2"/>
                <w:w w:val="95"/>
                <w:sz w:val="20"/>
                <w:szCs w:val="20"/>
                <w:lang w:val="en-GB"/>
              </w:rPr>
              <w:t xml:space="preserve"> as reported in </w:t>
            </w:r>
            <w:r w:rsidRPr="00D43D39" w:rsidR="000A4140">
              <w:rPr>
                <w:rFonts w:ascii="Times New Roman" w:hAnsi="Times New Roman" w:eastAsia="Cambria" w:cs="Times New Roman"/>
                <w:color w:val="000000" w:themeColor="text1"/>
                <w:spacing w:val="-2"/>
                <w:w w:val="95"/>
                <w:sz w:val="20"/>
                <w:szCs w:val="20"/>
                <w:lang w:val="en-GB"/>
              </w:rPr>
              <w:t>Z 01.01</w:t>
            </w:r>
            <w:r w:rsidRPr="00D43D39">
              <w:rPr>
                <w:rFonts w:ascii="Times New Roman" w:hAnsi="Times New Roman" w:eastAsia="Cambria" w:cs="Times New Roman"/>
                <w:color w:val="000000" w:themeColor="text1"/>
                <w:spacing w:val="-2"/>
                <w:w w:val="95"/>
                <w:sz w:val="20"/>
                <w:szCs w:val="20"/>
                <w:lang w:val="en-GB"/>
              </w:rPr>
              <w:t xml:space="preserve"> </w:t>
            </w:r>
            <w:r w:rsidRPr="00D43D39" w:rsidR="000A4140">
              <w:rPr>
                <w:rFonts w:ascii="Times New Roman" w:hAnsi="Times New Roman" w:eastAsia="Cambria" w:cs="Times New Roman"/>
                <w:color w:val="000000" w:themeColor="text1"/>
                <w:spacing w:val="-2"/>
                <w:w w:val="95"/>
                <w:sz w:val="20"/>
                <w:szCs w:val="20"/>
                <w:lang w:val="en-GB"/>
              </w:rPr>
              <w:t>(ORG 1)</w:t>
            </w:r>
            <w:r w:rsidRPr="00D43D39" w:rsidR="00356129">
              <w:rPr>
                <w:rFonts w:ascii="Times New Roman" w:hAnsi="Times New Roman" w:eastAsia="Cambria" w:cs="Times New Roman"/>
                <w:color w:val="000000" w:themeColor="text1"/>
                <w:spacing w:val="-2"/>
                <w:w w:val="95"/>
                <w:sz w:val="20"/>
                <w:szCs w:val="20"/>
                <w:lang w:val="en-GB"/>
              </w:rPr>
              <w:t xml:space="preserve"> </w:t>
            </w:r>
            <w:r w:rsidRPr="00D43D39" w:rsidR="009F28B9">
              <w:rPr>
                <w:rFonts w:ascii="Times New Roman" w:hAnsi="Times New Roman" w:eastAsia="Cambria" w:cs="Times New Roman"/>
                <w:color w:val="000000" w:themeColor="text1"/>
                <w:spacing w:val="-2"/>
                <w:w w:val="95"/>
                <w:sz w:val="20"/>
                <w:szCs w:val="20"/>
                <w:lang w:val="en-GB"/>
              </w:rPr>
              <w:t xml:space="preserve">that provides </w:t>
            </w:r>
            <w:r w:rsidRPr="00D43D39">
              <w:rPr>
                <w:rFonts w:ascii="Times New Roman" w:hAnsi="Times New Roman" w:eastAsia="Cambria" w:cs="Times New Roman"/>
                <w:color w:val="000000" w:themeColor="text1"/>
                <w:spacing w:val="-2"/>
                <w:w w:val="95"/>
                <w:sz w:val="20"/>
                <w:szCs w:val="20"/>
                <w:lang w:val="en-GB"/>
              </w:rPr>
              <w:t xml:space="preserve">the </w:t>
            </w:r>
            <w:r w:rsidRPr="00D43D39" w:rsidR="00356129">
              <w:rPr>
                <w:rFonts w:ascii="Times New Roman" w:hAnsi="Times New Roman" w:eastAsia="Cambria" w:cs="Times New Roman"/>
                <w:color w:val="000000" w:themeColor="text1"/>
                <w:spacing w:val="-2"/>
                <w:w w:val="95"/>
                <w:sz w:val="20"/>
                <w:szCs w:val="20"/>
                <w:lang w:val="en-GB"/>
              </w:rPr>
              <w:t>business line.</w:t>
            </w:r>
          </w:p>
        </w:tc>
      </w:tr>
      <w:tr w:rsidRPr="00D43D39" w:rsidR="00D22EB0" w:rsidTr="001C34E8" w14:paraId="15DB9FB1" w14:textId="77777777">
        <w:tc>
          <w:tcPr>
            <w:tcW w:w="1191" w:type="dxa"/>
            <w:tcBorders>
              <w:top w:val="single" w:color="1A171C" w:sz="4" w:space="0"/>
              <w:left w:val="nil"/>
              <w:bottom w:val="single" w:color="1A171C" w:sz="4" w:space="0"/>
              <w:right w:val="single" w:color="1A171C" w:sz="4" w:space="0"/>
            </w:tcBorders>
            <w:vAlign w:val="center"/>
          </w:tcPr>
          <w:p w:rsidRPr="00D43D39" w:rsidR="00356129" w:rsidP="00772F88" w:rsidRDefault="00356129" w14:paraId="0BDD1257" w14:textId="13EB244C">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997AB3">
              <w:rPr>
                <w:rFonts w:ascii="Times New Roman" w:hAnsi="Times New Roman" w:eastAsia="Cambria" w:cs="Times New Roman"/>
                <w:color w:val="000000" w:themeColor="text1"/>
                <w:spacing w:val="-2"/>
                <w:w w:val="95"/>
                <w:sz w:val="20"/>
                <w:szCs w:val="20"/>
                <w:lang w:val="en-GB"/>
              </w:rPr>
              <w:t>0</w:t>
            </w:r>
            <w:r w:rsidRPr="00D43D39" w:rsidR="00C747E8">
              <w:rPr>
                <w:rFonts w:ascii="Times New Roman" w:hAnsi="Times New Roman" w:eastAsia="Cambria" w:cs="Times New Roman"/>
                <w:color w:val="000000" w:themeColor="text1"/>
                <w:spacing w:val="-2"/>
                <w:w w:val="95"/>
                <w:sz w:val="20"/>
                <w:szCs w:val="20"/>
                <w:lang w:val="en-GB"/>
              </w:rPr>
              <w:t>5</w:t>
            </w:r>
            <w:r w:rsidRPr="00D43D39">
              <w:rPr>
                <w:rFonts w:ascii="Times New Roman" w:hAnsi="Times New Roman" w:eastAsia="Cambria" w:cs="Times New Roman"/>
                <w:color w:val="000000" w:themeColor="text1"/>
                <w:spacing w:val="-2"/>
                <w:w w:val="95"/>
                <w:sz w:val="20"/>
                <w:szCs w:val="20"/>
                <w:lang w:val="en-GB"/>
              </w:rPr>
              <w:t>0</w:t>
            </w:r>
          </w:p>
        </w:tc>
        <w:tc>
          <w:tcPr>
            <w:tcW w:w="7892" w:type="dxa"/>
            <w:tcBorders>
              <w:top w:val="single" w:color="1A171C" w:sz="4" w:space="0"/>
              <w:left w:val="single" w:color="1A171C" w:sz="4" w:space="0"/>
              <w:bottom w:val="single" w:color="1A171C" w:sz="4" w:space="0"/>
              <w:right w:val="nil"/>
            </w:tcBorders>
            <w:vAlign w:val="center"/>
          </w:tcPr>
          <w:p w:rsidRPr="00D43D39" w:rsidR="00356129" w:rsidP="00D75AA9" w:rsidRDefault="00356129" w14:paraId="3B1546DB"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Code </w:t>
            </w:r>
          </w:p>
          <w:p w:rsidRPr="00D43D39" w:rsidR="00E9183F" w:rsidP="00E9183F" w:rsidRDefault="00E9183F" w14:paraId="617EFACD"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Unique identifier of the legal entity in column 0020, as reported in template Z 01.01 (ORG 1).</w:t>
            </w:r>
          </w:p>
          <w:p w:rsidRPr="00D43D39" w:rsidR="00356129" w:rsidP="00E9183F" w:rsidRDefault="00E9183F" w14:paraId="3A4C22B0" w14:textId="5FECED21">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The identification of entities shall be made in a consistent way across the templates.</w:t>
            </w:r>
          </w:p>
        </w:tc>
      </w:tr>
      <w:tr w:rsidRPr="00D43D39" w:rsidR="00B940FC" w:rsidTr="00B940FC" w14:paraId="444B6490" w14:textId="77777777">
        <w:tc>
          <w:tcPr>
            <w:tcW w:w="1191" w:type="dxa"/>
            <w:tcBorders>
              <w:top w:val="single" w:color="1A171C" w:sz="4" w:space="0"/>
              <w:left w:val="nil"/>
              <w:bottom w:val="single" w:color="1A171C" w:sz="4" w:space="0"/>
              <w:right w:val="single" w:color="1A171C" w:sz="4" w:space="0"/>
            </w:tcBorders>
            <w:vAlign w:val="center"/>
          </w:tcPr>
          <w:p w:rsidRPr="00D43D39" w:rsidR="00B940FC" w:rsidRDefault="00B940FC" w14:paraId="643E6C33" w14:textId="2739C2DB">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0</w:t>
            </w:r>
            <w:r w:rsidRPr="00D43D39" w:rsidR="00C747E8">
              <w:rPr>
                <w:rFonts w:ascii="Times New Roman" w:hAnsi="Times New Roman" w:eastAsia="Cambria" w:cs="Times New Roman"/>
                <w:color w:val="000000" w:themeColor="text1"/>
                <w:spacing w:val="-2"/>
                <w:w w:val="95"/>
                <w:sz w:val="20"/>
                <w:szCs w:val="20"/>
                <w:lang w:val="en-GB"/>
              </w:rPr>
              <w:t>06</w:t>
            </w:r>
            <w:r w:rsidRPr="00D43D39" w:rsidR="00AD418F">
              <w:rPr>
                <w:rFonts w:ascii="Times New Roman" w:hAnsi="Times New Roman" w:eastAsia="Cambria" w:cs="Times New Roman"/>
                <w:color w:val="000000" w:themeColor="text1"/>
                <w:spacing w:val="-2"/>
                <w:w w:val="95"/>
                <w:sz w:val="20"/>
                <w:szCs w:val="20"/>
                <w:lang w:val="en-GB"/>
              </w:rPr>
              <w:t>0</w:t>
            </w:r>
          </w:p>
        </w:tc>
        <w:tc>
          <w:tcPr>
            <w:tcW w:w="7892" w:type="dxa"/>
            <w:tcBorders>
              <w:top w:val="single" w:color="1A171C" w:sz="4" w:space="0"/>
              <w:left w:val="single" w:color="1A171C" w:sz="4" w:space="0"/>
              <w:bottom w:val="single" w:color="1A171C" w:sz="4" w:space="0"/>
              <w:right w:val="nil"/>
            </w:tcBorders>
            <w:vAlign w:val="center"/>
          </w:tcPr>
          <w:p w:rsidRPr="00D43D39" w:rsidR="00B940FC" w:rsidP="003B1365" w:rsidRDefault="00B940FC" w14:paraId="49C9CDFF"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 of Code</w:t>
            </w:r>
          </w:p>
          <w:p w:rsidR="00161C05" w:rsidP="00161C05" w:rsidRDefault="00161C05" w14:paraId="06186358"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hAnsi="Times New Roman" w:eastAsia="Cambria" w:cs="Times New Roman"/>
                <w:color w:val="000000" w:themeColor="text1"/>
                <w:spacing w:val="-2"/>
                <w:w w:val="95"/>
                <w:sz w:val="20"/>
                <w:szCs w:val="20"/>
                <w:lang w:val="en-GB"/>
              </w:rPr>
              <w:t xml:space="preserve"> preferably the LEI code.</w:t>
            </w:r>
          </w:p>
          <w:p w:rsidR="00161C05" w:rsidP="00161C05" w:rsidRDefault="00161C05" w14:paraId="70A7E59B" w14:textId="6819FD2B">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BC38B6">
              <w:rPr>
                <w:rFonts w:ascii="Times New Roman" w:hAnsi="Times New Roman" w:eastAsia="Cambria" w:cs="Times New Roman"/>
                <w:color w:val="000000" w:themeColor="text1"/>
                <w:spacing w:val="-2"/>
                <w:w w:val="95"/>
                <w:sz w:val="20"/>
                <w:szCs w:val="20"/>
                <w:lang w:val="en-GB"/>
              </w:rPr>
              <w:t>, or if not available</w:t>
            </w:r>
            <w:r w:rsidR="002526C2">
              <w:rPr>
                <w:rFonts w:ascii="Times New Roman" w:hAnsi="Times New Roman" w:eastAsia="Cambria" w:cs="Times New Roman"/>
                <w:color w:val="000000" w:themeColor="text1"/>
                <w:spacing w:val="-2"/>
                <w:w w:val="95"/>
                <w:sz w:val="20"/>
                <w:szCs w:val="20"/>
                <w:lang w:val="en-GB"/>
              </w:rPr>
              <w:t>, report</w:t>
            </w:r>
            <w:r w:rsidRPr="00BC38B6">
              <w:rPr>
                <w:rFonts w:ascii="Times New Roman" w:hAnsi="Times New Roman" w:eastAsia="Cambria" w:cs="Times New Roman"/>
                <w:color w:val="000000" w:themeColor="text1"/>
                <w:spacing w:val="-2"/>
                <w:w w:val="95"/>
                <w:sz w:val="20"/>
                <w:szCs w:val="20"/>
                <w:lang w:val="en-GB"/>
              </w:rPr>
              <w:t xml:space="preserve"> a national code</w:t>
            </w:r>
            <w:r>
              <w:rPr>
                <w:rFonts w:ascii="Times New Roman" w:hAnsi="Times New Roman" w:eastAsia="Cambria" w:cs="Times New Roman"/>
                <w:color w:val="000000" w:themeColor="text1"/>
                <w:spacing w:val="-2"/>
                <w:w w:val="95"/>
                <w:sz w:val="20"/>
                <w:szCs w:val="20"/>
                <w:lang w:val="en-GB"/>
              </w:rPr>
              <w:t>.</w:t>
            </w:r>
          </w:p>
          <w:p w:rsidRPr="00D43D39" w:rsidR="00B940FC" w:rsidP="003B1365" w:rsidRDefault="00161C05" w14:paraId="7201A608" w14:textId="2BDCB065">
            <w:pPr>
              <w:pStyle w:val="TableParagraph"/>
              <w:spacing w:before="108"/>
              <w:ind w:left="85"/>
              <w:jc w:val="both"/>
              <w:rPr>
                <w:rFonts w:ascii="Times New Roman" w:hAnsi="Times New Roman" w:cs="Times New Roman"/>
                <w:b/>
                <w:bCs/>
                <w:color w:val="000000" w:themeColor="text1"/>
                <w:sz w:val="20"/>
                <w:szCs w:val="20"/>
                <w:lang w:val="en-GB"/>
              </w:rPr>
            </w:pPr>
            <w:r w:rsidRPr="00BC38B6">
              <w:rPr>
                <w:rFonts w:ascii="Times New Roman" w:hAnsi="Times New Roman" w:cs="Times New Roman"/>
                <w:bCs/>
                <w:color w:val="000000" w:themeColor="text1"/>
                <w:sz w:val="20"/>
                <w:szCs w:val="20"/>
                <w:lang w:val="en-GB"/>
              </w:rPr>
              <w:t>The identification of entities shall be made in a consistent way across the templates.</w:t>
            </w:r>
            <w:r w:rsidR="002526C2">
              <w:rPr>
                <w:rFonts w:ascii="Times New Roman" w:hAnsi="Times New Roman" w:cs="Times New Roman"/>
                <w:bCs/>
                <w:color w:val="000000" w:themeColor="text1"/>
                <w:sz w:val="20"/>
                <w:szCs w:val="20"/>
                <w:lang w:val="en-GB"/>
              </w:rPr>
              <w:t xml:space="preserve"> </w:t>
            </w:r>
            <w:r w:rsidRPr="00D43D39" w:rsidR="00B940FC">
              <w:rPr>
                <w:rFonts w:ascii="Times New Roman" w:hAnsi="Times New Roman" w:cs="Times New Roman"/>
                <w:bCs/>
                <w:color w:val="000000" w:themeColor="text1"/>
                <w:sz w:val="20"/>
                <w:szCs w:val="20"/>
                <w:lang w:val="en-GB"/>
              </w:rPr>
              <w:t>The identification of entities shall be made in a consistent way across the templates.</w:t>
            </w:r>
          </w:p>
        </w:tc>
      </w:tr>
    </w:tbl>
    <w:p w:rsidRPr="005F5507" w:rsidR="00B84DC4" w:rsidP="001C34E8" w:rsidRDefault="00F7117F" w14:paraId="06A32410" w14:textId="18DF3050">
      <w:pPr>
        <w:pStyle w:val="Instructionsberschrift2"/>
        <w:numPr>
          <w:ilvl w:val="1"/>
          <w:numId w:val="49"/>
        </w:numPr>
        <w:ind w:left="357" w:hanging="357"/>
        <w:rPr>
          <w:rFonts w:ascii="Times New Roman" w:hAnsi="Times New Roman" w:cs="Times New Roman"/>
        </w:rPr>
      </w:pPr>
      <w:bookmarkStart w:name="_Toc172732240" w:id="114"/>
      <w:r w:rsidRPr="00D43D39">
        <w:rPr>
          <w:rFonts w:ascii="Times New Roman" w:hAnsi="Times New Roman" w:cs="Times New Roman"/>
        </w:rPr>
        <w:t>Z 0</w:t>
      </w:r>
      <w:r w:rsidRPr="00D43D39" w:rsidR="003D0643">
        <w:rPr>
          <w:rFonts w:ascii="Times New Roman" w:hAnsi="Times New Roman" w:cs="Times New Roman"/>
        </w:rPr>
        <w:t>7</w:t>
      </w:r>
      <w:r w:rsidRPr="00D43D39" w:rsidR="0056559D">
        <w:rPr>
          <w:rFonts w:ascii="Times New Roman" w:hAnsi="Times New Roman" w:cs="Times New Roman"/>
        </w:rPr>
        <w:t xml:space="preserve">.04 - Mapping of </w:t>
      </w:r>
      <w:r w:rsidRPr="00D43D39" w:rsidR="00542E44">
        <w:rPr>
          <w:rFonts w:ascii="Times New Roman" w:hAnsi="Times New Roman" w:cs="Times New Roman"/>
        </w:rPr>
        <w:t xml:space="preserve"> critical </w:t>
      </w:r>
      <w:r w:rsidRPr="00D43D39" w:rsidR="0056559D">
        <w:rPr>
          <w:rFonts w:ascii="Times New Roman" w:hAnsi="Times New Roman" w:cs="Times New Roman"/>
        </w:rPr>
        <w:t xml:space="preserve">functions </w:t>
      </w:r>
      <w:r w:rsidRPr="00D43D39" w:rsidR="003D0643">
        <w:rPr>
          <w:rFonts w:ascii="Times New Roman" w:hAnsi="Times New Roman" w:cs="Times New Roman"/>
        </w:rPr>
        <w:t>to</w:t>
      </w:r>
      <w:r w:rsidRPr="00D43D39" w:rsidR="0056559D">
        <w:rPr>
          <w:rFonts w:ascii="Times New Roman" w:hAnsi="Times New Roman" w:cs="Times New Roman"/>
        </w:rPr>
        <w:t xml:space="preserve"> </w:t>
      </w:r>
      <w:r w:rsidRPr="00D43D39" w:rsidR="00542E44">
        <w:rPr>
          <w:rFonts w:ascii="Times New Roman" w:hAnsi="Times New Roman" w:cs="Times New Roman"/>
        </w:rPr>
        <w:t xml:space="preserve">core </w:t>
      </w:r>
      <w:r w:rsidRPr="00D43D39" w:rsidR="003D0643">
        <w:rPr>
          <w:rFonts w:ascii="Times New Roman" w:hAnsi="Times New Roman" w:cs="Times New Roman"/>
        </w:rPr>
        <w:t>business lines</w:t>
      </w:r>
      <w:r w:rsidRPr="00D43D39" w:rsidR="00E00ECB">
        <w:rPr>
          <w:rFonts w:ascii="Times New Roman" w:hAnsi="Times New Roman" w:cs="Times New Roman"/>
        </w:rPr>
        <w:t xml:space="preserve"> (</w:t>
      </w:r>
      <w:r w:rsidRPr="00D43D39" w:rsidR="0056559D">
        <w:rPr>
          <w:rFonts w:ascii="Times New Roman" w:hAnsi="Times New Roman" w:cs="Times New Roman"/>
        </w:rPr>
        <w:t>FUNC 4)</w:t>
      </w:r>
      <w:bookmarkEnd w:id="114"/>
    </w:p>
    <w:p w:rsidRPr="00D43D39" w:rsidR="0056559D" w:rsidP="00B940FC" w:rsidRDefault="003D0643" w14:paraId="258A1667" w14:textId="5AE64041">
      <w:pPr>
        <w:pStyle w:val="Instructionsberschrift3"/>
        <w:rPr>
          <w:b/>
          <w:bCs/>
        </w:rPr>
      </w:pPr>
      <w:r w:rsidRPr="00D43D39">
        <w:rPr>
          <w:b/>
          <w:bCs/>
        </w:rPr>
        <w:t>Instru</w:t>
      </w:r>
      <w:r w:rsidRPr="00D43D39" w:rsidR="008946F7">
        <w:rPr>
          <w:b/>
          <w:bCs/>
        </w:rPr>
        <w:t>c</w:t>
      </w:r>
      <w:r w:rsidRPr="00D43D39">
        <w:rPr>
          <w:b/>
          <w:bCs/>
        </w:rPr>
        <w:t>tions concerning specific positions</w:t>
      </w:r>
    </w:p>
    <w:p w:rsidRPr="00D43D39" w:rsidR="00542E44" w:rsidP="005F5507" w:rsidRDefault="561ACEB3" w14:paraId="06D3C707" w14:textId="25E67117">
      <w:pPr>
        <w:pStyle w:val="InstructionsText2"/>
        <w:numPr>
          <w:ilvl w:val="0"/>
          <w:numId w:val="0"/>
        </w:numPr>
        <w:spacing w:before="0"/>
        <w:ind w:left="180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The combination of values reported in columns </w:t>
      </w:r>
      <w:r w:rsidRPr="00D43D39" w:rsidR="2F3C8DC7">
        <w:rPr>
          <w:rFonts w:ascii="Times New Roman" w:hAnsi="Times New Roman" w:cs="Times New Roman"/>
          <w:sz w:val="20"/>
          <w:szCs w:val="20"/>
          <w:lang w:val="en-GB"/>
        </w:rPr>
        <w:t>0</w:t>
      </w:r>
      <w:r w:rsidRPr="00D43D39" w:rsidR="19E8C7E0">
        <w:rPr>
          <w:rFonts w:ascii="Times New Roman" w:hAnsi="Times New Roman" w:cs="Times New Roman"/>
          <w:sz w:val="20"/>
          <w:szCs w:val="20"/>
          <w:lang w:val="en-GB"/>
        </w:rPr>
        <w:t>0</w:t>
      </w:r>
      <w:r w:rsidRPr="00D43D39" w:rsidR="2F3C8DC7">
        <w:rPr>
          <w:rFonts w:ascii="Times New Roman" w:hAnsi="Times New Roman" w:cs="Times New Roman"/>
          <w:sz w:val="20"/>
          <w:szCs w:val="20"/>
          <w:lang w:val="en-GB"/>
        </w:rPr>
        <w:t xml:space="preserve">10, </w:t>
      </w:r>
      <w:r w:rsidRPr="00D43D39">
        <w:rPr>
          <w:rFonts w:ascii="Times New Roman" w:hAnsi="Times New Roman" w:cs="Times New Roman"/>
          <w:sz w:val="20"/>
          <w:szCs w:val="20"/>
          <w:lang w:val="en-GB"/>
        </w:rPr>
        <w:t>0</w:t>
      </w:r>
      <w:r w:rsidRPr="00D43D39" w:rsidR="19E8C7E0">
        <w:rPr>
          <w:rFonts w:ascii="Times New Roman" w:hAnsi="Times New Roman" w:cs="Times New Roman"/>
          <w:sz w:val="20"/>
          <w:szCs w:val="20"/>
          <w:lang w:val="en-GB"/>
        </w:rPr>
        <w:t>0</w:t>
      </w:r>
      <w:r w:rsidRPr="00D43D39">
        <w:rPr>
          <w:rFonts w:ascii="Times New Roman" w:hAnsi="Times New Roman" w:cs="Times New Roman"/>
          <w:sz w:val="20"/>
          <w:szCs w:val="20"/>
          <w:lang w:val="en-GB"/>
        </w:rPr>
        <w:t>20 and 0</w:t>
      </w:r>
      <w:r w:rsidRPr="00D43D39" w:rsidR="19E8C7E0">
        <w:rPr>
          <w:rFonts w:ascii="Times New Roman" w:hAnsi="Times New Roman" w:cs="Times New Roman"/>
          <w:sz w:val="20"/>
          <w:szCs w:val="20"/>
          <w:lang w:val="en-GB"/>
        </w:rPr>
        <w:t>0</w:t>
      </w:r>
      <w:r w:rsidRPr="00D43D39">
        <w:rPr>
          <w:rFonts w:ascii="Times New Roman" w:hAnsi="Times New Roman" w:cs="Times New Roman"/>
          <w:sz w:val="20"/>
          <w:szCs w:val="20"/>
          <w:lang w:val="en-GB"/>
        </w:rPr>
        <w:t>40 of this template forms a primary key which has to be unique for each row of the template.</w:t>
      </w:r>
    </w:p>
    <w:p w:rsidRPr="005F5507" w:rsidR="00E714C5" w:rsidP="005F5507" w:rsidRDefault="00542E44" w14:paraId="7352C8D5" w14:textId="0E391A8F">
      <w:pPr>
        <w:pStyle w:val="InstructionsText2"/>
        <w:numPr>
          <w:ilvl w:val="0"/>
          <w:numId w:val="0"/>
        </w:numPr>
        <w:spacing w:before="0"/>
        <w:ind w:left="1800"/>
        <w:rPr>
          <w:rFonts w:ascii="Times New Roman" w:hAnsi="Times New Roman" w:cs="Times New Roman"/>
        </w:rPr>
      </w:pPr>
      <w:r w:rsidRPr="00D43D39">
        <w:rPr>
          <w:rFonts w:ascii="Times New Roman" w:hAnsi="Times New Roman" w:cs="Times New Roman"/>
          <w:sz w:val="20"/>
          <w:szCs w:val="20"/>
          <w:lang w:val="en-GB"/>
        </w:rPr>
        <w:t>Only critical functions, as identified in {Z 07.01;0070}, shall be reported in this template</w:t>
      </w: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Pr="00D43D39" w:rsidR="00D22EB0" w:rsidTr="0A1E4F91" w14:paraId="2559D028" w14:textId="77777777">
        <w:tc>
          <w:tcPr>
            <w:tcW w:w="1191" w:type="dxa"/>
            <w:tcBorders>
              <w:top w:val="single" w:color="1A171C" w:sz="4" w:space="0"/>
              <w:left w:val="nil"/>
              <w:bottom w:val="single" w:color="1A171C" w:sz="4" w:space="0"/>
              <w:right w:val="single" w:color="1A171C" w:sz="4" w:space="0"/>
            </w:tcBorders>
            <w:shd w:val="clear" w:color="auto" w:fill="E4E5E5"/>
          </w:tcPr>
          <w:p w:rsidRPr="00D43D39" w:rsidR="003D0643" w:rsidP="00772F88" w:rsidRDefault="003D0643" w14:paraId="49EF7682"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Columns</w:t>
            </w:r>
          </w:p>
        </w:tc>
        <w:tc>
          <w:tcPr>
            <w:tcW w:w="7892" w:type="dxa"/>
            <w:tcBorders>
              <w:top w:val="single" w:color="1A171C" w:sz="4" w:space="0"/>
              <w:left w:val="single" w:color="1A171C" w:sz="4" w:space="0"/>
              <w:bottom w:val="single" w:color="1A171C" w:sz="4" w:space="0"/>
              <w:right w:val="nil"/>
            </w:tcBorders>
            <w:shd w:val="clear" w:color="auto" w:fill="E4E5E5"/>
          </w:tcPr>
          <w:p w:rsidRPr="00D43D39" w:rsidR="003D0643" w:rsidP="00772F88" w:rsidRDefault="003D0643" w14:paraId="02A23F0F" w14:textId="77777777">
            <w:pPr>
              <w:pStyle w:val="TableParagraph"/>
              <w:spacing w:before="108"/>
              <w:ind w:left="85" w:right="1"/>
              <w:jc w:val="both"/>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Instructions</w:t>
            </w:r>
          </w:p>
        </w:tc>
      </w:tr>
      <w:tr w:rsidRPr="00D43D39" w:rsidR="006049D9" w:rsidTr="0A1E4F91" w14:paraId="33E4E9EA" w14:textId="77777777">
        <w:tc>
          <w:tcPr>
            <w:tcW w:w="1191" w:type="dxa"/>
            <w:tcBorders>
              <w:top w:val="single" w:color="1A171C" w:sz="4" w:space="0"/>
              <w:left w:val="nil"/>
              <w:bottom w:val="single" w:color="1A171C" w:sz="4" w:space="0"/>
              <w:right w:val="single" w:color="1A171C" w:sz="4" w:space="0"/>
            </w:tcBorders>
            <w:vAlign w:val="center"/>
          </w:tcPr>
          <w:p w:rsidRPr="00D43D39" w:rsidR="006049D9" w:rsidP="00772F88" w:rsidRDefault="006049D9" w14:paraId="019360BC" w14:textId="77777777">
            <w:pPr>
              <w:pStyle w:val="TableParagraph"/>
              <w:spacing w:before="108"/>
              <w:ind w:left="85"/>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0010 – 0020 </w:t>
            </w:r>
          </w:p>
        </w:tc>
        <w:tc>
          <w:tcPr>
            <w:tcW w:w="7892" w:type="dxa"/>
            <w:tcBorders>
              <w:top w:val="single" w:color="1A171C" w:sz="4" w:space="0"/>
              <w:left w:val="single" w:color="1A171C" w:sz="4" w:space="0"/>
              <w:bottom w:val="single" w:color="1A171C" w:sz="4" w:space="0"/>
              <w:right w:val="nil"/>
            </w:tcBorders>
            <w:vAlign w:val="center"/>
          </w:tcPr>
          <w:p w:rsidRPr="00D43D39" w:rsidR="006049D9" w:rsidRDefault="004579A7" w14:paraId="0DF2BA62" w14:textId="3E99237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 Critical</w:t>
            </w:r>
            <w:r w:rsidRPr="00D43D39" w:rsidR="006049D9">
              <w:rPr>
                <w:rFonts w:ascii="Times New Roman" w:hAnsi="Times New Roman" w:cs="Times New Roman"/>
                <w:b/>
                <w:bCs/>
                <w:color w:val="000000" w:themeColor="text1"/>
                <w:sz w:val="20"/>
                <w:szCs w:val="20"/>
                <w:lang w:val="en-GB"/>
              </w:rPr>
              <w:t xml:space="preserve"> function</w:t>
            </w:r>
          </w:p>
        </w:tc>
      </w:tr>
      <w:tr w:rsidRPr="00D43D39" w:rsidR="00D22EB0" w:rsidTr="0A1E4F91" w14:paraId="08019D1C" w14:textId="77777777">
        <w:tc>
          <w:tcPr>
            <w:tcW w:w="1191" w:type="dxa"/>
            <w:tcBorders>
              <w:top w:val="single" w:color="1A171C" w:sz="4" w:space="0"/>
              <w:left w:val="nil"/>
              <w:bottom w:val="single" w:color="1A171C" w:sz="4" w:space="0"/>
              <w:right w:val="single" w:color="1A171C" w:sz="4" w:space="0"/>
            </w:tcBorders>
            <w:vAlign w:val="center"/>
          </w:tcPr>
          <w:p w:rsidRPr="00D43D39" w:rsidR="003D0643" w:rsidP="00772F88" w:rsidRDefault="003D0643" w14:paraId="6FEE90B5"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w:t>
            </w:r>
            <w:r w:rsidRPr="00D43D39" w:rsidR="00E07617">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10</w:t>
            </w:r>
          </w:p>
        </w:tc>
        <w:tc>
          <w:tcPr>
            <w:tcW w:w="7892" w:type="dxa"/>
            <w:tcBorders>
              <w:top w:val="single" w:color="1A171C" w:sz="4" w:space="0"/>
              <w:left w:val="single" w:color="1A171C" w:sz="4" w:space="0"/>
              <w:bottom w:val="single" w:color="1A171C" w:sz="4" w:space="0"/>
              <w:right w:val="nil"/>
            </w:tcBorders>
            <w:vAlign w:val="center"/>
          </w:tcPr>
          <w:p w:rsidRPr="00D43D39" w:rsidR="003D0643" w:rsidP="003D0643" w:rsidRDefault="009626F6" w14:paraId="2E32580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Country</w:t>
            </w:r>
          </w:p>
          <w:p w:rsidRPr="00D43D39" w:rsidR="003D0643" w:rsidP="003D0643" w:rsidRDefault="009626F6" w14:paraId="5C677508"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Country </w:t>
            </w:r>
            <w:r w:rsidRPr="00D43D39" w:rsidR="003D0643">
              <w:rPr>
                <w:rFonts w:ascii="Times New Roman" w:hAnsi="Times New Roman" w:eastAsia="Cambria" w:cs="Times New Roman"/>
                <w:color w:val="000000" w:themeColor="text1"/>
                <w:spacing w:val="-2"/>
                <w:w w:val="95"/>
                <w:sz w:val="20"/>
                <w:szCs w:val="20"/>
                <w:lang w:val="en-GB"/>
              </w:rPr>
              <w:t xml:space="preserve">for which the function is critical, as reported in </w:t>
            </w:r>
            <w:r w:rsidRPr="00D43D39" w:rsidR="00F7117F">
              <w:rPr>
                <w:rFonts w:ascii="Times New Roman" w:hAnsi="Times New Roman" w:eastAsia="Cambria" w:cs="Times New Roman"/>
                <w:color w:val="000000" w:themeColor="text1"/>
                <w:spacing w:val="-2"/>
                <w:w w:val="95"/>
                <w:sz w:val="20"/>
                <w:szCs w:val="20"/>
                <w:lang w:val="en-GB"/>
              </w:rPr>
              <w:t>Z 0</w:t>
            </w:r>
            <w:r w:rsidRPr="00D43D39" w:rsidR="00304239">
              <w:rPr>
                <w:rFonts w:ascii="Times New Roman" w:hAnsi="Times New Roman" w:eastAsia="Cambria" w:cs="Times New Roman"/>
                <w:color w:val="000000" w:themeColor="text1"/>
                <w:spacing w:val="-2"/>
                <w:w w:val="95"/>
                <w:sz w:val="20"/>
                <w:szCs w:val="20"/>
                <w:lang w:val="en-GB"/>
              </w:rPr>
              <w:t>7.01 (</w:t>
            </w:r>
            <w:r w:rsidRPr="00D43D39" w:rsidR="003D0643">
              <w:rPr>
                <w:rFonts w:ascii="Times New Roman" w:hAnsi="Times New Roman" w:eastAsia="Cambria" w:cs="Times New Roman"/>
                <w:color w:val="000000" w:themeColor="text1"/>
                <w:spacing w:val="-2"/>
                <w:w w:val="95"/>
                <w:sz w:val="20"/>
                <w:szCs w:val="20"/>
                <w:lang w:val="en-GB"/>
              </w:rPr>
              <w:t>FUNC 1)</w:t>
            </w:r>
          </w:p>
        </w:tc>
      </w:tr>
      <w:tr w:rsidRPr="00D43D39" w:rsidR="00D22EB0" w:rsidTr="0A1E4F91" w14:paraId="17CD5747" w14:textId="77777777">
        <w:tc>
          <w:tcPr>
            <w:tcW w:w="1191" w:type="dxa"/>
            <w:tcBorders>
              <w:top w:val="single" w:color="1A171C" w:sz="4" w:space="0"/>
              <w:left w:val="nil"/>
              <w:bottom w:val="single" w:color="1A171C" w:sz="4" w:space="0"/>
              <w:right w:val="single" w:color="1A171C" w:sz="4" w:space="0"/>
            </w:tcBorders>
            <w:vAlign w:val="center"/>
          </w:tcPr>
          <w:p w:rsidRPr="00D43D39" w:rsidR="003D0643" w:rsidP="00772F88" w:rsidRDefault="003D0643" w14:paraId="40F4EF8C"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w:t>
            </w:r>
            <w:r w:rsidRPr="00D43D39" w:rsidR="00E07617">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20</w:t>
            </w:r>
          </w:p>
        </w:tc>
        <w:tc>
          <w:tcPr>
            <w:tcW w:w="7892" w:type="dxa"/>
            <w:tcBorders>
              <w:top w:val="single" w:color="1A171C" w:sz="4" w:space="0"/>
              <w:left w:val="single" w:color="1A171C" w:sz="4" w:space="0"/>
              <w:bottom w:val="single" w:color="1A171C" w:sz="4" w:space="0"/>
              <w:right w:val="nil"/>
            </w:tcBorders>
            <w:vAlign w:val="center"/>
          </w:tcPr>
          <w:p w:rsidRPr="00D43D39" w:rsidR="003D0643" w:rsidP="003D0643" w:rsidRDefault="003D0643" w14:paraId="0F96A66E" w14:textId="13F2F064">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ID</w:t>
            </w:r>
          </w:p>
          <w:p w:rsidRPr="00D43D39" w:rsidR="003D0643" w:rsidP="00BB056C" w:rsidRDefault="003D0643" w14:paraId="217B71E6" w14:textId="5AC7A042">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ID of the critical functions as referred to in template </w:t>
            </w:r>
            <w:r w:rsidRPr="00D43D39" w:rsidR="00F7117F">
              <w:rPr>
                <w:rFonts w:ascii="Times New Roman" w:hAnsi="Times New Roman" w:eastAsia="Cambria" w:cs="Times New Roman"/>
                <w:color w:val="000000" w:themeColor="text1"/>
                <w:spacing w:val="-2"/>
                <w:w w:val="95"/>
                <w:sz w:val="20"/>
                <w:szCs w:val="20"/>
                <w:lang w:val="en-GB"/>
              </w:rPr>
              <w:t>Z 0</w:t>
            </w:r>
            <w:r w:rsidRPr="00D43D39">
              <w:rPr>
                <w:rFonts w:ascii="Times New Roman" w:hAnsi="Times New Roman" w:eastAsia="Cambria" w:cs="Times New Roman"/>
                <w:color w:val="000000" w:themeColor="text1"/>
                <w:spacing w:val="-2"/>
                <w:w w:val="95"/>
                <w:sz w:val="20"/>
                <w:szCs w:val="20"/>
                <w:lang w:val="en-GB"/>
              </w:rPr>
              <w:t>7.01 (FUNC 1)</w:t>
            </w:r>
          </w:p>
        </w:tc>
      </w:tr>
      <w:tr w:rsidRPr="00D43D39" w:rsidR="006049D9" w:rsidTr="0A1E4F91" w14:paraId="0EDC3850" w14:textId="32F68987">
        <w:tc>
          <w:tcPr>
            <w:tcW w:w="1191" w:type="dxa"/>
            <w:tcBorders>
              <w:top w:val="single" w:color="1A171C" w:sz="4" w:space="0"/>
              <w:left w:val="nil"/>
              <w:bottom w:val="single" w:color="1A171C" w:sz="4" w:space="0"/>
              <w:right w:val="single" w:color="1A171C" w:sz="4" w:space="0"/>
            </w:tcBorders>
            <w:vAlign w:val="center"/>
          </w:tcPr>
          <w:p w:rsidRPr="00D43D39" w:rsidR="006049D9" w:rsidRDefault="006049D9" w14:paraId="3B9A06A6" w14:textId="2E726C24">
            <w:pPr>
              <w:pStyle w:val="TableParagraph"/>
              <w:spacing w:before="108"/>
              <w:ind w:left="85"/>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0030 – 0040 </w:t>
            </w:r>
          </w:p>
        </w:tc>
        <w:tc>
          <w:tcPr>
            <w:tcW w:w="7892" w:type="dxa"/>
            <w:tcBorders>
              <w:top w:val="single" w:color="1A171C" w:sz="4" w:space="0"/>
              <w:left w:val="single" w:color="1A171C" w:sz="4" w:space="0"/>
              <w:bottom w:val="single" w:color="1A171C" w:sz="4" w:space="0"/>
              <w:right w:val="nil"/>
            </w:tcBorders>
            <w:vAlign w:val="center"/>
          </w:tcPr>
          <w:p w:rsidRPr="00D43D39" w:rsidR="006049D9" w:rsidP="0029166A" w:rsidRDefault="004579A7" w14:paraId="1EFDEF90" w14:textId="375BE48F">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Core business line</w:t>
            </w:r>
          </w:p>
        </w:tc>
      </w:tr>
      <w:tr w:rsidRPr="00D43D39" w:rsidR="00D22EB0" w:rsidTr="0A1E4F91" w14:paraId="3298EAFF" w14:textId="37900171">
        <w:tc>
          <w:tcPr>
            <w:tcW w:w="1191" w:type="dxa"/>
            <w:tcBorders>
              <w:top w:val="single" w:color="1A171C" w:sz="4" w:space="0"/>
              <w:left w:val="nil"/>
              <w:bottom w:val="single" w:color="1A171C" w:sz="4" w:space="0"/>
              <w:right w:val="single" w:color="1A171C" w:sz="4" w:space="0"/>
            </w:tcBorders>
            <w:vAlign w:val="center"/>
          </w:tcPr>
          <w:p w:rsidRPr="00D43D39" w:rsidR="003D0643" w:rsidP="00772F88" w:rsidRDefault="003D0643" w14:paraId="3169161A" w14:textId="6A07B086">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w:t>
            </w:r>
            <w:r w:rsidRPr="00D43D39" w:rsidR="00E07617">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30</w:t>
            </w:r>
          </w:p>
        </w:tc>
        <w:tc>
          <w:tcPr>
            <w:tcW w:w="7892" w:type="dxa"/>
            <w:tcBorders>
              <w:top w:val="single" w:color="1A171C" w:sz="4" w:space="0"/>
              <w:left w:val="single" w:color="1A171C" w:sz="4" w:space="0"/>
              <w:bottom w:val="single" w:color="1A171C" w:sz="4" w:space="0"/>
              <w:right w:val="nil"/>
            </w:tcBorders>
            <w:vAlign w:val="center"/>
          </w:tcPr>
          <w:p w:rsidRPr="00D43D39" w:rsidR="004579A7" w:rsidP="004579A7" w:rsidRDefault="004579A7" w14:paraId="68EF4255" w14:textId="77777777">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Core business line</w:t>
            </w:r>
          </w:p>
          <w:p w:rsidRPr="00D43D39" w:rsidR="004579A7" w:rsidP="004579A7" w:rsidRDefault="004579A7" w14:paraId="35590170" w14:textId="3DD093F1">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Core business line pursuant to Article 2(1)(36) and Article 2(2) of Directive 2014/59/EU as reported in template Z 07.03 (FUNC 3)</w:t>
            </w:r>
          </w:p>
        </w:tc>
      </w:tr>
      <w:tr w:rsidRPr="00D43D39" w:rsidR="00D22EB0" w:rsidTr="0A1E4F91" w14:paraId="4245B9CF" w14:textId="77777777">
        <w:tc>
          <w:tcPr>
            <w:tcW w:w="1191" w:type="dxa"/>
            <w:tcBorders>
              <w:top w:val="single" w:color="1A171C" w:sz="4" w:space="0"/>
              <w:left w:val="nil"/>
              <w:bottom w:val="single" w:color="1A171C" w:sz="4" w:space="0"/>
              <w:right w:val="single" w:color="1A171C" w:sz="4" w:space="0"/>
            </w:tcBorders>
            <w:vAlign w:val="center"/>
          </w:tcPr>
          <w:p w:rsidRPr="00D43D39" w:rsidR="003D0643" w:rsidP="00772F88" w:rsidRDefault="00E07617" w14:paraId="2F7C1327" w14:textId="4BC6861D">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w:t>
            </w:r>
            <w:r w:rsidRPr="00D43D39" w:rsidR="003D0643">
              <w:rPr>
                <w:rFonts w:ascii="Times New Roman" w:hAnsi="Times New Roman" w:cs="Times New Roman"/>
                <w:color w:val="000000" w:themeColor="text1"/>
                <w:sz w:val="20"/>
                <w:szCs w:val="20"/>
                <w:lang w:val="en-GB"/>
              </w:rPr>
              <w:t>040</w:t>
            </w:r>
          </w:p>
        </w:tc>
        <w:tc>
          <w:tcPr>
            <w:tcW w:w="7892" w:type="dxa"/>
            <w:tcBorders>
              <w:top w:val="single" w:color="1A171C" w:sz="4" w:space="0"/>
              <w:left w:val="single" w:color="1A171C" w:sz="4" w:space="0"/>
              <w:bottom w:val="single" w:color="1A171C" w:sz="4" w:space="0"/>
              <w:right w:val="nil"/>
            </w:tcBorders>
            <w:vAlign w:val="center"/>
          </w:tcPr>
          <w:p w:rsidRPr="00D43D39" w:rsidR="003D0643" w:rsidP="003D0643" w:rsidRDefault="00B971C6" w14:paraId="45F782D4" w14:textId="2B2B7F9C">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Business line: </w:t>
            </w:r>
            <w:r w:rsidRPr="00D43D39" w:rsidR="003D0643">
              <w:rPr>
                <w:rFonts w:ascii="Times New Roman" w:hAnsi="Times New Roman" w:cs="Times New Roman"/>
                <w:b/>
                <w:bCs/>
                <w:color w:val="000000" w:themeColor="text1"/>
                <w:sz w:val="20"/>
                <w:szCs w:val="20"/>
                <w:lang w:val="en-GB"/>
              </w:rPr>
              <w:t>Business Line ID</w:t>
            </w:r>
          </w:p>
          <w:p w:rsidRPr="00D43D39" w:rsidR="003D0643" w:rsidP="003D0643" w:rsidRDefault="003D0643" w14:paraId="4362D9AE"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Unique ID of the business line to be provided by the institution; same ID as reported in template </w:t>
            </w:r>
            <w:r w:rsidRPr="00D43D39" w:rsidR="00F7117F">
              <w:rPr>
                <w:rFonts w:ascii="Times New Roman" w:hAnsi="Times New Roman" w:eastAsia="Cambria" w:cs="Times New Roman"/>
                <w:color w:val="000000" w:themeColor="text1"/>
                <w:spacing w:val="-2"/>
                <w:w w:val="95"/>
                <w:sz w:val="20"/>
                <w:szCs w:val="20"/>
                <w:lang w:val="en-GB"/>
              </w:rPr>
              <w:t>Z 0</w:t>
            </w:r>
            <w:r w:rsidRPr="00D43D39" w:rsidR="009A6FB8">
              <w:rPr>
                <w:rFonts w:ascii="Times New Roman" w:hAnsi="Times New Roman" w:eastAsia="Cambria" w:cs="Times New Roman"/>
                <w:color w:val="000000" w:themeColor="text1"/>
                <w:spacing w:val="-2"/>
                <w:w w:val="95"/>
                <w:sz w:val="20"/>
                <w:szCs w:val="20"/>
                <w:lang w:val="en-GB"/>
              </w:rPr>
              <w:t>7.03 (</w:t>
            </w:r>
            <w:r w:rsidRPr="00D43D39">
              <w:rPr>
                <w:rFonts w:ascii="Times New Roman" w:hAnsi="Times New Roman" w:eastAsia="Cambria" w:cs="Times New Roman"/>
                <w:color w:val="000000" w:themeColor="text1"/>
                <w:spacing w:val="-2"/>
                <w:w w:val="95"/>
                <w:sz w:val="20"/>
                <w:szCs w:val="20"/>
                <w:lang w:val="en-GB"/>
              </w:rPr>
              <w:t>FUNC 3)</w:t>
            </w:r>
          </w:p>
        </w:tc>
      </w:tr>
    </w:tbl>
    <w:p w:rsidRPr="00D43D39" w:rsidR="00717E3D" w:rsidP="00276FFB" w:rsidRDefault="00717E3D" w14:paraId="638E3BD1" w14:textId="530A70B2">
      <w:pPr>
        <w:rPr>
          <w:rFonts w:ascii="Times New Roman" w:hAnsi="Times New Roman" w:cs="Times New Roman"/>
          <w:b/>
          <w:color w:val="000000" w:themeColor="text1"/>
          <w:sz w:val="20"/>
          <w:szCs w:val="20"/>
          <w:u w:val="single"/>
          <w:lang w:val="en-GB"/>
        </w:rPr>
      </w:pPr>
    </w:p>
    <w:p w:rsidRPr="00D43D39" w:rsidR="00F64253" w:rsidP="00B84DC4" w:rsidRDefault="00F64253" w14:paraId="01127FE0" w14:textId="2D596713">
      <w:pPr>
        <w:pStyle w:val="Instructionsberschrift2"/>
        <w:numPr>
          <w:ilvl w:val="1"/>
          <w:numId w:val="49"/>
        </w:numPr>
        <w:ind w:left="357" w:hanging="357"/>
        <w:rPr>
          <w:rFonts w:ascii="Times New Roman" w:hAnsi="Times New Roman" w:eastAsia="Calibri" w:cs="Times New Roman"/>
        </w:rPr>
      </w:pPr>
      <w:bookmarkStart w:name="_Toc172732241" w:id="115"/>
      <w:r w:rsidRPr="00D43D39">
        <w:rPr>
          <w:rFonts w:ascii="Times New Roman" w:hAnsi="Times New Roman" w:eastAsia="Calibri" w:cs="Times New Roman"/>
        </w:rPr>
        <w:t>Relevant Services</w:t>
      </w:r>
      <w:bookmarkEnd w:id="115"/>
    </w:p>
    <w:p w:rsidRPr="005F5507" w:rsidR="00F50309" w:rsidP="00B84DC4" w:rsidRDefault="00B84DC4" w14:paraId="7A47246D" w14:textId="40CF1C4C">
      <w:pPr>
        <w:pStyle w:val="Instructionsberschrift2"/>
        <w:numPr>
          <w:ilvl w:val="1"/>
          <w:numId w:val="49"/>
        </w:numPr>
        <w:ind w:left="357" w:hanging="357"/>
        <w:rPr>
          <w:rFonts w:ascii="Times New Roman" w:hAnsi="Times New Roman" w:eastAsia="Calibri" w:cs="Times New Roman"/>
        </w:rPr>
      </w:pPr>
      <w:bookmarkStart w:name="_Toc172732242" w:id="116"/>
      <w:r w:rsidRPr="00D43D39">
        <w:rPr>
          <w:rFonts w:ascii="Times New Roman" w:hAnsi="Times New Roman" w:cs="Times New Roman"/>
        </w:rPr>
        <w:t>Z 08.01— Relevant services (SERV 1)</w:t>
      </w:r>
      <w:bookmarkEnd w:id="116"/>
      <w:r w:rsidRPr="00D43D39">
        <w:rPr>
          <w:rFonts w:ascii="Times New Roman" w:hAnsi="Times New Roman" w:cs="Times New Roman"/>
        </w:rPr>
        <w:t xml:space="preserve"> </w:t>
      </w:r>
    </w:p>
    <w:p w:rsidRPr="00D43D39" w:rsidR="00F50309" w:rsidP="00F50309" w:rsidRDefault="00F50309" w14:paraId="164D695A"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II.8.1 General instructions</w:t>
      </w:r>
    </w:p>
    <w:p w:rsidRPr="005F5507" w:rsidR="00F50309" w:rsidP="00F50309" w:rsidRDefault="00F50309" w14:paraId="32CF6FFF" w14:textId="77777777">
      <w:pPr>
        <w:spacing w:line="276" w:lineRule="auto"/>
        <w:jc w:val="both"/>
        <w:rPr>
          <w:rFonts w:ascii="Times New Roman" w:hAnsi="Times New Roman" w:eastAsia="Calibri" w:cs="Times New Roman"/>
          <w:sz w:val="20"/>
        </w:rPr>
      </w:pPr>
    </w:p>
    <w:p w:rsidRPr="00D43D39" w:rsidR="003433C6" w:rsidP="003433C6" w:rsidRDefault="003433C6" w14:paraId="67CFE516" w14:textId="597327BA">
      <w:pPr>
        <w:pStyle w:val="Instructionsberschrift3"/>
        <w:numPr>
          <w:ilvl w:val="4"/>
          <w:numId w:val="49"/>
        </w:numPr>
        <w:ind w:left="928"/>
        <w:contextualSpacing/>
        <w:jc w:val="both"/>
        <w:rPr>
          <w:rFonts w:eastAsia="MS Mincho"/>
          <w:color w:val="auto"/>
          <w:u w:val="none"/>
        </w:rPr>
      </w:pPr>
      <w:r w:rsidRPr="00D43D39">
        <w:rPr>
          <w:rFonts w:eastAsia="MS Mincho"/>
          <w:u w:val="none"/>
        </w:rPr>
        <w:t>The information to be included in this template shall be reported once for the entire</w:t>
      </w:r>
      <w:r w:rsidR="006F714C">
        <w:rPr>
          <w:rFonts w:eastAsia="MS Mincho"/>
          <w:u w:val="none"/>
        </w:rPr>
        <w:t xml:space="preserve"> </w:t>
      </w:r>
      <w:r w:rsidRPr="00D43D39">
        <w:rPr>
          <w:rFonts w:eastAsia="MS Mincho"/>
          <w:u w:val="none"/>
        </w:rPr>
        <w:t xml:space="preserve">group, list </w:t>
      </w:r>
      <w:r w:rsidRPr="00D43D39" w:rsidDel="005E1FBF">
        <w:rPr>
          <w:rFonts w:eastAsia="MS Mincho"/>
          <w:color w:val="auto"/>
          <w:u w:val="none"/>
        </w:rPr>
        <w:t xml:space="preserve">relevant </w:t>
      </w:r>
      <w:r w:rsidRPr="00D43D39">
        <w:rPr>
          <w:rFonts w:eastAsia="MS Mincho"/>
          <w:u w:val="none"/>
        </w:rPr>
        <w:t xml:space="preserve">services received by any entity in the group and link them to the critical functions </w:t>
      </w:r>
      <w:r w:rsidRPr="00D43D39">
        <w:rPr>
          <w:rFonts w:eastAsia="MS Mincho"/>
          <w:color w:val="auto"/>
          <w:u w:val="none"/>
        </w:rPr>
        <w:t xml:space="preserve">and core business lines </w:t>
      </w:r>
      <w:r w:rsidRPr="00D43D39">
        <w:rPr>
          <w:rFonts w:eastAsia="MS Mincho"/>
          <w:u w:val="none"/>
        </w:rPr>
        <w:t>provided by</w:t>
      </w:r>
      <w:r w:rsidRPr="00D43D39">
        <w:rPr>
          <w:rFonts w:eastAsia="MS Mincho"/>
          <w:color w:val="auto"/>
          <w:u w:val="none"/>
        </w:rPr>
        <w:t xml:space="preserve"> </w:t>
      </w:r>
      <w:r w:rsidRPr="00D43D39">
        <w:rPr>
          <w:rFonts w:eastAsia="MS Mincho"/>
          <w:u w:val="none"/>
        </w:rPr>
        <w:t>the group.</w:t>
      </w:r>
    </w:p>
    <w:p w:rsidRPr="00D43D39" w:rsidR="003433C6" w:rsidP="003433C6" w:rsidRDefault="003433C6" w14:paraId="2D946020" w14:textId="77777777">
      <w:pPr>
        <w:pStyle w:val="Instructionsberschrift3"/>
        <w:numPr>
          <w:ilvl w:val="4"/>
          <w:numId w:val="49"/>
        </w:numPr>
        <w:ind w:left="928"/>
        <w:contextualSpacing/>
        <w:jc w:val="both"/>
        <w:rPr>
          <w:rFonts w:eastAsia="MS Mincho"/>
          <w:color w:val="auto"/>
          <w:u w:val="none"/>
        </w:rPr>
      </w:pPr>
      <w:r w:rsidRPr="00D43D39">
        <w:rPr>
          <w:rFonts w:eastAsia="Calibri"/>
          <w:b/>
          <w:bCs/>
          <w:iCs/>
          <w:color w:val="auto"/>
          <w:u w:val="none"/>
        </w:rPr>
        <w:t>Relevant services</w:t>
      </w:r>
      <w:r w:rsidRPr="00D43D39">
        <w:rPr>
          <w:rStyle w:val="FootnoteReference"/>
          <w:rFonts w:ascii="Times New Roman" w:hAnsi="Times New Roman" w:eastAsia="Calibri"/>
          <w:bCs/>
          <w:color w:val="auto"/>
          <w:sz w:val="20"/>
          <w:szCs w:val="20"/>
          <w:u w:val="none"/>
        </w:rPr>
        <w:footnoteReference w:id="21"/>
      </w:r>
      <w:r w:rsidRPr="00D43D39">
        <w:rPr>
          <w:rFonts w:eastAsia="Calibri"/>
          <w:iCs/>
          <w:color w:val="auto"/>
          <w:u w:val="none"/>
        </w:rPr>
        <w:t>: critical and essential services</w:t>
      </w:r>
    </w:p>
    <w:p w:rsidRPr="00D43D39" w:rsidR="003433C6" w:rsidP="003433C6" w:rsidRDefault="003433C6" w14:paraId="30386B04" w14:textId="77777777">
      <w:pPr>
        <w:pStyle w:val="Instructionsberschrift3"/>
        <w:numPr>
          <w:ilvl w:val="4"/>
          <w:numId w:val="49"/>
        </w:numPr>
        <w:ind w:left="928"/>
        <w:contextualSpacing/>
        <w:jc w:val="both"/>
        <w:rPr>
          <w:rFonts w:eastAsia="MS Mincho"/>
          <w:color w:val="auto"/>
          <w:u w:val="none"/>
        </w:rPr>
      </w:pPr>
      <w:r w:rsidRPr="00D43D39">
        <w:rPr>
          <w:rFonts w:eastAsia="Calibri"/>
          <w:b/>
          <w:bCs/>
          <w:iCs/>
          <w:color w:val="auto"/>
          <w:u w:val="none"/>
        </w:rPr>
        <w:t>Critical services</w:t>
      </w:r>
      <w:r w:rsidRPr="00D43D39">
        <w:rPr>
          <w:color w:val="auto"/>
          <w:u w:val="none"/>
          <w:vertAlign w:val="superscript"/>
        </w:rPr>
        <w:footnoteReference w:id="22"/>
      </w:r>
      <w:r w:rsidRPr="00D43D39">
        <w:rPr>
          <w:rFonts w:eastAsia="Calibri"/>
          <w:bCs/>
          <w:iCs/>
          <w:color w:val="auto"/>
          <w:u w:val="none"/>
        </w:rPr>
        <w:t>: services that are performed for group business units or entities (i) whose discontinuity would seriously impede or prevent the performance of one or more critical functions; and (ii) which cannot be provided by another provider within a reasonable time frame to a comparable extent as regards its object, quality and cost.</w:t>
      </w:r>
    </w:p>
    <w:p w:rsidRPr="00D43D39" w:rsidR="003433C6" w:rsidP="003433C6" w:rsidRDefault="003433C6" w14:paraId="7F6E458D" w14:textId="3B2F671F">
      <w:pPr>
        <w:pStyle w:val="Instructionsberschrift3"/>
        <w:numPr>
          <w:ilvl w:val="4"/>
          <w:numId w:val="49"/>
        </w:numPr>
        <w:ind w:left="928"/>
        <w:contextualSpacing/>
        <w:jc w:val="both"/>
        <w:rPr>
          <w:rFonts w:eastAsia="MS Mincho"/>
          <w:color w:val="auto"/>
          <w:u w:val="none"/>
        </w:rPr>
      </w:pPr>
      <w:r w:rsidRPr="00D43D39">
        <w:rPr>
          <w:b/>
          <w:bCs/>
          <w:iCs/>
          <w:u w:val="none"/>
        </w:rPr>
        <w:t>Essential services</w:t>
      </w:r>
      <w:r w:rsidRPr="00D43D39">
        <w:rPr>
          <w:bCs/>
          <w:iCs/>
          <w:u w:val="none"/>
        </w:rPr>
        <w:t>: Services associated with core business lines</w:t>
      </w:r>
      <w:r w:rsidRPr="00D43D39" w:rsidR="00BD0105">
        <w:rPr>
          <w:u w:val="none"/>
          <w:vertAlign w:val="superscript"/>
        </w:rPr>
        <w:footnoteReference w:id="23"/>
      </w:r>
      <w:r w:rsidRPr="00D43D39">
        <w:rPr>
          <w:bCs/>
          <w:iCs/>
          <w:u w:val="none"/>
        </w:rPr>
        <w:t>, whose continuity is necessary for the effective execution of the resolution strategy and any consequent restructuring (i) whose discontinuity would seriously impede or prevent the performance of those core business lines; and (ii) which cannot be provided by another provider within a reasonable time frame to a comparable extent as regards its object, quality and cost.</w:t>
      </w:r>
      <w:r w:rsidRPr="00D43D39">
        <w:rPr>
          <w:rStyle w:val="FootnoteReference"/>
          <w:rFonts w:ascii="Times New Roman" w:hAnsi="Times New Roman" w:eastAsia="Calibri"/>
          <w:bCs/>
          <w:color w:val="auto"/>
          <w:sz w:val="20"/>
          <w:szCs w:val="20"/>
          <w:u w:val="none"/>
        </w:rPr>
        <w:footnoteReference w:id="24"/>
      </w:r>
    </w:p>
    <w:p w:rsidRPr="00D43D39" w:rsidR="003433C6" w:rsidP="003433C6" w:rsidRDefault="003433C6" w14:paraId="446F2EE7" w14:textId="5AF6C658">
      <w:pPr>
        <w:pStyle w:val="Instructionsberschrift3"/>
        <w:numPr>
          <w:ilvl w:val="4"/>
          <w:numId w:val="49"/>
        </w:numPr>
        <w:ind w:left="928"/>
        <w:contextualSpacing/>
        <w:jc w:val="both"/>
        <w:rPr>
          <w:rFonts w:eastAsia="MS Mincho"/>
          <w:color w:val="auto"/>
          <w:u w:val="none"/>
        </w:rPr>
      </w:pPr>
      <w:r w:rsidRPr="00D43D39">
        <w:rPr>
          <w:rFonts w:eastAsia="MS Mincho"/>
          <w:color w:val="auto"/>
          <w:szCs w:val="24"/>
          <w:u w:val="none"/>
        </w:rPr>
        <w:t xml:space="preserve">As per recital 8 DR 2016/778 related to critical services and therein applied by analogy to cover essential services as defined above, relevant </w:t>
      </w:r>
      <w:r w:rsidRPr="00D43D39">
        <w:rPr>
          <w:rFonts w:eastAsia="MS Mincho"/>
          <w:szCs w:val="24"/>
          <w:u w:val="none"/>
        </w:rPr>
        <w:t xml:space="preserve">services shall mean the underlying operations, activities and services performed for one (dedicated services) or more business units or legal entities (shared services) within the group which are needed to provide one or more critical functions </w:t>
      </w:r>
      <w:r w:rsidRPr="00D43D39">
        <w:rPr>
          <w:rFonts w:eastAsia="MS Mincho"/>
          <w:color w:val="auto"/>
          <w:szCs w:val="24"/>
          <w:u w:val="none"/>
        </w:rPr>
        <w:t xml:space="preserve">or core business lines. Relevant </w:t>
      </w:r>
      <w:r w:rsidRPr="00D43D39">
        <w:rPr>
          <w:rFonts w:eastAsia="MS Mincho"/>
          <w:szCs w:val="24"/>
          <w:u w:val="none"/>
        </w:rPr>
        <w:t xml:space="preserve">services may be performed </w:t>
      </w:r>
      <w:r w:rsidRPr="00D43D39">
        <w:rPr>
          <w:rFonts w:eastAsia="MS Mincho"/>
          <w:color w:val="auto"/>
          <w:szCs w:val="24"/>
          <w:u w:val="none"/>
        </w:rPr>
        <w:t xml:space="preserve">by one business unit to another business unit of the same legal entity </w:t>
      </w:r>
      <w:r w:rsidRPr="00D43D39">
        <w:rPr>
          <w:rFonts w:eastAsia="MS Mincho"/>
          <w:szCs w:val="24"/>
          <w:u w:val="none"/>
        </w:rPr>
        <w:t>(</w:t>
      </w:r>
      <w:r w:rsidRPr="00D43D39">
        <w:rPr>
          <w:rFonts w:eastAsia="MS Mincho"/>
          <w:color w:val="auto"/>
          <w:szCs w:val="24"/>
          <w:u w:val="none"/>
        </w:rPr>
        <w:t>intra-entity service),</w:t>
      </w:r>
      <w:r w:rsidRPr="00D43D39">
        <w:rPr>
          <w:rFonts w:eastAsia="MS Mincho"/>
          <w:szCs w:val="24"/>
          <w:u w:val="none"/>
        </w:rPr>
        <w:t xml:space="preserve"> by entities within the group (</w:t>
      </w:r>
      <w:r w:rsidRPr="00D43D39">
        <w:rPr>
          <w:rFonts w:eastAsia="MS Mincho"/>
          <w:color w:val="auto"/>
          <w:szCs w:val="24"/>
          <w:u w:val="none"/>
        </w:rPr>
        <w:t xml:space="preserve">intra-group </w:t>
      </w:r>
      <w:r w:rsidRPr="00D43D39">
        <w:rPr>
          <w:rFonts w:eastAsia="MS Mincho"/>
          <w:szCs w:val="24"/>
          <w:u w:val="none"/>
        </w:rPr>
        <w:t>service)</w:t>
      </w:r>
      <w:r w:rsidRPr="00D43D39">
        <w:rPr>
          <w:rFonts w:eastAsia="MS Mincho"/>
          <w:color w:val="auto"/>
          <w:szCs w:val="24"/>
          <w:u w:val="none"/>
        </w:rPr>
        <w:t>,</w:t>
      </w:r>
      <w:r w:rsidRPr="00D43D39">
        <w:rPr>
          <w:rFonts w:eastAsia="MS Mincho"/>
          <w:szCs w:val="24"/>
          <w:u w:val="none"/>
        </w:rPr>
        <w:t xml:space="preserve"> or be outsourced to an external provider (external service).</w:t>
      </w:r>
    </w:p>
    <w:p w:rsidRPr="00D43D39" w:rsidR="003433C6" w:rsidP="003433C6" w:rsidRDefault="003433C6" w14:paraId="78673758" w14:textId="52D0AF79">
      <w:pPr>
        <w:pStyle w:val="Instructionsberschrift3"/>
        <w:numPr>
          <w:ilvl w:val="4"/>
          <w:numId w:val="49"/>
        </w:numPr>
        <w:ind w:left="928"/>
        <w:contextualSpacing/>
        <w:jc w:val="both"/>
        <w:rPr>
          <w:rFonts w:eastAsia="MS Mincho"/>
          <w:color w:val="auto"/>
          <w:u w:val="none"/>
        </w:rPr>
      </w:pPr>
      <w:r w:rsidRPr="00D43D39">
        <w:rPr>
          <w:rFonts w:eastAsia="MS Mincho"/>
          <w:u w:val="none"/>
        </w:rPr>
        <w:t>Not all fields apply to all types of services (highlighted in instructions below). In that case,</w:t>
      </w:r>
      <w:r w:rsidR="002526C2">
        <w:rPr>
          <w:rFonts w:eastAsia="MS Mincho"/>
          <w:u w:val="none"/>
        </w:rPr>
        <w:t xml:space="preserve"> report</w:t>
      </w:r>
      <w:r w:rsidRPr="00D43D39">
        <w:rPr>
          <w:rFonts w:eastAsia="MS Mincho"/>
          <w:u w:val="none"/>
        </w:rPr>
        <w:t xml:space="preserve"> ‘N/A’ in the relevant cell.</w:t>
      </w:r>
      <w:r w:rsidRPr="00D43D39">
        <w:rPr>
          <w:u w:val="none"/>
        </w:rPr>
        <w:t xml:space="preserve"> </w:t>
      </w:r>
    </w:p>
    <w:p w:rsidRPr="005F5507" w:rsidR="003433C6" w:rsidP="003433C6" w:rsidRDefault="003433C6" w14:paraId="2AC32C99" w14:textId="1DABC266">
      <w:pPr>
        <w:pStyle w:val="Instructionsberschrift3"/>
        <w:numPr>
          <w:ilvl w:val="4"/>
          <w:numId w:val="49"/>
        </w:numPr>
        <w:ind w:left="928"/>
        <w:contextualSpacing/>
        <w:jc w:val="both"/>
        <w:rPr>
          <w:rFonts w:eastAsia="MS Mincho"/>
          <w:color w:val="auto"/>
          <w:u w:val="none"/>
        </w:rPr>
      </w:pPr>
      <w:r w:rsidRPr="00D43D39">
        <w:rPr>
          <w:rFonts w:eastAsia="MS Mincho"/>
          <w:u w:val="none"/>
        </w:rPr>
        <w:t xml:space="preserve">The combination of values reported in columns 0010, </w:t>
      </w:r>
      <w:r w:rsidRPr="00D43D39">
        <w:rPr>
          <w:rFonts w:eastAsia="MS Mincho"/>
          <w:color w:val="auto"/>
          <w:u w:val="none"/>
        </w:rPr>
        <w:t>0020</w:t>
      </w:r>
      <w:r w:rsidRPr="00D43D39">
        <w:rPr>
          <w:rFonts w:eastAsia="MS Mincho"/>
          <w:u w:val="none"/>
        </w:rPr>
        <w:t xml:space="preserve">, </w:t>
      </w:r>
      <w:r w:rsidRPr="00D43D39">
        <w:rPr>
          <w:rFonts w:eastAsia="MS Mincho"/>
          <w:color w:val="auto"/>
          <w:u w:val="none"/>
        </w:rPr>
        <w:t>0040,</w:t>
      </w:r>
      <w:r w:rsidRPr="00D43D39">
        <w:rPr>
          <w:rFonts w:eastAsia="MS Mincho"/>
          <w:u w:val="none"/>
        </w:rPr>
        <w:t xml:space="preserve"> </w:t>
      </w:r>
      <w:r w:rsidRPr="00D43D39">
        <w:rPr>
          <w:rFonts w:eastAsia="MS Mincho"/>
          <w:color w:val="auto"/>
          <w:u w:val="none"/>
        </w:rPr>
        <w:t>and 0060,</w:t>
      </w:r>
      <w:r w:rsidRPr="00D43D39">
        <w:rPr>
          <w:rFonts w:eastAsia="MS Mincho"/>
          <w:u w:val="none"/>
        </w:rPr>
        <w:t xml:space="preserve"> of this template forms a primary key which has to be unique for each row of the template.</w:t>
      </w:r>
    </w:p>
    <w:p w:rsidRPr="00D43D39" w:rsidR="003433C6" w:rsidP="005F5507" w:rsidRDefault="003433C6" w14:paraId="614D81D8" w14:textId="77777777">
      <w:pPr>
        <w:pStyle w:val="Instructionsberschrift3"/>
        <w:numPr>
          <w:ilvl w:val="0"/>
          <w:numId w:val="0"/>
        </w:numPr>
        <w:ind w:left="720"/>
      </w:pPr>
    </w:p>
    <w:p w:rsidRPr="00D43D39" w:rsidR="003433C6" w:rsidP="003433C6" w:rsidRDefault="003433C6" w14:paraId="0F65E85D" w14:textId="77777777">
      <w:pPr>
        <w:pStyle w:val="Instructionsberschrift3"/>
        <w:rPr>
          <w:b/>
          <w:bCs/>
        </w:rPr>
      </w:pPr>
      <w:r w:rsidRPr="00D43D39">
        <w:rPr>
          <w:b/>
          <w:bCs/>
        </w:rPr>
        <w:t>Instructions concerning specific positions</w:t>
      </w:r>
    </w:p>
    <w:p w:rsidRPr="005F5507" w:rsidR="00F50309" w:rsidP="00F50309" w:rsidRDefault="00F50309" w14:paraId="3B60EB45" w14:textId="67F6A397">
      <w:pPr>
        <w:spacing w:line="276" w:lineRule="auto"/>
        <w:jc w:val="both"/>
        <w:rPr>
          <w:rFonts w:ascii="Times New Roman" w:hAnsi="Times New Roman" w:eastAsia="Calibri" w:cs="Times New Roman"/>
          <w:color w:val="0070C0"/>
          <w:sz w:val="2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29"/>
        <w:gridCol w:w="7938"/>
      </w:tblGrid>
      <w:tr w:rsidRPr="00D43D39" w:rsidR="003433C6" w:rsidTr="005F5507" w14:paraId="1AB4CCAE" w14:textId="77777777">
        <w:trPr>
          <w:trHeight w:val="808"/>
          <w:tblHeader/>
        </w:trPr>
        <w:tc>
          <w:tcPr>
            <w:tcW w:w="1129" w:type="dxa"/>
            <w:shd w:val="clear" w:color="auto" w:fill="E7E6E6"/>
          </w:tcPr>
          <w:p w:rsidRPr="00D43D39" w:rsidR="003433C6" w:rsidP="00513F58" w:rsidRDefault="003433C6" w14:paraId="7C76D327" w14:textId="77777777">
            <w:pPr>
              <w:spacing w:before="120" w:after="120" w:line="276" w:lineRule="auto"/>
              <w:rPr>
                <w:rFonts w:ascii="Times New Roman" w:hAnsi="Times New Roman" w:eastAsia="Calibri" w:cs="Times New Roman"/>
                <w:b/>
                <w:sz w:val="20"/>
                <w:szCs w:val="20"/>
              </w:rPr>
            </w:pPr>
            <w:r w:rsidRPr="00D43D39">
              <w:rPr>
                <w:rFonts w:ascii="Times New Roman" w:hAnsi="Times New Roman" w:eastAsia="Calibri" w:cs="Times New Roman"/>
                <w:b/>
                <w:sz w:val="20"/>
                <w:szCs w:val="20"/>
              </w:rPr>
              <w:t>Columns</w:t>
            </w:r>
          </w:p>
        </w:tc>
        <w:tc>
          <w:tcPr>
            <w:tcW w:w="7938" w:type="dxa"/>
            <w:shd w:val="clear" w:color="auto" w:fill="E7E6E6"/>
          </w:tcPr>
          <w:p w:rsidRPr="00D43D39" w:rsidR="003433C6" w:rsidP="00513F58" w:rsidRDefault="003433C6" w14:paraId="758F6F7C" w14:textId="77777777">
            <w:pPr>
              <w:spacing w:before="120" w:after="120" w:line="276" w:lineRule="auto"/>
              <w:rPr>
                <w:rFonts w:ascii="Times New Roman" w:hAnsi="Times New Roman" w:eastAsia="Calibri" w:cs="Times New Roman"/>
                <w:b/>
                <w:sz w:val="20"/>
                <w:szCs w:val="20"/>
              </w:rPr>
            </w:pPr>
            <w:r w:rsidRPr="00D43D39">
              <w:rPr>
                <w:rFonts w:ascii="Times New Roman" w:hAnsi="Times New Roman" w:eastAsia="Calibri" w:cs="Times New Roman"/>
                <w:b/>
                <w:sz w:val="20"/>
                <w:szCs w:val="20"/>
              </w:rPr>
              <w:t>Instructions</w:t>
            </w:r>
          </w:p>
        </w:tc>
      </w:tr>
      <w:tr w:rsidRPr="00D43D39" w:rsidR="003433C6" w:rsidTr="00513F58" w14:paraId="0086A20F" w14:textId="77777777">
        <w:trPr>
          <w:trHeight w:val="450"/>
        </w:trPr>
        <w:tc>
          <w:tcPr>
            <w:tcW w:w="1129" w:type="dxa"/>
            <w:shd w:val="clear" w:color="auto" w:fill="FFFFFF"/>
          </w:tcPr>
          <w:p w:rsidRPr="00D43D39" w:rsidR="003433C6" w:rsidP="00513F58" w:rsidRDefault="003433C6" w14:paraId="251CE097" w14:textId="77777777">
            <w:pPr>
              <w:spacing w:before="120" w:after="120" w:line="276" w:lineRule="auto"/>
              <w:rPr>
                <w:rFonts w:ascii="Times New Roman" w:hAnsi="Times New Roman" w:eastAsia="Calibri" w:cs="Times New Roman"/>
                <w:sz w:val="20"/>
                <w:szCs w:val="20"/>
              </w:rPr>
            </w:pPr>
            <w:r w:rsidRPr="00D43D39">
              <w:rPr>
                <w:rFonts w:ascii="Times New Roman" w:hAnsi="Times New Roman" w:eastAsia="Calibri" w:cs="Times New Roman"/>
                <w:sz w:val="20"/>
                <w:szCs w:val="20"/>
              </w:rPr>
              <w:t>0005</w:t>
            </w:r>
          </w:p>
        </w:tc>
        <w:tc>
          <w:tcPr>
            <w:tcW w:w="7938" w:type="dxa"/>
            <w:shd w:val="clear" w:color="auto" w:fill="FFFFFF"/>
          </w:tcPr>
          <w:p w:rsidRPr="00D43D39" w:rsidR="003433C6" w:rsidP="00513F58" w:rsidRDefault="003433C6" w14:paraId="5FE0CF3B" w14:textId="77777777">
            <w:pPr>
              <w:spacing w:before="120" w:after="120" w:line="276" w:lineRule="auto"/>
              <w:rPr>
                <w:rFonts w:ascii="Times New Roman" w:hAnsi="Times New Roman" w:eastAsia="Calibri" w:cs="Times New Roman"/>
                <w:b/>
                <w:bCs/>
                <w:sz w:val="20"/>
                <w:szCs w:val="20"/>
              </w:rPr>
            </w:pPr>
            <w:r w:rsidRPr="00D43D39">
              <w:rPr>
                <w:rFonts w:ascii="Times New Roman" w:hAnsi="Times New Roman" w:eastAsia="Calibri" w:cs="Times New Roman"/>
                <w:b/>
                <w:bCs/>
                <w:sz w:val="20"/>
                <w:szCs w:val="20"/>
              </w:rPr>
              <w:t xml:space="preserve">Service </w:t>
            </w:r>
            <w:r w:rsidRPr="00D43D39" w:rsidDel="00106D64">
              <w:rPr>
                <w:rFonts w:ascii="Times New Roman" w:hAnsi="Times New Roman" w:eastAsia="Calibri" w:cs="Times New Roman"/>
                <w:b/>
                <w:bCs/>
                <w:sz w:val="20"/>
                <w:szCs w:val="20"/>
              </w:rPr>
              <w:t>I</w:t>
            </w:r>
            <w:r w:rsidRPr="00D43D39">
              <w:rPr>
                <w:rFonts w:ascii="Times New Roman" w:hAnsi="Times New Roman" w:eastAsia="Calibri" w:cs="Times New Roman"/>
                <w:b/>
                <w:bCs/>
                <w:sz w:val="20"/>
                <w:szCs w:val="20"/>
              </w:rPr>
              <w:t>dentifier</w:t>
            </w:r>
          </w:p>
          <w:p w:rsidRPr="00D43D39" w:rsidR="003433C6" w:rsidP="00513F58" w:rsidRDefault="003433C6" w14:paraId="4E7AE41F" w14:textId="396CDABE">
            <w:pPr>
              <w:spacing w:before="120" w:after="120" w:line="276" w:lineRule="auto"/>
              <w:rPr>
                <w:rFonts w:ascii="Times New Roman" w:hAnsi="Times New Roman" w:eastAsia="Calibri" w:cs="Times New Roman"/>
                <w:iCs/>
                <w:sz w:val="20"/>
                <w:szCs w:val="20"/>
              </w:rPr>
            </w:pPr>
            <w:r w:rsidRPr="00D43D39">
              <w:rPr>
                <w:rFonts w:ascii="Times New Roman" w:hAnsi="Times New Roman" w:eastAsia="Calibri" w:cs="Times New Roman"/>
                <w:sz w:val="20"/>
                <w:szCs w:val="20"/>
              </w:rPr>
              <w:t>The service identifier refer</w:t>
            </w:r>
            <w:r w:rsidR="002526C2">
              <w:rPr>
                <w:rFonts w:ascii="Times New Roman" w:hAnsi="Times New Roman" w:eastAsia="Calibri" w:cs="Times New Roman"/>
                <w:sz w:val="20"/>
                <w:szCs w:val="20"/>
              </w:rPr>
              <w:t>s</w:t>
            </w:r>
            <w:r w:rsidRPr="00D43D39">
              <w:rPr>
                <w:rFonts w:ascii="Times New Roman" w:hAnsi="Times New Roman" w:eastAsia="Calibri" w:cs="Times New Roman"/>
                <w:sz w:val="20"/>
                <w:szCs w:val="20"/>
              </w:rPr>
              <w:t xml:space="preserve"> to the service reported under c0020.</w:t>
            </w:r>
          </w:p>
          <w:p w:rsidRPr="00D43D39" w:rsidR="003433C6" w:rsidP="00513F58" w:rsidRDefault="003433C6" w14:paraId="5B8E635C" w14:textId="77777777">
            <w:pPr>
              <w:spacing w:before="120" w:after="120" w:line="276" w:lineRule="auto"/>
              <w:rPr>
                <w:rFonts w:ascii="Times New Roman" w:hAnsi="Times New Roman" w:eastAsia="Calibri" w:cs="Times New Roman"/>
                <w:i/>
                <w:sz w:val="20"/>
                <w:szCs w:val="20"/>
              </w:rPr>
            </w:pPr>
            <w:r w:rsidRPr="00D43D39">
              <w:rPr>
                <w:rFonts w:ascii="Times New Roman" w:hAnsi="Times New Roman" w:eastAsia="Calibri" w:cs="Times New Roman"/>
                <w:i/>
                <w:sz w:val="20"/>
                <w:szCs w:val="20"/>
              </w:rPr>
              <w:t>Figure or free text</w:t>
            </w:r>
          </w:p>
        </w:tc>
      </w:tr>
      <w:tr w:rsidRPr="00D43D39" w:rsidR="003433C6" w:rsidTr="00513F58" w14:paraId="1B99B6E6" w14:textId="77777777">
        <w:trPr>
          <w:trHeight w:val="463"/>
        </w:trPr>
        <w:tc>
          <w:tcPr>
            <w:tcW w:w="1129" w:type="dxa"/>
            <w:shd w:val="clear" w:color="auto" w:fill="FFFFFF"/>
          </w:tcPr>
          <w:p w:rsidRPr="00D43D39" w:rsidR="003433C6" w:rsidP="00513F58" w:rsidRDefault="003433C6" w14:paraId="4803C090" w14:textId="77777777">
            <w:pPr>
              <w:spacing w:before="120" w:after="120" w:line="276" w:lineRule="auto"/>
              <w:rPr>
                <w:rFonts w:ascii="Times New Roman" w:hAnsi="Times New Roman" w:eastAsia="Calibri" w:cs="Times New Roman"/>
                <w:sz w:val="20"/>
                <w:szCs w:val="20"/>
              </w:rPr>
            </w:pPr>
            <w:r w:rsidRPr="00D43D39">
              <w:rPr>
                <w:rFonts w:ascii="Times New Roman" w:hAnsi="Times New Roman" w:eastAsia="Calibri" w:cs="Times New Roman"/>
                <w:sz w:val="20"/>
                <w:szCs w:val="20"/>
              </w:rPr>
              <w:t>0010</w:t>
            </w:r>
          </w:p>
        </w:tc>
        <w:tc>
          <w:tcPr>
            <w:tcW w:w="7938" w:type="dxa"/>
            <w:shd w:val="clear" w:color="auto" w:fill="FFFFFF"/>
          </w:tcPr>
          <w:p w:rsidRPr="00D43D39" w:rsidR="003433C6" w:rsidP="00513F58" w:rsidRDefault="003433C6" w14:paraId="52FF271C" w14:textId="77777777">
            <w:pPr>
              <w:autoSpaceDE w:val="0"/>
              <w:autoSpaceDN w:val="0"/>
              <w:adjustRightInd w:val="0"/>
              <w:rPr>
                <w:rFonts w:ascii="Times New Roman" w:hAnsi="Times New Roman" w:eastAsia="MS Mincho" w:cs="Times New Roman"/>
                <w:b/>
                <w:bCs/>
                <w:sz w:val="20"/>
                <w:szCs w:val="20"/>
                <w:lang w:eastAsia="en-GB"/>
              </w:rPr>
            </w:pPr>
            <w:r w:rsidRPr="00D43D39">
              <w:rPr>
                <w:rFonts w:ascii="Times New Roman" w:hAnsi="Times New Roman" w:eastAsia="Calibri" w:cs="Times New Roman"/>
                <w:b/>
                <w:bCs/>
                <w:sz w:val="20"/>
                <w:szCs w:val="20"/>
              </w:rPr>
              <w:t>Service type</w:t>
            </w:r>
          </w:p>
          <w:p w:rsidRPr="00D43D39" w:rsidR="003433C6" w:rsidP="00513F58" w:rsidRDefault="003433C6" w14:paraId="218C3776"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The service type shall be one of the service types listed below. </w:t>
            </w:r>
          </w:p>
          <w:p w:rsidRPr="00D43D39" w:rsidR="003433C6" w:rsidP="00513F58" w:rsidRDefault="003433C6" w14:paraId="1B387EFD" w14:textId="77777777">
            <w:pPr>
              <w:spacing w:before="120" w:after="120" w:line="276" w:lineRule="auto"/>
              <w:rPr>
                <w:rFonts w:ascii="Times New Roman" w:hAnsi="Times New Roman" w:eastAsia="Calibri" w:cs="Times New Roman"/>
                <w:sz w:val="20"/>
                <w:szCs w:val="20"/>
              </w:rPr>
            </w:pPr>
            <w:r w:rsidRPr="00D43D39">
              <w:rPr>
                <w:rFonts w:ascii="Times New Roman" w:hAnsi="Times New Roman" w:eastAsia="Calibri" w:cs="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p>
          <w:p w:rsidRPr="00D43D39" w:rsidR="003433C6" w:rsidP="00513F58" w:rsidRDefault="003433C6" w14:paraId="616C7092"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1. Human resources support </w:t>
            </w:r>
          </w:p>
          <w:p w:rsidRPr="00D43D39" w:rsidR="003433C6" w:rsidP="00513F58" w:rsidRDefault="003433C6" w14:paraId="182787E1"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1.1 staff administration, including administration of contracts and remuneration </w:t>
            </w:r>
          </w:p>
          <w:p w:rsidRPr="00D43D39" w:rsidR="003433C6" w:rsidP="00513F58" w:rsidRDefault="003433C6" w14:paraId="3F94795D"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1.2 internal communication</w:t>
            </w:r>
          </w:p>
          <w:p w:rsidRPr="00D43D39" w:rsidR="003433C6" w:rsidP="00513F58" w:rsidRDefault="003433C6" w14:paraId="3E00A839"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1.3 external communication</w:t>
            </w:r>
          </w:p>
          <w:p w:rsidRPr="00D43D39" w:rsidR="003433C6" w:rsidDel="00106D64" w:rsidP="00513F58" w:rsidRDefault="003433C6" w14:paraId="3A425877"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1.4 other</w:t>
            </w:r>
          </w:p>
          <w:p w:rsidRPr="00D43D39" w:rsidR="003433C6" w:rsidP="00513F58" w:rsidRDefault="003433C6" w14:paraId="1E48AB31" w14:textId="77777777">
            <w:pPr>
              <w:autoSpaceDE w:val="0"/>
              <w:autoSpaceDN w:val="0"/>
              <w:adjustRightInd w:val="0"/>
              <w:ind w:left="708"/>
              <w:rPr>
                <w:rFonts w:ascii="Times New Roman" w:hAnsi="Times New Roman" w:eastAsia="MS Mincho" w:cs="Times New Roman"/>
                <w:sz w:val="20"/>
                <w:szCs w:val="20"/>
                <w:lang w:eastAsia="en-GB"/>
              </w:rPr>
            </w:pPr>
          </w:p>
          <w:p w:rsidRPr="00D43D39" w:rsidR="003433C6" w:rsidP="00513F58" w:rsidRDefault="003433C6" w14:paraId="64DC4819"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2. Information technology </w:t>
            </w:r>
          </w:p>
          <w:p w:rsidRPr="00D43D39" w:rsidR="003433C6" w:rsidP="00513F58" w:rsidRDefault="003433C6" w14:paraId="71C6C3FE"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2.1 IT and communication hardware </w:t>
            </w:r>
          </w:p>
          <w:p w:rsidRPr="00D43D39" w:rsidR="003433C6" w:rsidP="00513F58" w:rsidRDefault="003433C6" w14:paraId="7159CA1A"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2.2 data storage and processing </w:t>
            </w:r>
          </w:p>
          <w:p w:rsidRPr="00D43D39" w:rsidR="003433C6" w:rsidP="00513F58" w:rsidRDefault="003433C6" w14:paraId="1CAB37C4"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2.3 other IT infrastructure, workstations, telecommunications, servers, data centres and related services </w:t>
            </w:r>
          </w:p>
          <w:p w:rsidRPr="00D43D39" w:rsidR="003433C6" w:rsidP="00513F58" w:rsidRDefault="003433C6" w14:paraId="6F871877"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2.4 administration of software licenses and application software </w:t>
            </w:r>
          </w:p>
          <w:p w:rsidRPr="00D43D39" w:rsidR="003433C6" w:rsidP="00513F58" w:rsidRDefault="003433C6" w14:paraId="2CC28B43"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2.5 access to external providers, in particular data and infrastructure providers </w:t>
            </w:r>
          </w:p>
          <w:p w:rsidRPr="00D43D39" w:rsidR="003433C6" w:rsidP="00513F58" w:rsidRDefault="003433C6" w14:paraId="3E6550E6"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2.6 application maintenance, including software application maintenance and related data flows </w:t>
            </w:r>
          </w:p>
          <w:p w:rsidRPr="00D43D39" w:rsidR="003433C6" w:rsidP="00513F58" w:rsidRDefault="003433C6" w14:paraId="4FDD4CF0"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2.7 report generation, internal information flows and data bases </w:t>
            </w:r>
          </w:p>
          <w:p w:rsidRPr="00D43D39" w:rsidR="003433C6" w:rsidP="00513F58" w:rsidRDefault="003433C6" w14:paraId="77DD74AB"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2.8 user support </w:t>
            </w:r>
          </w:p>
          <w:p w:rsidRPr="00D43D39" w:rsidR="003433C6" w:rsidP="00513F58" w:rsidRDefault="003433C6" w14:paraId="05D1AA07"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2.9 emergency and disaster recovery</w:t>
            </w:r>
          </w:p>
          <w:p w:rsidRPr="00D43D39" w:rsidR="003433C6" w:rsidDel="00106D64" w:rsidP="00513F58" w:rsidRDefault="003433C6" w14:paraId="57748337"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2.10 other</w:t>
            </w:r>
          </w:p>
          <w:p w:rsidRPr="00D43D39" w:rsidR="003433C6" w:rsidP="00513F58" w:rsidRDefault="003433C6" w14:paraId="2BDAC96C" w14:textId="77777777">
            <w:pPr>
              <w:autoSpaceDE w:val="0"/>
              <w:autoSpaceDN w:val="0"/>
              <w:adjustRightInd w:val="0"/>
              <w:rPr>
                <w:rFonts w:ascii="Times New Roman" w:hAnsi="Times New Roman" w:eastAsia="MS Mincho" w:cs="Times New Roman"/>
                <w:sz w:val="20"/>
                <w:szCs w:val="20"/>
                <w:lang w:eastAsia="en-GB"/>
              </w:rPr>
            </w:pPr>
          </w:p>
          <w:p w:rsidRPr="00D43D39" w:rsidR="003433C6" w:rsidP="00513F58" w:rsidRDefault="003433C6" w14:paraId="036DF20E"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3. Transaction processing, including legal transactional issues, in particular anti-money laundering </w:t>
            </w:r>
          </w:p>
          <w:p w:rsidRPr="00D43D39" w:rsidR="003433C6" w:rsidP="00513F58" w:rsidRDefault="003433C6" w14:paraId="2BEBB0F2" w14:textId="77777777">
            <w:pPr>
              <w:autoSpaceDE w:val="0"/>
              <w:autoSpaceDN w:val="0"/>
              <w:adjustRightInd w:val="0"/>
              <w:rPr>
                <w:rFonts w:ascii="Times New Roman" w:hAnsi="Times New Roman" w:eastAsia="MS Mincho" w:cs="Times New Roman"/>
                <w:sz w:val="20"/>
                <w:szCs w:val="20"/>
                <w:lang w:eastAsia="en-GB"/>
              </w:rPr>
            </w:pPr>
          </w:p>
          <w:p w:rsidRPr="00D43D39" w:rsidR="003433C6" w:rsidP="00513F58" w:rsidRDefault="003433C6" w14:paraId="0BEFEDB0"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4. Real estate and facility provision or management and associated facilities </w:t>
            </w:r>
          </w:p>
          <w:p w:rsidRPr="00D43D39" w:rsidR="003433C6" w:rsidP="00513F58" w:rsidRDefault="003433C6" w14:paraId="0E7E2E24"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4.1 office premises and storage </w:t>
            </w:r>
          </w:p>
          <w:p w:rsidRPr="00D43D39" w:rsidR="003433C6" w:rsidP="00513F58" w:rsidRDefault="003433C6" w14:paraId="19BCCD35"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4.2 internal facilities management </w:t>
            </w:r>
          </w:p>
          <w:p w:rsidRPr="00D43D39" w:rsidR="003433C6" w:rsidP="00513F58" w:rsidRDefault="003433C6" w14:paraId="7B193195"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4.3 security and access control </w:t>
            </w:r>
          </w:p>
          <w:p w:rsidRPr="00D43D39" w:rsidR="003433C6" w:rsidP="00513F58" w:rsidRDefault="003433C6" w14:paraId="10901E56"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4.4 real estate portfolio management </w:t>
            </w:r>
          </w:p>
          <w:p w:rsidRPr="00D43D39" w:rsidR="003433C6" w:rsidP="00513F58" w:rsidRDefault="003433C6" w14:paraId="03E890CD" w14:textId="1E996958">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4.5 other, </w:t>
            </w:r>
            <w:r w:rsidR="00937E62">
              <w:rPr>
                <w:rFonts w:ascii="Times New Roman" w:hAnsi="Times New Roman" w:eastAsia="MS Mincho" w:cs="Times New Roman"/>
                <w:sz w:val="20"/>
                <w:szCs w:val="20"/>
                <w:lang w:eastAsia="en-GB"/>
              </w:rPr>
              <w:t>(</w:t>
            </w:r>
            <w:r w:rsidRPr="00D43D39">
              <w:rPr>
                <w:rFonts w:ascii="Times New Roman" w:hAnsi="Times New Roman" w:eastAsia="MS Mincho" w:cs="Times New Roman"/>
                <w:sz w:val="20"/>
                <w:szCs w:val="20"/>
                <w:lang w:eastAsia="en-GB"/>
              </w:rPr>
              <w:t>specify</w:t>
            </w:r>
            <w:r w:rsidR="00937E62">
              <w:rPr>
                <w:rFonts w:ascii="Times New Roman" w:hAnsi="Times New Roman" w:eastAsia="MS Mincho" w:cs="Times New Roman"/>
                <w:sz w:val="20"/>
                <w:szCs w:val="20"/>
                <w:lang w:eastAsia="en-GB"/>
              </w:rPr>
              <w:t>)</w:t>
            </w:r>
            <w:r w:rsidRPr="00D43D39">
              <w:rPr>
                <w:rFonts w:ascii="Times New Roman" w:hAnsi="Times New Roman" w:eastAsia="MS Mincho" w:cs="Times New Roman"/>
                <w:sz w:val="20"/>
                <w:szCs w:val="20"/>
                <w:lang w:eastAsia="en-GB"/>
              </w:rPr>
              <w:t xml:space="preserve"> </w:t>
            </w:r>
          </w:p>
          <w:p w:rsidRPr="00D43D39" w:rsidR="003433C6" w:rsidP="00513F58" w:rsidRDefault="003433C6" w14:paraId="0C07CDDC" w14:textId="77777777">
            <w:pPr>
              <w:autoSpaceDE w:val="0"/>
              <w:autoSpaceDN w:val="0"/>
              <w:adjustRightInd w:val="0"/>
              <w:rPr>
                <w:rFonts w:ascii="Times New Roman" w:hAnsi="Times New Roman" w:eastAsia="MS Mincho" w:cs="Times New Roman"/>
                <w:sz w:val="20"/>
                <w:szCs w:val="20"/>
                <w:lang w:eastAsia="en-GB"/>
              </w:rPr>
            </w:pPr>
          </w:p>
          <w:p w:rsidRPr="00D43D39" w:rsidR="003433C6" w:rsidP="00513F58" w:rsidRDefault="003433C6" w14:paraId="22712C0B"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5. Legal services and compliance functions </w:t>
            </w:r>
          </w:p>
          <w:p w:rsidRPr="00D43D39" w:rsidR="003433C6" w:rsidP="00513F58" w:rsidRDefault="003433C6" w14:paraId="6AB36188"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5.1 corporate legal support </w:t>
            </w:r>
          </w:p>
          <w:p w:rsidRPr="00D43D39" w:rsidR="003433C6" w:rsidP="00513F58" w:rsidRDefault="003433C6" w14:paraId="7EB19FCE"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5.2 business and transactional legal services </w:t>
            </w:r>
          </w:p>
          <w:p w:rsidRPr="00D43D39" w:rsidR="003433C6" w:rsidP="00513F58" w:rsidRDefault="003433C6" w14:paraId="7F4C9645"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5.3 compliance support </w:t>
            </w:r>
          </w:p>
          <w:p w:rsidRPr="00D43D39" w:rsidR="003433C6" w:rsidDel="00106D64" w:rsidP="00513F58" w:rsidRDefault="003433C6" w14:paraId="382DDFC2"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5.4 other</w:t>
            </w:r>
          </w:p>
          <w:p w:rsidRPr="00D43D39" w:rsidR="003433C6" w:rsidP="00513F58" w:rsidRDefault="003433C6" w14:paraId="52EDF7B5" w14:textId="77777777">
            <w:pPr>
              <w:autoSpaceDE w:val="0"/>
              <w:autoSpaceDN w:val="0"/>
              <w:adjustRightInd w:val="0"/>
              <w:ind w:left="708"/>
              <w:rPr>
                <w:rFonts w:ascii="Times New Roman" w:hAnsi="Times New Roman" w:eastAsia="MS Mincho" w:cs="Times New Roman"/>
                <w:sz w:val="20"/>
                <w:szCs w:val="20"/>
                <w:lang w:eastAsia="en-GB"/>
              </w:rPr>
            </w:pPr>
          </w:p>
          <w:p w:rsidRPr="00D43D39" w:rsidR="003433C6" w:rsidP="00513F58" w:rsidRDefault="003433C6" w14:paraId="0E44B99E"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6. Treasury-related services </w:t>
            </w:r>
          </w:p>
          <w:p w:rsidRPr="00D43D39" w:rsidR="003433C6" w:rsidP="00513F58" w:rsidRDefault="003433C6" w14:paraId="7D919439"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6.1 coordination, administration and management of the treasury activity </w:t>
            </w:r>
          </w:p>
          <w:p w:rsidRPr="00D43D39" w:rsidR="003433C6" w:rsidP="00513F58" w:rsidRDefault="003433C6" w14:paraId="54F046E4"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6.2 coordination, administration and management of entity refinancing, including collateral management </w:t>
            </w:r>
          </w:p>
          <w:p w:rsidRPr="00D43D39" w:rsidR="003433C6" w:rsidP="00513F58" w:rsidRDefault="003433C6" w14:paraId="20DC8028"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6.3 reporting function, in particular with respect to regulatory liquidity ratios </w:t>
            </w:r>
          </w:p>
          <w:p w:rsidRPr="00D43D39" w:rsidR="003433C6" w:rsidP="00513F58" w:rsidRDefault="003433C6" w14:paraId="462D4484"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6.4 coordination, administration and management of medium and long-term funding programs, and refinancing of group entities </w:t>
            </w:r>
          </w:p>
          <w:p w:rsidRPr="00D43D39" w:rsidR="003433C6" w:rsidDel="00106D64" w:rsidP="00513F58" w:rsidRDefault="003433C6" w14:paraId="51AA4874"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6.5 coordination, administration and management of refinancing, in particular short-term issues</w:t>
            </w:r>
          </w:p>
          <w:p w:rsidRPr="00D43D39" w:rsidR="003433C6" w:rsidP="00513F58" w:rsidRDefault="003433C6" w14:paraId="0CAA7571"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6.6 other</w:t>
            </w:r>
          </w:p>
          <w:p w:rsidRPr="00D43D39" w:rsidR="003433C6" w:rsidP="00513F58" w:rsidRDefault="003433C6" w14:paraId="026827BA" w14:textId="77777777">
            <w:pPr>
              <w:autoSpaceDE w:val="0"/>
              <w:autoSpaceDN w:val="0"/>
              <w:adjustRightInd w:val="0"/>
              <w:rPr>
                <w:rFonts w:ascii="Times New Roman" w:hAnsi="Times New Roman" w:eastAsia="MS Mincho" w:cs="Times New Roman"/>
                <w:sz w:val="20"/>
                <w:szCs w:val="20"/>
                <w:lang w:eastAsia="en-GB"/>
              </w:rPr>
            </w:pPr>
          </w:p>
          <w:p w:rsidRPr="00D43D39" w:rsidR="003433C6" w:rsidP="00513F58" w:rsidRDefault="003433C6" w14:paraId="70C8BC78"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7. Trading/asset management </w:t>
            </w:r>
          </w:p>
          <w:p w:rsidRPr="00D43D39" w:rsidR="003433C6" w:rsidP="00513F58" w:rsidRDefault="003433C6" w14:paraId="5FF346BF"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7.1 operations processing: trade capture, design, realisation, servicing of trading products </w:t>
            </w:r>
          </w:p>
          <w:p w:rsidRPr="00D43D39" w:rsidR="003433C6" w:rsidP="00513F58" w:rsidRDefault="003433C6" w14:paraId="12EE0799"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7.2 confirmation, settlement, payment </w:t>
            </w:r>
          </w:p>
          <w:p w:rsidRPr="00D43D39" w:rsidR="003433C6" w:rsidP="00513F58" w:rsidRDefault="003433C6" w14:paraId="50A635DF"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7.3 position and counterparty management, with respect to data reporting and counterparty relationships </w:t>
            </w:r>
          </w:p>
          <w:p w:rsidRPr="00D43D39" w:rsidR="003433C6" w:rsidP="00513F58" w:rsidRDefault="003433C6" w14:paraId="136D9C2F"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7.4 position management (risk and reconciliation) </w:t>
            </w:r>
          </w:p>
          <w:p w:rsidRPr="00D43D39" w:rsidR="003433C6" w:rsidDel="00106D64" w:rsidP="00513F58" w:rsidRDefault="003433C6" w14:paraId="6F0D6753"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7.5 other</w:t>
            </w:r>
          </w:p>
          <w:p w:rsidRPr="00D43D39" w:rsidR="003433C6" w:rsidP="00513F58" w:rsidRDefault="003433C6" w14:paraId="7041DA74" w14:textId="77777777">
            <w:pPr>
              <w:autoSpaceDE w:val="0"/>
              <w:autoSpaceDN w:val="0"/>
              <w:adjustRightInd w:val="0"/>
              <w:ind w:left="708"/>
              <w:rPr>
                <w:rFonts w:ascii="Times New Roman" w:hAnsi="Times New Roman" w:eastAsia="MS Mincho" w:cs="Times New Roman"/>
                <w:sz w:val="20"/>
                <w:szCs w:val="20"/>
                <w:lang w:eastAsia="en-GB"/>
              </w:rPr>
            </w:pPr>
          </w:p>
          <w:p w:rsidRPr="00D43D39" w:rsidR="003433C6" w:rsidP="00513F58" w:rsidRDefault="003433C6" w14:paraId="2966855C"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8. Risk management and valuation </w:t>
            </w:r>
          </w:p>
          <w:p w:rsidRPr="00D43D39" w:rsidR="003433C6" w:rsidP="00513F58" w:rsidRDefault="003433C6" w14:paraId="5D16DF94"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8.1 central or business line or risk type-related risk management</w:t>
            </w:r>
          </w:p>
          <w:p w:rsidRPr="00D43D39" w:rsidR="003433C6" w:rsidP="00513F58" w:rsidRDefault="003433C6" w14:paraId="518C23B4"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8.2 risk report generation </w:t>
            </w:r>
          </w:p>
          <w:p w:rsidRPr="00D43D39" w:rsidR="003433C6" w:rsidDel="00106D64" w:rsidP="00513F58" w:rsidRDefault="003433C6" w14:paraId="0842A2A9"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8.3 other</w:t>
            </w:r>
          </w:p>
          <w:p w:rsidRPr="00D43D39" w:rsidR="003433C6" w:rsidP="00513F58" w:rsidRDefault="003433C6" w14:paraId="7F66E0F1" w14:textId="77777777">
            <w:pPr>
              <w:autoSpaceDE w:val="0"/>
              <w:autoSpaceDN w:val="0"/>
              <w:adjustRightInd w:val="0"/>
              <w:rPr>
                <w:rFonts w:ascii="Times New Roman" w:hAnsi="Times New Roman" w:eastAsia="MS Mincho" w:cs="Times New Roman"/>
                <w:sz w:val="20"/>
                <w:szCs w:val="20"/>
                <w:lang w:eastAsia="en-GB"/>
              </w:rPr>
            </w:pPr>
          </w:p>
          <w:p w:rsidRPr="00D43D39" w:rsidR="003433C6" w:rsidP="00513F58" w:rsidRDefault="003433C6" w14:paraId="28D07C8E" w14:textId="77777777">
            <w:pPr>
              <w:autoSpaceDE w:val="0"/>
              <w:autoSpaceDN w:val="0"/>
              <w:adjustRightInd w:val="0"/>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9. Accounting </w:t>
            </w:r>
          </w:p>
          <w:p w:rsidRPr="00D43D39" w:rsidR="003433C6" w:rsidP="00513F58" w:rsidRDefault="003433C6" w14:paraId="614728ED"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9.1 statutory and regulatory reporting </w:t>
            </w:r>
          </w:p>
          <w:p w:rsidRPr="00D43D39" w:rsidR="003433C6" w:rsidP="00513F58" w:rsidRDefault="003433C6" w14:paraId="01FA0808"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9.2 valuation, in particular of market positions </w:t>
            </w:r>
          </w:p>
          <w:p w:rsidRPr="00D43D39" w:rsidR="003433C6" w:rsidDel="00106D64" w:rsidP="00513F58" w:rsidRDefault="003433C6" w14:paraId="7012DF03" w14:textId="77777777">
            <w:pPr>
              <w:autoSpaceDE w:val="0"/>
              <w:autoSpaceDN w:val="0"/>
              <w:adjustRightInd w:val="0"/>
              <w:ind w:left="708"/>
              <w:rPr>
                <w:rFonts w:ascii="Times New Roman" w:hAnsi="Times New Roman" w:eastAsia="MS Mincho" w:cs="Times New Roman"/>
                <w:sz w:val="20"/>
                <w:szCs w:val="20"/>
                <w:lang w:eastAsia="en-GB"/>
              </w:rPr>
            </w:pPr>
            <w:r w:rsidRPr="00D43D39">
              <w:rPr>
                <w:rFonts w:ascii="Times New Roman" w:hAnsi="Times New Roman" w:eastAsia="MS Mincho" w:cs="Times New Roman"/>
                <w:sz w:val="20"/>
                <w:szCs w:val="20"/>
                <w:lang w:eastAsia="en-GB"/>
              </w:rPr>
              <w:t xml:space="preserve">9.3 management reporting </w:t>
            </w:r>
          </w:p>
          <w:p w:rsidRPr="00D43D39" w:rsidR="003433C6" w:rsidP="00513F58" w:rsidRDefault="003433C6" w14:paraId="1F027A91" w14:textId="77777777">
            <w:pPr>
              <w:autoSpaceDE w:val="0"/>
              <w:autoSpaceDN w:val="0"/>
              <w:adjustRightInd w:val="0"/>
              <w:ind w:left="708"/>
              <w:rPr>
                <w:rFonts w:ascii="Times New Roman" w:hAnsi="Times New Roman" w:eastAsia="MS Mincho" w:cs="Times New Roman"/>
                <w:sz w:val="20"/>
                <w:szCs w:val="20"/>
                <w:lang w:eastAsia="en-GB"/>
              </w:rPr>
            </w:pPr>
            <w:r w:rsidRPr="00D43D39" w:rsidDel="00106D64">
              <w:rPr>
                <w:rFonts w:ascii="Times New Roman" w:hAnsi="Times New Roman" w:eastAsia="MS Mincho" w:cs="Times New Roman"/>
                <w:sz w:val="20"/>
                <w:szCs w:val="20"/>
                <w:lang w:eastAsia="en-GB"/>
              </w:rPr>
              <w:t>9.4 other</w:t>
            </w:r>
          </w:p>
          <w:p w:rsidRPr="00D43D39" w:rsidR="003433C6" w:rsidP="00513F58" w:rsidRDefault="003433C6" w14:paraId="3D24DCA0" w14:textId="77777777">
            <w:pPr>
              <w:autoSpaceDE w:val="0"/>
              <w:autoSpaceDN w:val="0"/>
              <w:adjustRightInd w:val="0"/>
              <w:ind w:left="708"/>
              <w:rPr>
                <w:rFonts w:ascii="Times New Roman" w:hAnsi="Times New Roman" w:eastAsia="MS Mincho" w:cs="Times New Roman"/>
                <w:sz w:val="20"/>
                <w:szCs w:val="20"/>
                <w:lang w:eastAsia="en-GB"/>
              </w:rPr>
            </w:pPr>
          </w:p>
          <w:p w:rsidRPr="00D43D39" w:rsidR="003433C6" w:rsidP="00513F58" w:rsidRDefault="003433C6" w14:paraId="4A30B8B2" w14:textId="77777777">
            <w:pPr>
              <w:autoSpaceDE w:val="0"/>
              <w:autoSpaceDN w:val="0"/>
              <w:adjustRightInd w:val="0"/>
              <w:rPr>
                <w:rFonts w:ascii="Times New Roman" w:hAnsi="Times New Roman" w:eastAsia="MS Mincho" w:cs="Times New Roman"/>
                <w:sz w:val="24"/>
                <w:szCs w:val="20"/>
                <w:lang w:eastAsia="en-GB"/>
              </w:rPr>
            </w:pPr>
            <w:r w:rsidRPr="00D43D39">
              <w:rPr>
                <w:rFonts w:ascii="Times New Roman" w:hAnsi="Times New Roman" w:eastAsia="MS Mincho" w:cs="Times New Roman"/>
                <w:sz w:val="20"/>
                <w:szCs w:val="20"/>
                <w:lang w:eastAsia="en-GB"/>
              </w:rPr>
              <w:t>10. Cash handling</w:t>
            </w:r>
            <w:r w:rsidRPr="00D43D39">
              <w:rPr>
                <w:rFonts w:ascii="Times New Roman" w:hAnsi="Times New Roman" w:eastAsia="MS Mincho" w:cs="Times New Roman"/>
                <w:sz w:val="24"/>
                <w:szCs w:val="20"/>
                <w:lang w:eastAsia="en-GB"/>
              </w:rPr>
              <w:t xml:space="preserve"> </w:t>
            </w:r>
          </w:p>
          <w:p w:rsidRPr="00D43D39" w:rsidR="003433C6" w:rsidP="00513F58" w:rsidRDefault="003433C6" w14:paraId="4A2A64F2" w14:textId="77777777">
            <w:pPr>
              <w:autoSpaceDE w:val="0"/>
              <w:autoSpaceDN w:val="0"/>
              <w:adjustRightInd w:val="0"/>
              <w:rPr>
                <w:rFonts w:ascii="Times New Roman" w:hAnsi="Times New Roman" w:eastAsia="MS Mincho" w:cs="Times New Roman"/>
                <w:sz w:val="24"/>
                <w:szCs w:val="20"/>
                <w:lang w:eastAsia="en-GB"/>
              </w:rPr>
            </w:pPr>
          </w:p>
          <w:p w:rsidRPr="00D43D39" w:rsidR="003433C6" w:rsidDel="00106D64" w:rsidP="00513F58" w:rsidRDefault="003433C6" w14:paraId="576F8169" w14:textId="77777777">
            <w:pPr>
              <w:autoSpaceDE w:val="0"/>
              <w:autoSpaceDN w:val="0"/>
              <w:adjustRightInd w:val="0"/>
              <w:rPr>
                <w:rFonts w:ascii="Times New Roman" w:hAnsi="Times New Roman" w:eastAsia="MS Mincho" w:cs="Times New Roman"/>
                <w:sz w:val="20"/>
                <w:lang w:eastAsia="en-GB"/>
              </w:rPr>
            </w:pPr>
            <w:r w:rsidRPr="00D43D39">
              <w:rPr>
                <w:rFonts w:ascii="Times New Roman" w:hAnsi="Times New Roman" w:eastAsia="MS Mincho" w:cs="Times New Roman"/>
                <w:sz w:val="20"/>
                <w:szCs w:val="20"/>
                <w:lang w:eastAsia="en-GB"/>
              </w:rPr>
              <w:t>11. Other</w:t>
            </w:r>
          </w:p>
          <w:p w:rsidRPr="00D43D39" w:rsidR="003433C6" w:rsidP="00513F58" w:rsidRDefault="003433C6" w14:paraId="6BC48FC1" w14:textId="77777777">
            <w:pPr>
              <w:autoSpaceDE w:val="0"/>
              <w:autoSpaceDN w:val="0"/>
              <w:adjustRightInd w:val="0"/>
              <w:rPr>
                <w:rFonts w:ascii="Times New Roman" w:hAnsi="Times New Roman" w:eastAsia="MS Mincho" w:cs="Times New Roman"/>
                <w:sz w:val="24"/>
                <w:szCs w:val="20"/>
                <w:lang w:eastAsia="en-GB"/>
              </w:rPr>
            </w:pPr>
          </w:p>
          <w:p w:rsidRPr="00D43D39" w:rsidR="003433C6" w:rsidP="00513F58" w:rsidRDefault="003433C6" w14:paraId="6ECBCD8E" w14:textId="77777777">
            <w:pPr>
              <w:spacing w:line="276" w:lineRule="auto"/>
              <w:jc w:val="both"/>
              <w:rPr>
                <w:rFonts w:ascii="Times New Roman" w:hAnsi="Times New Roman" w:eastAsia="Calibri" w:cs="Times New Roman"/>
                <w:b/>
                <w:i/>
                <w:sz w:val="20"/>
                <w:szCs w:val="20"/>
              </w:rPr>
            </w:pPr>
            <w:r w:rsidRPr="00D43D39">
              <w:rPr>
                <w:rFonts w:ascii="Times New Roman" w:hAnsi="Times New Roman" w:eastAsia="Calibri" w:cs="Times New Roman"/>
                <w:i/>
                <w:sz w:val="20"/>
              </w:rPr>
              <w:t>Drop-down field</w:t>
            </w:r>
            <w:r w:rsidRPr="00D43D39">
              <w:rPr>
                <w:rFonts w:ascii="Times New Roman" w:hAnsi="Times New Roman" w:eastAsia="Calibri" w:cs="Times New Roman"/>
                <w:b/>
                <w:i/>
                <w:sz w:val="20"/>
                <w:szCs w:val="20"/>
              </w:rPr>
              <w:t xml:space="preserve"> </w:t>
            </w:r>
          </w:p>
        </w:tc>
      </w:tr>
      <w:tr w:rsidRPr="00D43D39" w:rsidR="003433C6" w:rsidTr="00513F58" w14:paraId="31FF34CA" w14:textId="77777777">
        <w:trPr>
          <w:trHeight w:val="463"/>
        </w:trPr>
        <w:tc>
          <w:tcPr>
            <w:tcW w:w="1129" w:type="dxa"/>
            <w:shd w:val="clear" w:color="auto" w:fill="FFFFFF"/>
          </w:tcPr>
          <w:p w:rsidRPr="00D43D39" w:rsidR="003433C6" w:rsidP="00513F58" w:rsidRDefault="003433C6" w14:paraId="730A6833" w14:textId="77777777">
            <w:pPr>
              <w:spacing w:before="120" w:after="120" w:line="276" w:lineRule="auto"/>
              <w:rPr>
                <w:rFonts w:ascii="Times New Roman" w:hAnsi="Times New Roman" w:eastAsia="Calibri" w:cs="Times New Roman"/>
                <w:sz w:val="20"/>
                <w:szCs w:val="20"/>
              </w:rPr>
            </w:pPr>
            <w:r w:rsidRPr="00D43D39">
              <w:rPr>
                <w:rFonts w:ascii="Times New Roman" w:hAnsi="Times New Roman" w:eastAsia="Calibri" w:cs="Times New Roman"/>
                <w:sz w:val="20"/>
                <w:szCs w:val="20"/>
              </w:rPr>
              <w:t>0020</w:t>
            </w:r>
          </w:p>
        </w:tc>
        <w:tc>
          <w:tcPr>
            <w:tcW w:w="7938" w:type="dxa"/>
            <w:shd w:val="clear" w:color="auto" w:fill="FFFFFF"/>
          </w:tcPr>
          <w:p w:rsidRPr="00D43D39" w:rsidR="003433C6" w:rsidP="00513F58" w:rsidRDefault="003433C6" w14:paraId="714C53C7"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sz w:val="20"/>
                <w:szCs w:val="20"/>
              </w:rPr>
              <w:t>Unique service title as per bank taxonomy</w:t>
            </w:r>
          </w:p>
          <w:p w:rsidRPr="00D43D39" w:rsidR="003433C6" w:rsidP="00513F58" w:rsidRDefault="003433C6" w14:paraId="1836DED3"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p>
          <w:p w:rsidRPr="00D43D39" w:rsidR="003433C6" w:rsidP="00513F58" w:rsidRDefault="003433C6" w14:paraId="0C0EFCED" w14:textId="77777777">
            <w:pPr>
              <w:spacing w:line="276" w:lineRule="auto"/>
              <w:jc w:val="both"/>
              <w:rPr>
                <w:rFonts w:ascii="Times New Roman" w:hAnsi="Times New Roman" w:eastAsia="Calibri" w:cs="Times New Roman"/>
                <w:sz w:val="20"/>
              </w:rPr>
            </w:pPr>
          </w:p>
          <w:p w:rsidRPr="00D43D39" w:rsidR="003433C6" w:rsidP="00513F58" w:rsidRDefault="003433C6" w14:paraId="3609D362" w14:textId="77777777">
            <w:pPr>
              <w:spacing w:line="276" w:lineRule="auto"/>
              <w:jc w:val="both"/>
              <w:rPr>
                <w:rFonts w:ascii="Times New Roman" w:hAnsi="Times New Roman" w:eastAsia="Calibri" w:cs="Times New Roman"/>
                <w:i/>
                <w:sz w:val="20"/>
              </w:rPr>
            </w:pPr>
          </w:p>
        </w:tc>
      </w:tr>
      <w:tr w:rsidRPr="00D43D39" w:rsidR="003433C6" w:rsidTr="00513F58" w14:paraId="7E831C3C" w14:textId="77777777">
        <w:trPr>
          <w:trHeight w:val="463"/>
        </w:trPr>
        <w:tc>
          <w:tcPr>
            <w:tcW w:w="1129" w:type="dxa"/>
            <w:shd w:val="clear" w:color="auto" w:fill="FFFFFF"/>
          </w:tcPr>
          <w:p w:rsidRPr="00D43D39" w:rsidR="003433C6" w:rsidP="00513F58" w:rsidRDefault="003433C6" w14:paraId="2698E939" w14:textId="77777777">
            <w:pPr>
              <w:spacing w:before="120" w:after="120" w:line="276" w:lineRule="auto"/>
              <w:rPr>
                <w:rFonts w:ascii="Times New Roman" w:hAnsi="Times New Roman" w:eastAsia="Calibri" w:cs="Times New Roman"/>
                <w:sz w:val="20"/>
                <w:szCs w:val="20"/>
              </w:rPr>
            </w:pPr>
            <w:r w:rsidRPr="00D43D39">
              <w:rPr>
                <w:rFonts w:ascii="Times New Roman" w:hAnsi="Times New Roman" w:eastAsia="Calibri" w:cs="Times New Roman"/>
                <w:sz w:val="20"/>
                <w:szCs w:val="20"/>
              </w:rPr>
              <w:t>0030-0040</w:t>
            </w:r>
          </w:p>
          <w:p w:rsidRPr="00D43D39" w:rsidR="003433C6" w:rsidP="00513F58" w:rsidRDefault="003433C6" w14:paraId="53380041" w14:textId="77777777">
            <w:pPr>
              <w:spacing w:before="120" w:after="120" w:line="276" w:lineRule="auto"/>
              <w:rPr>
                <w:rFonts w:ascii="Times New Roman" w:hAnsi="Times New Roman" w:eastAsia="Calibri" w:cs="Times New Roman"/>
                <w:strike/>
                <w:sz w:val="20"/>
                <w:szCs w:val="20"/>
              </w:rPr>
            </w:pPr>
          </w:p>
        </w:tc>
        <w:tc>
          <w:tcPr>
            <w:tcW w:w="7938" w:type="dxa"/>
            <w:shd w:val="clear" w:color="auto" w:fill="FFFFFF"/>
          </w:tcPr>
          <w:p w:rsidRPr="00D43D39" w:rsidR="003433C6" w:rsidP="00513F58" w:rsidRDefault="003433C6" w14:paraId="266EA192"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sz w:val="20"/>
                <w:szCs w:val="20"/>
              </w:rPr>
              <w:t>Service recipient</w:t>
            </w:r>
          </w:p>
          <w:p w:rsidRPr="00D43D39" w:rsidR="003433C6" w:rsidP="00513F58" w:rsidRDefault="003433C6" w14:paraId="7D391D5A"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The Entity of the group which receives the service reported in column 0010 from another business unit, group entity or the external provider reported in columns 0050-0060.</w:t>
            </w:r>
          </w:p>
          <w:p w:rsidRPr="00D43D39" w:rsidR="003433C6" w:rsidP="00513F58" w:rsidRDefault="003433C6" w14:paraId="1327F232" w14:textId="77777777">
            <w:pPr>
              <w:spacing w:line="276" w:lineRule="auto"/>
              <w:jc w:val="both"/>
              <w:rPr>
                <w:rFonts w:ascii="Times New Roman" w:hAnsi="Times New Roman" w:eastAsia="Calibri" w:cs="Times New Roman"/>
                <w:sz w:val="20"/>
              </w:rPr>
            </w:pPr>
          </w:p>
        </w:tc>
      </w:tr>
      <w:tr w:rsidRPr="00D43D39" w:rsidR="003433C6" w:rsidTr="00513F58" w14:paraId="2F82FB22" w14:textId="77777777">
        <w:trPr>
          <w:trHeight w:val="463"/>
        </w:trPr>
        <w:tc>
          <w:tcPr>
            <w:tcW w:w="1129" w:type="dxa"/>
            <w:shd w:val="clear" w:color="auto" w:fill="FFFFFF"/>
          </w:tcPr>
          <w:p w:rsidRPr="00D43D39" w:rsidR="003433C6" w:rsidP="00513F58" w:rsidRDefault="003433C6" w14:paraId="06DF3338" w14:textId="77777777">
            <w:pPr>
              <w:spacing w:before="120" w:after="120" w:line="276" w:lineRule="auto"/>
              <w:rPr>
                <w:rFonts w:ascii="Times New Roman" w:hAnsi="Times New Roman" w:eastAsia="Calibri" w:cs="Times New Roman"/>
                <w:sz w:val="20"/>
                <w:szCs w:val="20"/>
              </w:rPr>
            </w:pPr>
            <w:r w:rsidRPr="00D43D39">
              <w:rPr>
                <w:rFonts w:ascii="Times New Roman" w:hAnsi="Times New Roman" w:eastAsia="Calibri" w:cs="Times New Roman"/>
                <w:sz w:val="20"/>
                <w:szCs w:val="20"/>
              </w:rPr>
              <w:t>0030</w:t>
            </w:r>
          </w:p>
          <w:p w:rsidRPr="00D43D39" w:rsidR="003433C6" w:rsidP="00513F58" w:rsidRDefault="003433C6" w14:paraId="3BBCA3EA" w14:textId="77777777">
            <w:pPr>
              <w:spacing w:before="120" w:after="120" w:line="276" w:lineRule="auto"/>
              <w:rPr>
                <w:rFonts w:ascii="Times New Roman" w:hAnsi="Times New Roman" w:eastAsia="Calibri" w:cs="Times New Roman"/>
                <w:strike/>
                <w:sz w:val="20"/>
                <w:szCs w:val="20"/>
              </w:rPr>
            </w:pPr>
          </w:p>
        </w:tc>
        <w:tc>
          <w:tcPr>
            <w:tcW w:w="7938" w:type="dxa"/>
            <w:shd w:val="clear" w:color="auto" w:fill="FFFFFF"/>
          </w:tcPr>
          <w:p w:rsidRPr="00D43D39" w:rsidR="003433C6" w:rsidP="00513F58" w:rsidRDefault="003433C6" w14:paraId="4EE9272B" w14:textId="77777777">
            <w:pPr>
              <w:spacing w:before="120" w:after="120" w:line="276" w:lineRule="auto"/>
              <w:rPr>
                <w:rFonts w:ascii="Times New Roman" w:hAnsi="Times New Roman" w:eastAsia="Calibri" w:cs="Times New Roman"/>
                <w:b/>
                <w:bCs/>
                <w:sz w:val="20"/>
                <w:szCs w:val="20"/>
              </w:rPr>
            </w:pPr>
            <w:r w:rsidRPr="00D43D39">
              <w:rPr>
                <w:rFonts w:ascii="Times New Roman" w:hAnsi="Times New Roman" w:eastAsia="Calibri" w:cs="Times New Roman"/>
                <w:b/>
                <w:bCs/>
                <w:sz w:val="20"/>
                <w:szCs w:val="20"/>
              </w:rPr>
              <w:t>Entity Name</w:t>
            </w:r>
          </w:p>
          <w:p w:rsidRPr="00D43D39" w:rsidR="003433C6" w:rsidP="00513F58" w:rsidRDefault="003433C6" w14:paraId="61906A52" w14:textId="5300F410">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It must be different from the name listed in column 00</w:t>
            </w:r>
            <w:r w:rsidRPr="00D43D39">
              <w:rPr>
                <w:rFonts w:ascii="Times New Roman" w:hAnsi="Times New Roman" w:eastAsia="Calibri" w:cs="Times New Roman"/>
                <w:strike/>
                <w:sz w:val="20"/>
              </w:rPr>
              <w:t>4</w:t>
            </w:r>
            <w:r w:rsidRPr="00D43D39">
              <w:rPr>
                <w:rFonts w:ascii="Times New Roman" w:hAnsi="Times New Roman" w:eastAsia="Calibri" w:cs="Times New Roman"/>
                <w:sz w:val="20"/>
              </w:rPr>
              <w:t xml:space="preserve">50, unless the service is intra-entity. In this case, the service recipient entity name and service provider entity name </w:t>
            </w:r>
            <w:r w:rsidR="002526C2">
              <w:rPr>
                <w:rFonts w:ascii="Times New Roman" w:hAnsi="Times New Roman" w:eastAsia="Calibri" w:cs="Times New Roman"/>
                <w:sz w:val="20"/>
              </w:rPr>
              <w:t>are expected to</w:t>
            </w:r>
            <w:r w:rsidRPr="00D43D39">
              <w:rPr>
                <w:rFonts w:ascii="Times New Roman" w:hAnsi="Times New Roman" w:eastAsia="Calibri" w:cs="Times New Roman"/>
                <w:sz w:val="20"/>
              </w:rPr>
              <w:t xml:space="preserve"> match.</w:t>
            </w:r>
          </w:p>
          <w:p w:rsidRPr="00D43D39" w:rsidR="003433C6" w:rsidP="00513F58" w:rsidRDefault="003433C6" w14:paraId="7C4BB37D" w14:textId="77777777">
            <w:pPr>
              <w:spacing w:line="276" w:lineRule="auto"/>
              <w:jc w:val="both"/>
              <w:rPr>
                <w:rFonts w:ascii="Times New Roman" w:hAnsi="Times New Roman" w:eastAsia="Calibri" w:cs="Times New Roman"/>
                <w:sz w:val="20"/>
              </w:rPr>
            </w:pPr>
          </w:p>
          <w:p w:rsidRPr="00D43D39" w:rsidR="003433C6" w:rsidP="00513F58" w:rsidRDefault="003433C6" w14:paraId="7F31AB3B" w14:textId="77777777">
            <w:pPr>
              <w:spacing w:line="276" w:lineRule="auto"/>
              <w:jc w:val="both"/>
              <w:rPr>
                <w:rFonts w:ascii="Times New Roman" w:hAnsi="Times New Roman" w:eastAsia="Calibri" w:cs="Times New Roman"/>
                <w:b/>
                <w:sz w:val="20"/>
              </w:rPr>
            </w:pPr>
          </w:p>
        </w:tc>
      </w:tr>
      <w:tr w:rsidRPr="00D43D39" w:rsidR="003433C6" w:rsidTr="00513F58" w14:paraId="290BFD52" w14:textId="77777777">
        <w:trPr>
          <w:trHeight w:val="463"/>
        </w:trPr>
        <w:tc>
          <w:tcPr>
            <w:tcW w:w="1129" w:type="dxa"/>
            <w:shd w:val="clear" w:color="auto" w:fill="FFFFFF"/>
          </w:tcPr>
          <w:p w:rsidRPr="00D43D39" w:rsidR="003433C6" w:rsidP="00513F58" w:rsidRDefault="003433C6" w14:paraId="4EE91534" w14:textId="77777777">
            <w:pPr>
              <w:spacing w:before="120" w:after="120" w:line="276" w:lineRule="auto"/>
              <w:rPr>
                <w:rFonts w:ascii="Times New Roman" w:hAnsi="Times New Roman" w:eastAsia="Calibri" w:cs="Times New Roman"/>
                <w:sz w:val="20"/>
                <w:szCs w:val="20"/>
              </w:rPr>
            </w:pPr>
            <w:r w:rsidRPr="00D43D39">
              <w:rPr>
                <w:rFonts w:ascii="Times New Roman" w:hAnsi="Times New Roman" w:eastAsia="Calibri" w:cs="Times New Roman"/>
                <w:sz w:val="20"/>
                <w:szCs w:val="20"/>
              </w:rPr>
              <w:t>0040</w:t>
            </w:r>
          </w:p>
          <w:p w:rsidRPr="00D43D39" w:rsidR="003433C6" w:rsidP="00513F58" w:rsidRDefault="003433C6" w14:paraId="5EDF3B2A" w14:textId="77777777">
            <w:pPr>
              <w:spacing w:before="120" w:after="120" w:line="276" w:lineRule="auto"/>
              <w:rPr>
                <w:rFonts w:ascii="Times New Roman" w:hAnsi="Times New Roman" w:eastAsia="Calibri" w:cs="Times New Roman"/>
                <w:strike/>
                <w:sz w:val="20"/>
                <w:szCs w:val="20"/>
              </w:rPr>
            </w:pPr>
          </w:p>
        </w:tc>
        <w:tc>
          <w:tcPr>
            <w:tcW w:w="7938" w:type="dxa"/>
            <w:shd w:val="clear" w:color="auto" w:fill="FFFFFF"/>
          </w:tcPr>
          <w:p w:rsidRPr="00D43D39" w:rsidR="003433C6" w:rsidP="00513F58" w:rsidRDefault="003433C6" w14:paraId="34ED9AD7" w14:textId="25C7B40F">
            <w:pPr>
              <w:spacing w:before="120" w:after="120" w:line="276" w:lineRule="auto"/>
              <w:rPr>
                <w:rFonts w:ascii="Times New Roman" w:hAnsi="Times New Roman" w:eastAsia="Calibri" w:cs="Times New Roman"/>
                <w:b/>
                <w:bCs/>
                <w:sz w:val="20"/>
                <w:szCs w:val="20"/>
              </w:rPr>
            </w:pPr>
            <w:r w:rsidRPr="00D43D39">
              <w:rPr>
                <w:rFonts w:ascii="Times New Roman" w:hAnsi="Times New Roman" w:eastAsia="Calibri" w:cs="Times New Roman"/>
                <w:b/>
                <w:bCs/>
                <w:sz w:val="20"/>
                <w:szCs w:val="20"/>
              </w:rPr>
              <w:t>Code</w:t>
            </w:r>
          </w:p>
          <w:p w:rsidRPr="00D43D39" w:rsidR="003433C6" w:rsidP="00513F58" w:rsidRDefault="003433C6" w14:paraId="1A5A091E" w14:textId="3C91B156">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Unique identifier of the legal entity in column 0030 as reported in template Z 01.0</w:t>
            </w:r>
            <w:r w:rsidRPr="00D43D39" w:rsidR="001A78B3">
              <w:rPr>
                <w:rFonts w:ascii="Times New Roman" w:hAnsi="Times New Roman" w:eastAsia="Calibri" w:cs="Times New Roman"/>
                <w:sz w:val="20"/>
              </w:rPr>
              <w:t>1</w:t>
            </w:r>
            <w:r w:rsidRPr="00D43D39">
              <w:rPr>
                <w:rFonts w:ascii="Times New Roman" w:hAnsi="Times New Roman" w:eastAsia="Calibri" w:cs="Times New Roman"/>
                <w:sz w:val="20"/>
              </w:rPr>
              <w:t xml:space="preserve"> (ORG).</w:t>
            </w:r>
          </w:p>
          <w:p w:rsidRPr="00D43D39" w:rsidR="003433C6" w:rsidP="00513F58" w:rsidRDefault="003433C6" w14:paraId="0B1C83AA" w14:textId="05DEC933">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 xml:space="preserve">It must be different from the identifier reported in column 0060, unless the service is intra-entity. In this case, the service recipient code and service provider code </w:t>
            </w:r>
            <w:r w:rsidR="002526C2">
              <w:rPr>
                <w:rFonts w:ascii="Times New Roman" w:hAnsi="Times New Roman" w:eastAsia="Calibri" w:cs="Times New Roman"/>
                <w:sz w:val="20"/>
              </w:rPr>
              <w:t>are expected to</w:t>
            </w:r>
            <w:r w:rsidRPr="00D43D39">
              <w:rPr>
                <w:rFonts w:ascii="Times New Roman" w:hAnsi="Times New Roman" w:eastAsia="Calibri" w:cs="Times New Roman"/>
                <w:sz w:val="20"/>
              </w:rPr>
              <w:t xml:space="preserve"> match.</w:t>
            </w:r>
          </w:p>
          <w:p w:rsidRPr="00D43D39" w:rsidR="003433C6" w:rsidP="00513F58" w:rsidRDefault="003433C6" w14:paraId="5FF3DA56" w14:textId="77777777">
            <w:pPr>
              <w:spacing w:line="276" w:lineRule="auto"/>
              <w:jc w:val="both"/>
              <w:rPr>
                <w:rFonts w:ascii="Times New Roman" w:hAnsi="Times New Roman" w:eastAsia="Calibri" w:cs="Times New Roman"/>
                <w:b/>
                <w:i/>
                <w:sz w:val="20"/>
              </w:rPr>
            </w:pPr>
          </w:p>
        </w:tc>
      </w:tr>
      <w:tr w:rsidRPr="00D43D39" w:rsidR="003433C6" w:rsidTr="00513F58" w14:paraId="2D4B9A99" w14:textId="77777777">
        <w:trPr>
          <w:trHeight w:val="463"/>
        </w:trPr>
        <w:tc>
          <w:tcPr>
            <w:tcW w:w="1129" w:type="dxa"/>
            <w:shd w:val="clear" w:color="auto" w:fill="FFFFFF"/>
          </w:tcPr>
          <w:p w:rsidRPr="00D43D39" w:rsidR="003433C6" w:rsidP="00513F58" w:rsidRDefault="003433C6" w14:paraId="4C01F1BA" w14:textId="77777777">
            <w:pPr>
              <w:spacing w:before="120" w:after="120" w:line="276" w:lineRule="auto"/>
              <w:rPr>
                <w:rFonts w:ascii="Times New Roman" w:hAnsi="Times New Roman" w:eastAsia="Calibri" w:cs="Times New Roman"/>
                <w:sz w:val="20"/>
                <w:szCs w:val="20"/>
              </w:rPr>
            </w:pPr>
            <w:r w:rsidRPr="00D43D39">
              <w:rPr>
                <w:rFonts w:ascii="Times New Roman" w:hAnsi="Times New Roman" w:eastAsia="Calibri" w:cs="Times New Roman"/>
                <w:sz w:val="20"/>
                <w:szCs w:val="20"/>
              </w:rPr>
              <w:t>0050-0110</w:t>
            </w:r>
          </w:p>
          <w:p w:rsidRPr="00D43D39" w:rsidR="003433C6" w:rsidP="00513F58" w:rsidRDefault="003433C6" w14:paraId="01A35C98" w14:textId="77777777">
            <w:pPr>
              <w:spacing w:before="120" w:after="120" w:line="276" w:lineRule="auto"/>
              <w:rPr>
                <w:rFonts w:ascii="Times New Roman" w:hAnsi="Times New Roman" w:eastAsia="Calibri" w:cs="Times New Roman"/>
                <w:sz w:val="20"/>
                <w:szCs w:val="20"/>
              </w:rPr>
            </w:pPr>
          </w:p>
        </w:tc>
        <w:tc>
          <w:tcPr>
            <w:tcW w:w="7938" w:type="dxa"/>
            <w:shd w:val="clear" w:color="auto" w:fill="FFFFFF"/>
          </w:tcPr>
          <w:p w:rsidRPr="00D43D39" w:rsidR="003433C6" w:rsidP="00513F58" w:rsidRDefault="003433C6" w14:paraId="7323D588"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sz w:val="20"/>
                <w:szCs w:val="20"/>
              </w:rPr>
              <w:t>Service provider</w:t>
            </w:r>
            <w:r w:rsidRPr="00D43D39">
              <w:rPr>
                <w:rFonts w:ascii="Times New Roman" w:hAnsi="Times New Roman" w:eastAsia="Calibri" w:cs="Times New Roman"/>
                <w:b/>
                <w:bCs/>
                <w:sz w:val="20"/>
              </w:rPr>
              <w:t xml:space="preserve"> </w:t>
            </w:r>
          </w:p>
          <w:p w:rsidRPr="00D43D39" w:rsidR="003433C6" w:rsidP="00513F58" w:rsidRDefault="003433C6" w14:paraId="40C3C9F4" w14:textId="2A3799C6">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The legal entity (for intra-entity or intra-group services) or the external provider (for external services) which provides the service reported in column 0020 to the group entity reported in column 0030.</w:t>
            </w:r>
          </w:p>
          <w:p w:rsidRPr="00D43D39" w:rsidR="003433C6" w:rsidP="00513F58" w:rsidRDefault="003433C6" w14:paraId="32276B49" w14:textId="77777777">
            <w:pPr>
              <w:spacing w:line="276" w:lineRule="auto"/>
              <w:jc w:val="both"/>
              <w:rPr>
                <w:rFonts w:ascii="Times New Roman" w:hAnsi="Times New Roman" w:eastAsia="Calibri" w:cs="Times New Roman"/>
                <w:sz w:val="20"/>
              </w:rPr>
            </w:pPr>
          </w:p>
        </w:tc>
      </w:tr>
      <w:tr w:rsidRPr="00D43D39" w:rsidR="003433C6" w:rsidTr="00513F58" w14:paraId="27A573E1" w14:textId="77777777">
        <w:trPr>
          <w:trHeight w:val="463"/>
        </w:trPr>
        <w:tc>
          <w:tcPr>
            <w:tcW w:w="1129" w:type="dxa"/>
            <w:shd w:val="clear" w:color="auto" w:fill="FFFFFF"/>
          </w:tcPr>
          <w:p w:rsidRPr="00D43D39" w:rsidR="003433C6" w:rsidP="00513F58" w:rsidRDefault="003433C6" w14:paraId="4876B992" w14:textId="77777777">
            <w:pPr>
              <w:spacing w:before="120" w:after="120" w:line="276" w:lineRule="auto"/>
              <w:rPr>
                <w:rFonts w:ascii="Times New Roman" w:hAnsi="Times New Roman" w:eastAsia="Calibri" w:cs="Times New Roman"/>
                <w:sz w:val="20"/>
                <w:szCs w:val="20"/>
              </w:rPr>
            </w:pPr>
            <w:r w:rsidRPr="00D43D39">
              <w:rPr>
                <w:rFonts w:ascii="Times New Roman" w:hAnsi="Times New Roman" w:eastAsia="Calibri" w:cs="Times New Roman"/>
                <w:sz w:val="20"/>
                <w:szCs w:val="20"/>
              </w:rPr>
              <w:t>0050</w:t>
            </w:r>
          </w:p>
          <w:p w:rsidRPr="00D43D39" w:rsidR="003433C6" w:rsidP="00513F58" w:rsidRDefault="003433C6" w14:paraId="0DB9F5A7" w14:textId="77777777">
            <w:pPr>
              <w:spacing w:before="120" w:after="120" w:line="276" w:lineRule="auto"/>
              <w:rPr>
                <w:rFonts w:ascii="Times New Roman" w:hAnsi="Times New Roman" w:eastAsia="Calibri" w:cs="Times New Roman"/>
                <w:b/>
                <w:strike/>
                <w:sz w:val="20"/>
                <w:szCs w:val="20"/>
              </w:rPr>
            </w:pPr>
          </w:p>
        </w:tc>
        <w:tc>
          <w:tcPr>
            <w:tcW w:w="7938" w:type="dxa"/>
            <w:shd w:val="clear" w:color="auto" w:fill="FFFFFF"/>
          </w:tcPr>
          <w:p w:rsidRPr="00D43D39" w:rsidR="003433C6" w:rsidP="00513F58" w:rsidRDefault="003433C6" w14:paraId="3211B274" w14:textId="77777777">
            <w:pPr>
              <w:spacing w:before="120" w:after="120" w:line="276" w:lineRule="auto"/>
              <w:rPr>
                <w:rFonts w:ascii="Times New Roman" w:hAnsi="Times New Roman" w:eastAsia="Calibri" w:cs="Times New Roman"/>
                <w:b/>
                <w:bCs/>
                <w:sz w:val="20"/>
                <w:szCs w:val="20"/>
              </w:rPr>
            </w:pPr>
            <w:r w:rsidRPr="00D43D39">
              <w:rPr>
                <w:rFonts w:ascii="Times New Roman" w:hAnsi="Times New Roman" w:eastAsia="Calibri" w:cs="Times New Roman"/>
                <w:b/>
                <w:bCs/>
                <w:sz w:val="20"/>
                <w:szCs w:val="20"/>
              </w:rPr>
              <w:t>Entity Name</w:t>
            </w:r>
          </w:p>
          <w:p w:rsidRPr="00D43D39" w:rsidR="003433C6" w:rsidP="00513F58" w:rsidRDefault="003433C6" w14:paraId="6BF7DB1D" w14:textId="5CB3A976">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It must be different from the name listed in column 00</w:t>
            </w:r>
            <w:r w:rsidR="006B4B45">
              <w:rPr>
                <w:rFonts w:ascii="Times New Roman" w:hAnsi="Times New Roman" w:eastAsia="Calibri" w:cs="Times New Roman"/>
                <w:sz w:val="20"/>
              </w:rPr>
              <w:t>3</w:t>
            </w:r>
            <w:r w:rsidRPr="00D43D39">
              <w:rPr>
                <w:rFonts w:ascii="Times New Roman" w:hAnsi="Times New Roman" w:eastAsia="Calibri" w:cs="Times New Roman"/>
                <w:sz w:val="20"/>
              </w:rPr>
              <w:t xml:space="preserve">0, unless the service is intra-entity. In this case the service recipient entity name and service provider entity name </w:t>
            </w:r>
            <w:r w:rsidR="002526C2">
              <w:rPr>
                <w:rFonts w:ascii="Times New Roman" w:hAnsi="Times New Roman" w:eastAsia="Calibri" w:cs="Times New Roman"/>
                <w:sz w:val="20"/>
              </w:rPr>
              <w:t>are expected to</w:t>
            </w:r>
            <w:r w:rsidRPr="00D43D39">
              <w:rPr>
                <w:rFonts w:ascii="Times New Roman" w:hAnsi="Times New Roman" w:eastAsia="Calibri" w:cs="Times New Roman"/>
                <w:sz w:val="20"/>
              </w:rPr>
              <w:t xml:space="preserve"> match.</w:t>
            </w:r>
          </w:p>
          <w:p w:rsidRPr="00D43D39" w:rsidR="003433C6" w:rsidP="00513F58" w:rsidRDefault="003433C6" w14:paraId="1E9DD29C" w14:textId="77777777">
            <w:pPr>
              <w:spacing w:line="276" w:lineRule="auto"/>
              <w:jc w:val="both"/>
              <w:rPr>
                <w:rFonts w:ascii="Times New Roman" w:hAnsi="Times New Roman" w:eastAsia="Calibri" w:cs="Times New Roman"/>
                <w:b/>
                <w:sz w:val="20"/>
              </w:rPr>
            </w:pPr>
          </w:p>
        </w:tc>
      </w:tr>
      <w:tr w:rsidRPr="00D43D39" w:rsidR="003433C6" w:rsidTr="00513F58" w14:paraId="577B7B2A" w14:textId="77777777">
        <w:trPr>
          <w:trHeight w:val="463"/>
        </w:trPr>
        <w:tc>
          <w:tcPr>
            <w:tcW w:w="1129" w:type="dxa"/>
            <w:shd w:val="clear" w:color="auto" w:fill="FFFFFF"/>
          </w:tcPr>
          <w:p w:rsidRPr="00D43D39" w:rsidR="003433C6" w:rsidP="00513F58" w:rsidRDefault="003433C6" w14:paraId="115B43FA"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0060</w:t>
            </w:r>
          </w:p>
          <w:p w:rsidRPr="00D43D39" w:rsidR="003433C6" w:rsidP="00513F58" w:rsidRDefault="003433C6" w14:paraId="754B7B00" w14:textId="77777777">
            <w:pPr>
              <w:spacing w:line="276" w:lineRule="auto"/>
              <w:jc w:val="both"/>
              <w:rPr>
                <w:rFonts w:ascii="Times New Roman" w:hAnsi="Times New Roman" w:eastAsia="Calibri" w:cs="Times New Roman"/>
                <w:strike/>
                <w:sz w:val="20"/>
              </w:rPr>
            </w:pPr>
          </w:p>
        </w:tc>
        <w:tc>
          <w:tcPr>
            <w:tcW w:w="7938" w:type="dxa"/>
            <w:shd w:val="clear" w:color="auto" w:fill="FFFFFF"/>
          </w:tcPr>
          <w:p w:rsidRPr="00D43D39" w:rsidR="003433C6" w:rsidP="00513F58" w:rsidRDefault="003433C6" w14:paraId="6BBA9D24"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sz w:val="20"/>
              </w:rPr>
              <w:t>Code</w:t>
            </w:r>
          </w:p>
          <w:p w:rsidRPr="00D43D39" w:rsidR="003433C6" w:rsidP="00513F58" w:rsidRDefault="003433C6" w14:paraId="712B6EE1" w14:textId="7378F92B">
            <w:pPr>
              <w:spacing w:line="276" w:lineRule="auto"/>
              <w:jc w:val="both"/>
              <w:rPr>
                <w:rFonts w:ascii="Times New Roman" w:hAnsi="Times New Roman" w:eastAsia="Calibri" w:cs="Times New Roman"/>
                <w:strike/>
                <w:sz w:val="20"/>
              </w:rPr>
            </w:pPr>
            <w:r w:rsidRPr="00D43D39">
              <w:rPr>
                <w:rFonts w:ascii="Times New Roman" w:hAnsi="Times New Roman" w:eastAsia="Calibri" w:cs="Times New Roman"/>
                <w:sz w:val="20"/>
              </w:rPr>
              <w:t xml:space="preserve">Unique identifier of the legal entity in column 0050. It must be different from the identifier listed in column 0040, unless the service is intra-entity. In this case, the service recipient code and service provider code </w:t>
            </w:r>
            <w:r w:rsidR="002526C2">
              <w:rPr>
                <w:rFonts w:ascii="Times New Roman" w:hAnsi="Times New Roman" w:eastAsia="Calibri" w:cs="Times New Roman"/>
                <w:sz w:val="20"/>
              </w:rPr>
              <w:t>are expected to</w:t>
            </w:r>
            <w:r w:rsidRPr="00D43D39">
              <w:rPr>
                <w:rFonts w:ascii="Times New Roman" w:hAnsi="Times New Roman" w:eastAsia="Calibri" w:cs="Times New Roman"/>
                <w:sz w:val="20"/>
              </w:rPr>
              <w:t xml:space="preserve"> match.</w:t>
            </w:r>
          </w:p>
          <w:p w:rsidRPr="00D43D39" w:rsidR="003433C6" w:rsidP="00513F58" w:rsidRDefault="003433C6" w14:paraId="2A4990DF" w14:textId="3A55680E">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Where the service provider is a group entity, the code shall be the same as reported in template Z 01.0</w:t>
            </w:r>
            <w:r w:rsidRPr="00D43D39" w:rsidR="001A78B3">
              <w:rPr>
                <w:rFonts w:ascii="Times New Roman" w:hAnsi="Times New Roman" w:eastAsia="Calibri" w:cs="Times New Roman"/>
                <w:sz w:val="20"/>
              </w:rPr>
              <w:t>1</w:t>
            </w:r>
            <w:r w:rsidRPr="00D43D39">
              <w:rPr>
                <w:rFonts w:ascii="Times New Roman" w:hAnsi="Times New Roman" w:eastAsia="Calibri" w:cs="Times New Roman"/>
                <w:sz w:val="20"/>
              </w:rPr>
              <w:t xml:space="preserve"> (ORG).</w:t>
            </w:r>
          </w:p>
          <w:p w:rsidRPr="00D43D39" w:rsidR="003433C6" w:rsidP="00513F58" w:rsidRDefault="003433C6" w14:paraId="63477A79"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Where the service provider is not a group entity, the code of that entity shall be:</w:t>
            </w:r>
          </w:p>
          <w:p w:rsidRPr="00D43D39" w:rsidR="003433C6" w:rsidP="00513F58" w:rsidRDefault="003433C6" w14:paraId="48326E64"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 for entities with a Legal Entity Identifier (LEI), the 20-digit, alphanumeric LEI code;</w:t>
            </w:r>
          </w:p>
          <w:p w:rsidRPr="00D43D39" w:rsidR="003433C6" w:rsidP="00513F58" w:rsidRDefault="003433C6" w14:paraId="51C1C486"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 for without LEI, the corporate registration number under national law</w:t>
            </w:r>
            <w:r w:rsidRPr="00D43D39">
              <w:rPr>
                <w:rFonts w:ascii="Times New Roman" w:hAnsi="Times New Roman" w:eastAsia="Calibri" w:cs="Times New Roman"/>
                <w:strike/>
                <w:sz w:val="20"/>
              </w:rPr>
              <w:t>.</w:t>
            </w:r>
          </w:p>
          <w:p w:rsidRPr="00D43D39" w:rsidR="003433C6" w:rsidP="00513F58" w:rsidRDefault="003433C6" w14:paraId="119D2C7D" w14:textId="77777777">
            <w:pPr>
              <w:spacing w:line="276" w:lineRule="auto"/>
              <w:jc w:val="both"/>
              <w:rPr>
                <w:rFonts w:ascii="Times New Roman" w:hAnsi="Times New Roman" w:eastAsia="Calibri" w:cs="Times New Roman"/>
                <w:sz w:val="20"/>
              </w:rPr>
            </w:pPr>
          </w:p>
          <w:p w:rsidRPr="00D43D39" w:rsidR="003433C6" w:rsidP="00513F58" w:rsidRDefault="003433C6" w14:paraId="55C068C9"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For both cases, the code shall be unique and used consistently across the templates.</w:t>
            </w:r>
          </w:p>
          <w:p w:rsidRPr="00D43D39" w:rsidR="003433C6" w:rsidP="00513F58" w:rsidRDefault="003433C6" w14:paraId="5180DBC2"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i/>
                <w:sz w:val="20"/>
              </w:rPr>
              <w:t xml:space="preserve"> </w:t>
            </w:r>
          </w:p>
        </w:tc>
      </w:tr>
      <w:tr w:rsidRPr="00D43D39" w:rsidR="003433C6" w:rsidTr="00513F58" w14:paraId="1BC65A19" w14:textId="77777777">
        <w:trPr>
          <w:trHeight w:val="463"/>
        </w:trPr>
        <w:tc>
          <w:tcPr>
            <w:tcW w:w="1129" w:type="dxa"/>
            <w:shd w:val="clear" w:color="auto" w:fill="FFFFFF"/>
          </w:tcPr>
          <w:p w:rsidRPr="00D43D39" w:rsidR="003433C6" w:rsidDel="0060499C" w:rsidP="00513F58" w:rsidRDefault="003433C6" w14:paraId="3730E45B"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0070</w:t>
            </w:r>
          </w:p>
        </w:tc>
        <w:tc>
          <w:tcPr>
            <w:tcW w:w="7938" w:type="dxa"/>
            <w:shd w:val="clear" w:color="auto" w:fill="FFFFFF"/>
          </w:tcPr>
          <w:p w:rsidRPr="00D43D39" w:rsidR="003433C6" w:rsidP="00513F58" w:rsidRDefault="003433C6" w14:paraId="69B558B0"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sz w:val="20"/>
              </w:rPr>
              <w:t xml:space="preserve">Type of code </w:t>
            </w:r>
          </w:p>
          <w:p w:rsidR="00161C05" w:rsidP="00161C05" w:rsidRDefault="00161C05" w14:paraId="030EA0C7"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hAnsi="Times New Roman" w:eastAsia="Cambria" w:cs="Times New Roman"/>
                <w:color w:val="000000" w:themeColor="text1"/>
                <w:spacing w:val="-2"/>
                <w:w w:val="95"/>
                <w:sz w:val="20"/>
                <w:szCs w:val="20"/>
                <w:lang w:val="en-GB"/>
              </w:rPr>
              <w:t xml:space="preserve"> preferably the LEI code.</w:t>
            </w:r>
          </w:p>
          <w:p w:rsidR="00161C05" w:rsidP="00161C05" w:rsidRDefault="00161C05" w14:paraId="633AA072" w14:textId="0327A2D8">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BC38B6">
              <w:rPr>
                <w:rFonts w:ascii="Times New Roman" w:hAnsi="Times New Roman" w:eastAsia="Cambria" w:cs="Times New Roman"/>
                <w:color w:val="000000" w:themeColor="text1"/>
                <w:spacing w:val="-2"/>
                <w:w w:val="95"/>
                <w:sz w:val="20"/>
                <w:szCs w:val="20"/>
                <w:lang w:val="en-GB"/>
              </w:rPr>
              <w:t>, or if not available</w:t>
            </w:r>
            <w:r w:rsidR="002526C2">
              <w:rPr>
                <w:rFonts w:ascii="Times New Roman" w:hAnsi="Times New Roman" w:eastAsia="Cambria" w:cs="Times New Roman"/>
                <w:color w:val="000000" w:themeColor="text1"/>
                <w:spacing w:val="-2"/>
                <w:w w:val="95"/>
                <w:sz w:val="20"/>
                <w:szCs w:val="20"/>
                <w:lang w:val="en-GB"/>
              </w:rPr>
              <w:t>, report</w:t>
            </w:r>
            <w:r w:rsidRPr="00BC38B6">
              <w:rPr>
                <w:rFonts w:ascii="Times New Roman" w:hAnsi="Times New Roman" w:eastAsia="Cambria" w:cs="Times New Roman"/>
                <w:color w:val="000000" w:themeColor="text1"/>
                <w:spacing w:val="-2"/>
                <w:w w:val="95"/>
                <w:sz w:val="20"/>
                <w:szCs w:val="20"/>
                <w:lang w:val="en-GB"/>
              </w:rPr>
              <w:t xml:space="preserve"> a national code</w:t>
            </w:r>
            <w:r>
              <w:rPr>
                <w:rFonts w:ascii="Times New Roman" w:hAnsi="Times New Roman" w:eastAsia="Cambria" w:cs="Times New Roman"/>
                <w:color w:val="000000" w:themeColor="text1"/>
                <w:spacing w:val="-2"/>
                <w:w w:val="95"/>
                <w:sz w:val="20"/>
                <w:szCs w:val="20"/>
                <w:lang w:val="en-GB"/>
              </w:rPr>
              <w:t>.</w:t>
            </w:r>
          </w:p>
          <w:p w:rsidRPr="005D71E0" w:rsidR="003433C6" w:rsidP="005F5507" w:rsidRDefault="00161C05" w14:paraId="5A7E1541" w14:textId="2666F118">
            <w:pPr>
              <w:spacing w:line="276" w:lineRule="auto"/>
              <w:contextualSpacing/>
              <w:jc w:val="both"/>
              <w:rPr>
                <w:rFonts w:ascii="Times New Roman" w:hAnsi="Times New Roman"/>
                <w:sz w:val="20"/>
              </w:rPr>
            </w:pPr>
            <w:r>
              <w:rPr>
                <w:rFonts w:ascii="Times New Roman" w:hAnsi="Times New Roman"/>
                <w:bCs/>
                <w:color w:val="000000" w:themeColor="text1"/>
                <w:sz w:val="20"/>
                <w:szCs w:val="20"/>
              </w:rPr>
              <w:t xml:space="preserve">  </w:t>
            </w:r>
            <w:r w:rsidRPr="005F5507">
              <w:rPr>
                <w:rFonts w:ascii="Times New Roman" w:hAnsi="Times New Roman"/>
                <w:bCs/>
                <w:color w:val="000000" w:themeColor="text1"/>
                <w:sz w:val="20"/>
                <w:szCs w:val="20"/>
              </w:rPr>
              <w:t>The identification of entities shall be made in a consistent way across the templates.</w:t>
            </w:r>
          </w:p>
          <w:p w:rsidRPr="00D43D39" w:rsidR="003433C6" w:rsidP="00513F58" w:rsidRDefault="003433C6" w14:paraId="320242B8" w14:textId="77777777">
            <w:pPr>
              <w:spacing w:line="276" w:lineRule="auto"/>
              <w:jc w:val="both"/>
              <w:rPr>
                <w:rFonts w:ascii="Times New Roman" w:hAnsi="Times New Roman" w:eastAsia="Calibri" w:cs="Times New Roman"/>
                <w:sz w:val="20"/>
              </w:rPr>
            </w:pPr>
          </w:p>
        </w:tc>
      </w:tr>
      <w:tr w:rsidRPr="00D43D39" w:rsidR="003433C6" w:rsidTr="00513F58" w14:paraId="7E47A0BB" w14:textId="77777777">
        <w:trPr>
          <w:trHeight w:val="463"/>
        </w:trPr>
        <w:tc>
          <w:tcPr>
            <w:tcW w:w="1129" w:type="dxa"/>
            <w:shd w:val="clear" w:color="auto" w:fill="auto"/>
          </w:tcPr>
          <w:p w:rsidRPr="00D43D39" w:rsidR="003433C6" w:rsidP="00513F58" w:rsidRDefault="003433C6" w14:paraId="237B2EFA"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0080</w:t>
            </w:r>
          </w:p>
        </w:tc>
        <w:tc>
          <w:tcPr>
            <w:tcW w:w="7938" w:type="dxa"/>
            <w:shd w:val="clear" w:color="auto" w:fill="FFFFFF"/>
          </w:tcPr>
          <w:p w:rsidRPr="00D43D39" w:rsidR="003433C6" w:rsidP="00513F58" w:rsidRDefault="003433C6" w14:paraId="47C5E1A5"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sz w:val="20"/>
              </w:rPr>
              <w:t>Parent company name</w:t>
            </w:r>
          </w:p>
          <w:p w:rsidRPr="00D43D39" w:rsidR="003433C6" w:rsidP="00513F58" w:rsidRDefault="003433C6" w14:paraId="0D6E52F5"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Name of the (ultimate) parent company of the service provider reported in column 0050, when this is not a group entity. In the other cases, N/A.</w:t>
            </w:r>
          </w:p>
          <w:p w:rsidRPr="00D43D39" w:rsidR="003433C6" w:rsidP="00513F58" w:rsidRDefault="003433C6" w14:paraId="5C713694" w14:textId="77777777">
            <w:pPr>
              <w:spacing w:line="276" w:lineRule="auto"/>
              <w:jc w:val="both"/>
              <w:rPr>
                <w:rFonts w:ascii="Times New Roman" w:hAnsi="Times New Roman" w:cs="Times New Roman"/>
              </w:rPr>
            </w:pPr>
          </w:p>
        </w:tc>
      </w:tr>
      <w:tr w:rsidRPr="00D43D39" w:rsidR="003433C6" w:rsidTr="00513F58" w14:paraId="2BD6F31A" w14:textId="77777777">
        <w:trPr>
          <w:trHeight w:val="463"/>
        </w:trPr>
        <w:tc>
          <w:tcPr>
            <w:tcW w:w="1129" w:type="dxa"/>
            <w:shd w:val="clear" w:color="auto" w:fill="auto"/>
          </w:tcPr>
          <w:p w:rsidRPr="00D43D39" w:rsidR="003433C6" w:rsidP="00513F58" w:rsidRDefault="003433C6" w14:paraId="1CEE2564"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0090</w:t>
            </w:r>
          </w:p>
        </w:tc>
        <w:tc>
          <w:tcPr>
            <w:tcW w:w="7938" w:type="dxa"/>
            <w:shd w:val="clear" w:color="auto" w:fill="FFFFFF"/>
          </w:tcPr>
          <w:p w:rsidRPr="00D43D39" w:rsidR="003433C6" w:rsidP="00513F58" w:rsidRDefault="003433C6" w14:paraId="771D1FC0"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sz w:val="20"/>
              </w:rPr>
              <w:t>Parent company code</w:t>
            </w:r>
          </w:p>
          <w:p w:rsidRPr="00D43D39" w:rsidR="003433C6" w:rsidP="00513F58" w:rsidRDefault="003433C6" w14:paraId="33581252"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The code of the parent company reported in column 0080 shall be:</w:t>
            </w:r>
          </w:p>
          <w:p w:rsidRPr="00D43D39" w:rsidR="003433C6" w:rsidP="00513F58" w:rsidRDefault="003433C6" w14:paraId="54C39A25"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 for entities with a Legal Entity Identifier (LEI), the 20-digit alphanumeric LEI code;</w:t>
            </w:r>
          </w:p>
          <w:p w:rsidRPr="00D43D39" w:rsidR="003433C6" w:rsidP="00513F58" w:rsidRDefault="003433C6" w14:paraId="6EFD6CC8"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 xml:space="preserve">- for entities without LEI, the corporate registration number under national law. </w:t>
            </w:r>
          </w:p>
          <w:p w:rsidRPr="00D43D39" w:rsidR="003433C6" w:rsidP="00513F58" w:rsidRDefault="003433C6" w14:paraId="0B4331B7" w14:textId="77777777">
            <w:pPr>
              <w:spacing w:line="276" w:lineRule="auto"/>
              <w:jc w:val="both"/>
              <w:rPr>
                <w:rFonts w:ascii="Times New Roman" w:hAnsi="Times New Roman" w:eastAsia="Calibri" w:cs="Times New Roman"/>
                <w:sz w:val="20"/>
              </w:rPr>
            </w:pPr>
          </w:p>
        </w:tc>
      </w:tr>
      <w:tr w:rsidRPr="00D43D39" w:rsidR="003433C6" w:rsidTr="00513F58" w14:paraId="6B644759" w14:textId="77777777">
        <w:trPr>
          <w:trHeight w:val="463"/>
        </w:trPr>
        <w:tc>
          <w:tcPr>
            <w:tcW w:w="1129" w:type="dxa"/>
            <w:shd w:val="clear" w:color="auto" w:fill="auto"/>
          </w:tcPr>
          <w:p w:rsidRPr="00D43D39" w:rsidR="003433C6" w:rsidP="00513F58" w:rsidRDefault="003433C6" w14:paraId="7038FA12"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0100</w:t>
            </w:r>
          </w:p>
        </w:tc>
        <w:tc>
          <w:tcPr>
            <w:tcW w:w="7938" w:type="dxa"/>
            <w:shd w:val="clear" w:color="auto" w:fill="FFFFFF"/>
          </w:tcPr>
          <w:p w:rsidRPr="00D43D39" w:rsidR="003433C6" w:rsidP="00513F58" w:rsidRDefault="003433C6" w14:paraId="54DE6545"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sz w:val="20"/>
              </w:rPr>
              <w:t xml:space="preserve">Type of code </w:t>
            </w:r>
          </w:p>
          <w:p w:rsidR="00161C05" w:rsidP="00161C05" w:rsidRDefault="00161C05" w14:paraId="61835AFC" w14:textId="77777777">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hAnsi="Times New Roman" w:eastAsia="Cambria" w:cs="Times New Roman"/>
                <w:color w:val="000000" w:themeColor="text1"/>
                <w:spacing w:val="-2"/>
                <w:w w:val="95"/>
                <w:sz w:val="20"/>
                <w:szCs w:val="20"/>
                <w:lang w:val="en-GB"/>
              </w:rPr>
              <w:t xml:space="preserve"> preferably the LEI code.</w:t>
            </w:r>
          </w:p>
          <w:p w:rsidR="00161C05" w:rsidP="00161C05" w:rsidRDefault="00161C05" w14:paraId="0746718F" w14:textId="483598EA">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BC38B6">
              <w:rPr>
                <w:rFonts w:ascii="Times New Roman" w:hAnsi="Times New Roman" w:eastAsia="Cambria" w:cs="Times New Roman"/>
                <w:color w:val="000000" w:themeColor="text1"/>
                <w:spacing w:val="-2"/>
                <w:w w:val="95"/>
                <w:sz w:val="20"/>
                <w:szCs w:val="20"/>
                <w:lang w:val="en-GB"/>
              </w:rPr>
              <w:t>, or if not available</w:t>
            </w:r>
            <w:r w:rsidR="002526C2">
              <w:rPr>
                <w:rFonts w:ascii="Times New Roman" w:hAnsi="Times New Roman" w:eastAsia="Cambria" w:cs="Times New Roman"/>
                <w:color w:val="000000" w:themeColor="text1"/>
                <w:spacing w:val="-2"/>
                <w:w w:val="95"/>
                <w:sz w:val="20"/>
                <w:szCs w:val="20"/>
                <w:lang w:val="en-GB"/>
              </w:rPr>
              <w:t>, report</w:t>
            </w:r>
            <w:r w:rsidRPr="00BC38B6">
              <w:rPr>
                <w:rFonts w:ascii="Times New Roman" w:hAnsi="Times New Roman" w:eastAsia="Cambria" w:cs="Times New Roman"/>
                <w:color w:val="000000" w:themeColor="text1"/>
                <w:spacing w:val="-2"/>
                <w:w w:val="95"/>
                <w:sz w:val="20"/>
                <w:szCs w:val="20"/>
                <w:lang w:val="en-GB"/>
              </w:rPr>
              <w:t xml:space="preserve"> a national code</w:t>
            </w:r>
            <w:r>
              <w:rPr>
                <w:rFonts w:ascii="Times New Roman" w:hAnsi="Times New Roman" w:eastAsia="Cambria" w:cs="Times New Roman"/>
                <w:color w:val="000000" w:themeColor="text1"/>
                <w:spacing w:val="-2"/>
                <w:w w:val="95"/>
                <w:sz w:val="20"/>
                <w:szCs w:val="20"/>
                <w:lang w:val="en-GB"/>
              </w:rPr>
              <w:t>.</w:t>
            </w:r>
          </w:p>
          <w:p w:rsidRPr="00D43D39" w:rsidR="003433C6" w:rsidP="00161C05" w:rsidRDefault="00161C05" w14:paraId="5B97D8C8" w14:textId="347F1FAA">
            <w:pPr>
              <w:spacing w:line="276" w:lineRule="auto"/>
              <w:jc w:val="both"/>
              <w:rPr>
                <w:rFonts w:ascii="Times New Roman" w:hAnsi="Times New Roman" w:eastAsia="Calibri" w:cs="Times New Roman"/>
                <w:sz w:val="20"/>
              </w:rPr>
            </w:pPr>
            <w:r w:rsidRPr="00BC38B6">
              <w:rPr>
                <w:rFonts w:ascii="Times New Roman" w:hAnsi="Times New Roman" w:cs="Times New Roman"/>
                <w:bCs/>
                <w:color w:val="000000" w:themeColor="text1"/>
                <w:sz w:val="20"/>
                <w:szCs w:val="20"/>
                <w:lang w:val="en-GB"/>
              </w:rPr>
              <w:t>The identification of entities shall be made in a consistent way across the templates.</w:t>
            </w:r>
          </w:p>
        </w:tc>
      </w:tr>
      <w:tr w:rsidRPr="00D43D39" w:rsidR="003433C6" w:rsidTr="00513F58" w14:paraId="585785CF" w14:textId="77777777">
        <w:trPr>
          <w:trHeight w:val="463"/>
        </w:trPr>
        <w:tc>
          <w:tcPr>
            <w:tcW w:w="1129" w:type="dxa"/>
            <w:shd w:val="clear" w:color="auto" w:fill="FFFFFF"/>
          </w:tcPr>
          <w:p w:rsidRPr="00D43D39" w:rsidR="003433C6" w:rsidP="00513F58" w:rsidRDefault="003433C6" w14:paraId="0112013F"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0110</w:t>
            </w:r>
          </w:p>
        </w:tc>
        <w:tc>
          <w:tcPr>
            <w:tcW w:w="7938" w:type="dxa"/>
            <w:shd w:val="clear" w:color="auto" w:fill="FFFFFF"/>
          </w:tcPr>
          <w:p w:rsidRPr="00D43D39" w:rsidR="003433C6" w:rsidP="00513F58" w:rsidRDefault="003433C6" w14:paraId="2AC66E2F"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b/>
                <w:bCs/>
                <w:sz w:val="20"/>
              </w:rPr>
              <w:t>Service delivery</w:t>
            </w:r>
            <w:r w:rsidRPr="00D43D39">
              <w:rPr>
                <w:rFonts w:ascii="Times New Roman" w:hAnsi="Times New Roman" w:eastAsia="Calibri" w:cs="Times New Roman"/>
                <w:sz w:val="20"/>
              </w:rPr>
              <w:t xml:space="preserve"> </w:t>
            </w:r>
          </w:p>
          <w:p w:rsidRPr="00D43D39" w:rsidR="003433C6" w:rsidP="00513F58" w:rsidRDefault="003433C6" w14:paraId="197DBF91"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‘Intra-entity’ if the service is provided by one business unit to another business unit of the same legal entity.</w:t>
            </w:r>
          </w:p>
          <w:p w:rsidRPr="00D43D39" w:rsidR="003433C6" w:rsidP="00513F58" w:rsidRDefault="003433C6" w14:paraId="082AEF64"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‘Intra-group - regulated’</w:t>
            </w:r>
            <w:r w:rsidRPr="00D43D39">
              <w:rPr>
                <w:rFonts w:ascii="Times New Roman" w:hAnsi="Times New Roman" w:cs="Times New Roman"/>
              </w:rPr>
              <w:t xml:space="preserve"> if </w:t>
            </w:r>
            <w:r w:rsidRPr="00D43D39">
              <w:rPr>
                <w:rFonts w:ascii="Times New Roman" w:hAnsi="Times New Roman" w:eastAsia="Calibri" w:cs="Times New Roman"/>
                <w:sz w:val="20"/>
              </w:rPr>
              <w:t>the service is</w:t>
            </w:r>
            <w:r w:rsidRPr="00D43D39">
              <w:rPr>
                <w:rFonts w:ascii="Times New Roman" w:hAnsi="Times New Roman" w:cs="Times New Roman"/>
              </w:rPr>
              <w:t xml:space="preserve"> </w:t>
            </w:r>
            <w:r w:rsidRPr="00D43D39">
              <w:rPr>
                <w:rFonts w:ascii="Times New Roman" w:hAnsi="Times New Roman" w:eastAsia="Calibri" w:cs="Times New Roman"/>
                <w:sz w:val="20"/>
              </w:rPr>
              <w:t>provided by an entity of the group which is subject to prudential regulation regarding capital/liquidity on an individual basis, including where prudential requirements are waived.</w:t>
            </w:r>
          </w:p>
          <w:p w:rsidRPr="00D43D39" w:rsidR="003433C6" w:rsidP="00513F58" w:rsidRDefault="003433C6" w14:paraId="722E72A7"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‘Intra-group - unregulated’ if the service is provided by an entity of the group which is an operating entity not subject to prudential regulation regarding capital/liquidity on an individual basis, including where prudential requirements are waived.</w:t>
            </w:r>
          </w:p>
          <w:p w:rsidRPr="00D43D39" w:rsidR="003433C6" w:rsidP="00513F58" w:rsidRDefault="003433C6" w14:paraId="7AF17660"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‘External’ if the service is provided by an external provider which is outside of the group.</w:t>
            </w:r>
          </w:p>
          <w:p w:rsidRPr="00D43D39" w:rsidR="003433C6" w:rsidP="00513F58" w:rsidRDefault="003433C6" w14:paraId="1C57334B" w14:textId="77777777">
            <w:pPr>
              <w:spacing w:line="276" w:lineRule="auto"/>
              <w:jc w:val="both"/>
              <w:rPr>
                <w:rFonts w:ascii="Times New Roman" w:hAnsi="Times New Roman" w:eastAsia="Calibri" w:cs="Times New Roman"/>
                <w:i/>
                <w:sz w:val="20"/>
              </w:rPr>
            </w:pPr>
          </w:p>
        </w:tc>
      </w:tr>
      <w:tr w:rsidRPr="00D43D39" w:rsidR="003433C6" w:rsidTr="00513F58" w14:paraId="3417D3DE" w14:textId="77777777">
        <w:trPr>
          <w:trHeight w:val="463"/>
        </w:trPr>
        <w:tc>
          <w:tcPr>
            <w:tcW w:w="1129" w:type="dxa"/>
            <w:shd w:val="clear" w:color="auto" w:fill="FFFFFF"/>
          </w:tcPr>
          <w:p w:rsidRPr="00D43D39" w:rsidR="003433C6" w:rsidP="00513F58" w:rsidRDefault="003433C6" w14:paraId="30B52D91" w14:textId="77777777">
            <w:pPr>
              <w:spacing w:line="276" w:lineRule="auto"/>
              <w:jc w:val="both"/>
              <w:rPr>
                <w:rFonts w:ascii="Times New Roman" w:hAnsi="Times New Roman" w:eastAsia="Calibri" w:cs="Times New Roman"/>
                <w:sz w:val="20"/>
                <w:szCs w:val="20"/>
              </w:rPr>
            </w:pPr>
            <w:r w:rsidRPr="00D43D39">
              <w:rPr>
                <w:rFonts w:ascii="Times New Roman" w:hAnsi="Times New Roman" w:eastAsia="Calibri" w:cs="Times New Roman"/>
                <w:sz w:val="20"/>
                <w:szCs w:val="20"/>
              </w:rPr>
              <w:t>0120</w:t>
            </w:r>
          </w:p>
          <w:p w:rsidRPr="00D43D39" w:rsidR="003433C6" w:rsidP="00513F58" w:rsidRDefault="003433C6" w14:paraId="31A1E593" w14:textId="77777777">
            <w:pPr>
              <w:spacing w:line="276" w:lineRule="auto"/>
              <w:jc w:val="both"/>
              <w:rPr>
                <w:rFonts w:ascii="Times New Roman" w:hAnsi="Times New Roman" w:eastAsia="Calibri" w:cs="Times New Roman"/>
                <w:strike/>
                <w:sz w:val="20"/>
              </w:rPr>
            </w:pPr>
          </w:p>
        </w:tc>
        <w:tc>
          <w:tcPr>
            <w:tcW w:w="7938" w:type="dxa"/>
            <w:shd w:val="clear" w:color="auto" w:fill="FFFFFF"/>
          </w:tcPr>
          <w:p w:rsidRPr="00D43D39" w:rsidR="003433C6" w:rsidP="00513F58" w:rsidRDefault="003433C6" w14:paraId="2AF10056" w14:textId="77777777">
            <w:pPr>
              <w:spacing w:line="276" w:lineRule="auto"/>
              <w:jc w:val="both"/>
              <w:rPr>
                <w:rFonts w:ascii="Times New Roman" w:hAnsi="Times New Roman" w:eastAsia="Calibri" w:cs="Times New Roman"/>
                <w:b/>
                <w:bCs/>
                <w:strike/>
                <w:sz w:val="20"/>
                <w:szCs w:val="20"/>
              </w:rPr>
            </w:pPr>
            <w:r w:rsidRPr="00D43D39">
              <w:rPr>
                <w:rFonts w:ascii="Times New Roman" w:hAnsi="Times New Roman" w:eastAsia="Calibri" w:cs="Times New Roman"/>
                <w:b/>
                <w:bCs/>
                <w:sz w:val="20"/>
                <w:szCs w:val="20"/>
              </w:rPr>
              <w:t>Criticality</w:t>
            </w:r>
            <w:r w:rsidRPr="00D43D39">
              <w:rPr>
                <w:rFonts w:ascii="Times New Roman" w:hAnsi="Times New Roman" w:eastAsia="Calibri" w:cs="Times New Roman"/>
                <w:b/>
                <w:bCs/>
                <w:strike/>
                <w:sz w:val="20"/>
                <w:szCs w:val="20"/>
              </w:rPr>
              <w:t xml:space="preserve"> </w:t>
            </w:r>
          </w:p>
          <w:p w:rsidRPr="00D43D39" w:rsidR="003433C6" w:rsidP="00513F58" w:rsidRDefault="003433C6" w14:paraId="7AA6A51A" w14:textId="77777777">
            <w:pPr>
              <w:pStyle w:val="ListParagraph"/>
              <w:numPr>
                <w:ilvl w:val="0"/>
                <w:numId w:val="239"/>
              </w:numPr>
              <w:spacing w:line="276" w:lineRule="auto"/>
              <w:contextualSpacing/>
              <w:jc w:val="both"/>
              <w:rPr>
                <w:rFonts w:ascii="Times New Roman" w:hAnsi="Times New Roman"/>
                <w:sz w:val="20"/>
              </w:rPr>
            </w:pPr>
            <w:r w:rsidRPr="00D43D39">
              <w:rPr>
                <w:rFonts w:ascii="Times New Roman" w:hAnsi="Times New Roman"/>
                <w:sz w:val="20"/>
              </w:rPr>
              <w:t>Critical: if the service is necessary for the performance of one or more critical functions, whose discontinuity would seriously impede or prevent the performance of those critical functions.</w:t>
            </w:r>
          </w:p>
          <w:p w:rsidRPr="00D43D39" w:rsidR="003433C6" w:rsidP="00513F58" w:rsidRDefault="003433C6" w14:paraId="6618C9AF" w14:textId="77777777">
            <w:pPr>
              <w:pStyle w:val="ListParagraph"/>
              <w:numPr>
                <w:ilvl w:val="0"/>
                <w:numId w:val="239"/>
              </w:numPr>
              <w:spacing w:line="276" w:lineRule="auto"/>
              <w:contextualSpacing/>
              <w:jc w:val="both"/>
              <w:rPr>
                <w:rFonts w:ascii="Times New Roman" w:hAnsi="Times New Roman"/>
                <w:sz w:val="20"/>
              </w:rPr>
            </w:pPr>
            <w:r w:rsidRPr="00D43D39">
              <w:rPr>
                <w:rFonts w:ascii="Times New Roman" w:hAnsi="Times New Roman"/>
                <w:sz w:val="20"/>
              </w:rPr>
              <w:t>Essential: if the</w:t>
            </w:r>
            <w:r w:rsidRPr="00D43D39">
              <w:rPr>
                <w:rFonts w:ascii="Times New Roman" w:hAnsi="Times New Roman"/>
              </w:rPr>
              <w:t xml:space="preserve"> s</w:t>
            </w:r>
            <w:r w:rsidRPr="00D43D39">
              <w:rPr>
                <w:rFonts w:ascii="Times New Roman" w:hAnsi="Times New Roman"/>
                <w:sz w:val="20"/>
              </w:rPr>
              <w:t>ervice is associated with core business lines, whose continuity is necessary for the effective execution of the resolution strategy and any consequent restructuring.</w:t>
            </w:r>
          </w:p>
          <w:p w:rsidRPr="00D43D39" w:rsidR="003433C6" w:rsidP="00513F58" w:rsidRDefault="003433C6" w14:paraId="5FFE2680" w14:textId="77777777">
            <w:pPr>
              <w:pStyle w:val="ListParagraph"/>
              <w:numPr>
                <w:ilvl w:val="0"/>
                <w:numId w:val="239"/>
              </w:numPr>
              <w:spacing w:line="276" w:lineRule="auto"/>
              <w:contextualSpacing/>
              <w:jc w:val="both"/>
              <w:rPr>
                <w:rFonts w:ascii="Times New Roman" w:hAnsi="Times New Roman"/>
                <w:sz w:val="20"/>
              </w:rPr>
            </w:pPr>
            <w:r w:rsidRPr="00D43D39">
              <w:rPr>
                <w:rFonts w:ascii="Times New Roman" w:hAnsi="Times New Roman"/>
                <w:sz w:val="20"/>
              </w:rPr>
              <w:t>Both</w:t>
            </w:r>
          </w:p>
        </w:tc>
      </w:tr>
      <w:tr w:rsidRPr="00D43D39" w:rsidR="003433C6" w:rsidTr="00513F58" w14:paraId="09C8A7A4" w14:textId="77777777">
        <w:trPr>
          <w:trHeight w:val="463"/>
        </w:trPr>
        <w:tc>
          <w:tcPr>
            <w:tcW w:w="1129" w:type="dxa"/>
            <w:shd w:val="clear" w:color="auto" w:fill="FFFFFF"/>
          </w:tcPr>
          <w:p w:rsidRPr="00D43D39" w:rsidR="003433C6" w:rsidP="00513F58" w:rsidRDefault="003433C6" w14:paraId="1127BD8C"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0130</w:t>
            </w:r>
          </w:p>
        </w:tc>
        <w:tc>
          <w:tcPr>
            <w:tcW w:w="7938" w:type="dxa"/>
            <w:shd w:val="clear" w:color="auto" w:fill="FFFFFF"/>
          </w:tcPr>
          <w:p w:rsidRPr="00D43D39" w:rsidR="003433C6" w:rsidP="00513F58" w:rsidRDefault="003433C6" w14:paraId="3C9F6BCB"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sz w:val="20"/>
                <w:szCs w:val="20"/>
              </w:rPr>
              <w:t>Contract ID</w:t>
            </w:r>
          </w:p>
          <w:p w:rsidRPr="00D43D39" w:rsidR="003433C6" w:rsidP="00513F58" w:rsidRDefault="003433C6" w14:paraId="4AF70C9C"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Contract unique identifier of the contract underpinning the service as per group’s service taxonomy.</w:t>
            </w:r>
          </w:p>
          <w:p w:rsidRPr="00D43D39" w:rsidR="003433C6" w:rsidP="00513F58" w:rsidRDefault="003433C6" w14:paraId="02AB898D" w14:textId="77777777">
            <w:pPr>
              <w:spacing w:line="276" w:lineRule="auto"/>
              <w:jc w:val="both"/>
              <w:rPr>
                <w:rFonts w:ascii="Times New Roman" w:hAnsi="Times New Roman" w:eastAsia="Calibri" w:cs="Times New Roman"/>
                <w:sz w:val="20"/>
              </w:rPr>
            </w:pPr>
          </w:p>
        </w:tc>
      </w:tr>
      <w:tr w:rsidRPr="00D43D39" w:rsidR="003433C6" w:rsidTr="00513F58" w14:paraId="2FC84525" w14:textId="77777777">
        <w:trPr>
          <w:trHeight w:val="628"/>
        </w:trPr>
        <w:tc>
          <w:tcPr>
            <w:tcW w:w="1129" w:type="dxa"/>
          </w:tcPr>
          <w:p w:rsidRPr="00D43D39" w:rsidR="003433C6" w:rsidP="00513F58" w:rsidRDefault="003433C6" w14:paraId="71D3E1A5"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0140</w:t>
            </w:r>
          </w:p>
          <w:p w:rsidRPr="00D43D39" w:rsidR="003433C6" w:rsidP="00513F58" w:rsidRDefault="003433C6" w14:paraId="68846812" w14:textId="77777777">
            <w:pPr>
              <w:spacing w:line="276" w:lineRule="auto"/>
              <w:jc w:val="both"/>
              <w:rPr>
                <w:rFonts w:ascii="Times New Roman" w:hAnsi="Times New Roman" w:eastAsia="Calibri" w:cs="Times New Roman"/>
                <w:strike/>
                <w:sz w:val="20"/>
              </w:rPr>
            </w:pPr>
          </w:p>
        </w:tc>
        <w:tc>
          <w:tcPr>
            <w:tcW w:w="7938" w:type="dxa"/>
            <w:shd w:val="clear" w:color="auto" w:fill="auto"/>
          </w:tcPr>
          <w:p w:rsidRPr="00D43D39" w:rsidR="003433C6" w:rsidP="00513F58" w:rsidRDefault="003433C6" w14:paraId="3A99763F"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b/>
                <w:bCs/>
                <w:sz w:val="20"/>
                <w:szCs w:val="20"/>
              </w:rPr>
              <w:t>Governing law</w:t>
            </w:r>
            <w:r w:rsidRPr="00D43D39">
              <w:rPr>
                <w:rFonts w:ascii="Times New Roman" w:hAnsi="Times New Roman" w:eastAsia="Calibri" w:cs="Times New Roman"/>
                <w:b/>
                <w:bCs/>
                <w:sz w:val="20"/>
              </w:rPr>
              <w:t xml:space="preserve"> </w:t>
            </w:r>
          </w:p>
          <w:p w:rsidRPr="00D43D39" w:rsidR="003433C6" w:rsidP="00513F58" w:rsidRDefault="003433C6" w14:paraId="2C5A2475"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ISO code of the country code the law of which governs the contract.</w:t>
            </w:r>
          </w:p>
          <w:p w:rsidRPr="00D43D39" w:rsidR="003433C6" w:rsidP="00513F58" w:rsidRDefault="003433C6" w14:paraId="1935609E" w14:textId="77777777">
            <w:pPr>
              <w:spacing w:line="276" w:lineRule="auto"/>
              <w:jc w:val="both"/>
              <w:rPr>
                <w:rFonts w:ascii="Times New Roman" w:hAnsi="Times New Roman" w:eastAsia="Calibri" w:cs="Times New Roman"/>
                <w:sz w:val="20"/>
              </w:rPr>
            </w:pPr>
          </w:p>
        </w:tc>
      </w:tr>
      <w:tr w:rsidRPr="00D43D39" w:rsidR="003433C6" w:rsidTr="00513F58" w14:paraId="271626ED" w14:textId="77777777">
        <w:trPr>
          <w:trHeight w:val="628"/>
        </w:trPr>
        <w:tc>
          <w:tcPr>
            <w:tcW w:w="1129" w:type="dxa"/>
          </w:tcPr>
          <w:p w:rsidRPr="00D43D39" w:rsidR="003433C6" w:rsidP="00513F58" w:rsidRDefault="003433C6" w14:paraId="31117BAD"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0150-0170</w:t>
            </w:r>
          </w:p>
          <w:p w:rsidRPr="00D43D39" w:rsidR="003433C6" w:rsidP="00513F58" w:rsidRDefault="003433C6" w14:paraId="06C27085" w14:textId="77777777">
            <w:pPr>
              <w:spacing w:line="276" w:lineRule="auto"/>
              <w:jc w:val="both"/>
              <w:rPr>
                <w:rFonts w:ascii="Times New Roman" w:hAnsi="Times New Roman" w:eastAsia="Calibri" w:cs="Times New Roman"/>
                <w:strike/>
                <w:sz w:val="20"/>
              </w:rPr>
            </w:pPr>
          </w:p>
        </w:tc>
        <w:tc>
          <w:tcPr>
            <w:tcW w:w="7938" w:type="dxa"/>
            <w:shd w:val="clear" w:color="auto" w:fill="auto"/>
          </w:tcPr>
          <w:p w:rsidRPr="00D43D39" w:rsidR="003433C6" w:rsidP="00513F58" w:rsidRDefault="003433C6" w14:paraId="6C635B88" w14:textId="77777777">
            <w:pPr>
              <w:spacing w:before="120" w:after="120" w:line="276" w:lineRule="auto"/>
              <w:rPr>
                <w:rFonts w:ascii="Times New Roman" w:hAnsi="Times New Roman" w:eastAsia="Calibri" w:cs="Times New Roman"/>
                <w:b/>
                <w:bCs/>
                <w:iCs/>
                <w:sz w:val="20"/>
              </w:rPr>
            </w:pPr>
            <w:r w:rsidRPr="00D43D39">
              <w:rPr>
                <w:rFonts w:ascii="Times New Roman" w:hAnsi="Times New Roman" w:eastAsia="Calibri" w:cs="Times New Roman"/>
                <w:b/>
                <w:bCs/>
                <w:sz w:val="20"/>
                <w:szCs w:val="20"/>
              </w:rPr>
              <w:t xml:space="preserve">Resolution resilience </w:t>
            </w:r>
          </w:p>
          <w:p w:rsidRPr="00D43D39" w:rsidR="003433C6" w:rsidP="00513F58" w:rsidRDefault="003433C6" w14:paraId="3ABB599B" w14:textId="77777777">
            <w:pPr>
              <w:pStyle w:val="NormalWeb"/>
              <w:spacing w:before="0" w:beforeAutospacing="0" w:after="0" w:afterAutospacing="0"/>
              <w:rPr>
                <w:rFonts w:eastAsia="Calibri"/>
                <w:iCs/>
                <w:sz w:val="20"/>
                <w:szCs w:val="20"/>
                <w:lang w:eastAsia="en-US"/>
              </w:rPr>
            </w:pPr>
            <w:r w:rsidRPr="00D43D39">
              <w:rPr>
                <w:rFonts w:eastAsia="Calibri"/>
                <w:iCs/>
                <w:sz w:val="20"/>
                <w:szCs w:val="20"/>
                <w:lang w:eastAsia="en-US"/>
              </w:rPr>
              <w:t xml:space="preserve">The assessment whether the contract supporting the service reported in column 0020 could be continued and transferred during the implementation of the resolution strategy, including the business reorganisation plan, </w:t>
            </w:r>
            <w:r w:rsidRPr="00D43D39">
              <w:rPr>
                <w:rFonts w:eastAsia="Calibri"/>
                <w:iCs/>
                <w:sz w:val="20"/>
              </w:rPr>
              <w:t>in line with EBA/GL/2022/01 and relevant national laws.</w:t>
            </w:r>
          </w:p>
          <w:p w:rsidRPr="00D43D39" w:rsidR="003433C6" w:rsidP="00513F58" w:rsidRDefault="003433C6" w14:paraId="40696A0C" w14:textId="77777777">
            <w:pPr>
              <w:spacing w:line="276" w:lineRule="auto"/>
              <w:jc w:val="both"/>
              <w:rPr>
                <w:rFonts w:ascii="Times New Roman" w:hAnsi="Times New Roman" w:eastAsia="Calibri" w:cs="Times New Roman"/>
                <w:iCs/>
                <w:sz w:val="20"/>
                <w:szCs w:val="20"/>
              </w:rPr>
            </w:pPr>
          </w:p>
        </w:tc>
      </w:tr>
      <w:tr w:rsidRPr="00D43D39" w:rsidR="003433C6" w:rsidTr="00513F58" w14:paraId="782E310E" w14:textId="77777777">
        <w:trPr>
          <w:trHeight w:val="2120"/>
        </w:trPr>
        <w:tc>
          <w:tcPr>
            <w:tcW w:w="1129" w:type="dxa"/>
          </w:tcPr>
          <w:p w:rsidRPr="00D43D39" w:rsidR="003433C6" w:rsidP="00513F58" w:rsidRDefault="003433C6" w14:paraId="17E02067"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iCs/>
                <w:sz w:val="20"/>
              </w:rPr>
              <w:t>0150</w:t>
            </w:r>
          </w:p>
        </w:tc>
        <w:tc>
          <w:tcPr>
            <w:tcW w:w="7938" w:type="dxa"/>
            <w:shd w:val="clear" w:color="auto" w:fill="auto"/>
          </w:tcPr>
          <w:p w:rsidRPr="00D43D39" w:rsidR="003433C6" w:rsidP="00513F58" w:rsidRDefault="003433C6" w14:paraId="0C47BBC7"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iCs/>
                <w:sz w:val="20"/>
                <w:szCs w:val="20"/>
              </w:rPr>
              <w:t>Resolution Resilience features</w:t>
            </w:r>
            <w:r w:rsidRPr="00D43D39">
              <w:rPr>
                <w:rFonts w:ascii="Times New Roman" w:hAnsi="Times New Roman" w:eastAsia="Calibri" w:cs="Times New Roman"/>
                <w:b/>
                <w:bCs/>
                <w:sz w:val="20"/>
              </w:rPr>
              <w:t xml:space="preserve"> </w:t>
            </w:r>
          </w:p>
          <w:p w:rsidRPr="00D43D39" w:rsidR="003433C6" w:rsidP="00513F58" w:rsidRDefault="003433C6" w14:paraId="36FB8926" w14:textId="77777777">
            <w:pPr>
              <w:spacing w:line="276" w:lineRule="auto"/>
              <w:jc w:val="both"/>
              <w:rPr>
                <w:rFonts w:ascii="Times New Roman" w:hAnsi="Times New Roman" w:eastAsia="Calibri" w:cs="Times New Roman"/>
                <w:iCs/>
                <w:sz w:val="20"/>
                <w:szCs w:val="20"/>
              </w:rPr>
            </w:pPr>
            <w:r w:rsidRPr="00D43D39">
              <w:rPr>
                <w:rFonts w:ascii="Times New Roman" w:hAnsi="Times New Roman" w:eastAsia="Calibri" w:cs="Times New Roman"/>
                <w:iCs/>
                <w:sz w:val="20"/>
                <w:szCs w:val="20"/>
              </w:rPr>
              <w:t>Resolution-resilient features are properties a relevant service contract is expected to have in order to be considered resolution-resilient. They include the following, provided that the substantive obligations under the contract continue to be performed:</w:t>
            </w:r>
          </w:p>
          <w:p w:rsidRPr="00D43D39" w:rsidR="003433C6" w:rsidP="00513F58" w:rsidRDefault="003433C6" w14:paraId="6AC9580F" w14:textId="77777777">
            <w:pPr>
              <w:pStyle w:val="ListParagraph"/>
              <w:numPr>
                <w:ilvl w:val="0"/>
                <w:numId w:val="240"/>
              </w:numPr>
              <w:spacing w:line="276" w:lineRule="auto"/>
              <w:ind w:left="500"/>
              <w:contextualSpacing/>
              <w:jc w:val="both"/>
              <w:rPr>
                <w:rFonts w:ascii="Times New Roman" w:hAnsi="Times New Roman"/>
                <w:iCs/>
                <w:sz w:val="20"/>
                <w:szCs w:val="20"/>
              </w:rPr>
            </w:pPr>
            <w:r w:rsidRPr="00D43D39">
              <w:rPr>
                <w:rFonts w:ascii="Times New Roman" w:hAnsi="Times New Roman"/>
                <w:iCs/>
                <w:sz w:val="20"/>
                <w:szCs w:val="20"/>
              </w:rPr>
              <w:t xml:space="preserve">no termination, suspension or modification on the grounds of resolution (incl. business reorganisation under Article 51 of Directive 2014/59/EU); </w:t>
            </w:r>
          </w:p>
          <w:p w:rsidRPr="00D43D39" w:rsidR="003433C6" w:rsidP="00513F58" w:rsidRDefault="003433C6" w14:paraId="49442ECF" w14:textId="77777777">
            <w:pPr>
              <w:pStyle w:val="ListParagraph"/>
              <w:numPr>
                <w:ilvl w:val="0"/>
                <w:numId w:val="240"/>
              </w:numPr>
              <w:spacing w:line="276" w:lineRule="auto"/>
              <w:ind w:left="500"/>
              <w:contextualSpacing/>
              <w:jc w:val="both"/>
              <w:rPr>
                <w:rFonts w:ascii="Times New Roman" w:hAnsi="Times New Roman"/>
                <w:iCs/>
                <w:sz w:val="20"/>
                <w:szCs w:val="20"/>
              </w:rPr>
            </w:pPr>
            <w:r w:rsidRPr="00D43D39">
              <w:rPr>
                <w:rFonts w:ascii="Times New Roman" w:hAnsi="Times New Roman"/>
                <w:iCs/>
                <w:sz w:val="20"/>
                <w:szCs w:val="20"/>
              </w:rPr>
              <w:t xml:space="preserve">the transferability of the service provision to a new recipient either by the service recipient or the resolution authority because of resolution (incl. reorganisation under Article 51 of Directive 2014/59/EU); </w:t>
            </w:r>
          </w:p>
          <w:p w:rsidRPr="00D43D39" w:rsidR="003433C6" w:rsidP="00513F58" w:rsidRDefault="003433C6" w14:paraId="57C4A2AD" w14:textId="77777777">
            <w:pPr>
              <w:pStyle w:val="ListParagraph"/>
              <w:numPr>
                <w:ilvl w:val="0"/>
                <w:numId w:val="240"/>
              </w:numPr>
              <w:spacing w:line="276" w:lineRule="auto"/>
              <w:ind w:left="500"/>
              <w:contextualSpacing/>
              <w:jc w:val="both"/>
              <w:rPr>
                <w:rFonts w:ascii="Times New Roman" w:hAnsi="Times New Roman"/>
                <w:iCs/>
                <w:sz w:val="20"/>
                <w:szCs w:val="20"/>
              </w:rPr>
            </w:pPr>
            <w:r w:rsidRPr="00D43D39">
              <w:rPr>
                <w:rFonts w:ascii="Times New Roman" w:hAnsi="Times New Roman"/>
                <w:iCs/>
                <w:sz w:val="20"/>
                <w:szCs w:val="20"/>
              </w:rPr>
              <w:t>the support in transfer or termination occurring during resolution (incl. reorganisation under Article 51 of Directive 2014/59/EU) for a reasonable period (such as 24 months) by the current service provider and under the same terms and conditions; and</w:t>
            </w:r>
          </w:p>
          <w:p w:rsidRPr="00D43D39" w:rsidR="003433C6" w:rsidP="00513F58" w:rsidRDefault="003433C6" w14:paraId="2DA19AC5" w14:textId="77777777">
            <w:pPr>
              <w:pStyle w:val="ListParagraph"/>
              <w:numPr>
                <w:ilvl w:val="0"/>
                <w:numId w:val="240"/>
              </w:numPr>
              <w:spacing w:line="276" w:lineRule="auto"/>
              <w:ind w:left="500"/>
              <w:contextualSpacing/>
              <w:jc w:val="both"/>
              <w:rPr>
                <w:rFonts w:ascii="Times New Roman" w:hAnsi="Times New Roman"/>
                <w:iCs/>
                <w:sz w:val="20"/>
                <w:szCs w:val="20"/>
              </w:rPr>
            </w:pPr>
            <w:r w:rsidRPr="00D43D39">
              <w:rPr>
                <w:rFonts w:ascii="Times New Roman" w:hAnsi="Times New Roman"/>
                <w:iCs/>
                <w:sz w:val="20"/>
                <w:szCs w:val="20"/>
              </w:rPr>
              <w:t>the continued service provision to a divested group entity during resolution (incl. reorganisation under Article 51 of Directive 2014/59/EU), for a reasonable period of time following divestment – such as 24 months.</w:t>
            </w:r>
          </w:p>
          <w:p w:rsidRPr="00D43D39" w:rsidR="003433C6" w:rsidP="00513F58" w:rsidRDefault="003433C6" w14:paraId="2BBB3BD4" w14:textId="77777777">
            <w:pPr>
              <w:spacing w:line="276" w:lineRule="auto"/>
              <w:jc w:val="both"/>
              <w:rPr>
                <w:rFonts w:ascii="Times New Roman" w:hAnsi="Times New Roman" w:eastAsia="Calibri" w:cs="Times New Roman"/>
                <w:iCs/>
                <w:sz w:val="20"/>
                <w:szCs w:val="20"/>
              </w:rPr>
            </w:pPr>
            <w:r w:rsidRPr="00D43D39">
              <w:rPr>
                <w:rFonts w:ascii="Times New Roman" w:hAnsi="Times New Roman" w:eastAsia="Calibri" w:cs="Times New Roman"/>
                <w:iCs/>
                <w:sz w:val="20"/>
                <w:szCs w:val="20"/>
              </w:rPr>
              <w:t>This applies to contracts for which the governing law and jurisdiction of the contract is that of an EU Member State</w:t>
            </w:r>
            <w:r w:rsidRPr="00D43D39">
              <w:rPr>
                <w:rStyle w:val="FootnoteReference"/>
                <w:rFonts w:ascii="Times New Roman" w:hAnsi="Times New Roman" w:eastAsia="Calibri" w:cs="Times New Roman"/>
                <w:sz w:val="20"/>
                <w:szCs w:val="20"/>
              </w:rPr>
              <w:footnoteReference w:id="25"/>
            </w:r>
            <w:r w:rsidRPr="00D43D39">
              <w:rPr>
                <w:rFonts w:ascii="Times New Roman" w:hAnsi="Times New Roman" w:eastAsia="Calibri" w:cs="Times New Roman"/>
                <w:iCs/>
                <w:sz w:val="20"/>
                <w:szCs w:val="20"/>
              </w:rPr>
              <w:t xml:space="preserve"> (‘EU contracts’), and contracts to which third-country law apply.</w:t>
            </w:r>
          </w:p>
          <w:p w:rsidRPr="00D43D39" w:rsidR="003433C6" w:rsidP="00513F58" w:rsidRDefault="003433C6" w14:paraId="48F2F9B3" w14:textId="77777777">
            <w:pPr>
              <w:spacing w:line="276" w:lineRule="auto"/>
              <w:jc w:val="both"/>
              <w:rPr>
                <w:rFonts w:ascii="Times New Roman" w:hAnsi="Times New Roman" w:eastAsia="Calibri" w:cs="Times New Roman"/>
                <w:sz w:val="20"/>
              </w:rPr>
            </w:pPr>
          </w:p>
          <w:p w:rsidRPr="00D43D39" w:rsidR="003433C6" w:rsidP="00513F58" w:rsidRDefault="003433C6" w14:paraId="2C621F05"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Report one of the following values:</w:t>
            </w:r>
          </w:p>
          <w:p w:rsidRPr="00D43D39" w:rsidR="003433C6" w:rsidP="00513F58" w:rsidRDefault="003433C6" w14:paraId="4B4CD83C" w14:textId="77777777">
            <w:pPr>
              <w:spacing w:line="276" w:lineRule="auto"/>
              <w:jc w:val="both"/>
              <w:rPr>
                <w:rFonts w:ascii="Times New Roman" w:hAnsi="Times New Roman" w:eastAsia="Calibri" w:cs="Times New Roman"/>
                <w:sz w:val="20"/>
                <w:szCs w:val="20"/>
              </w:rPr>
            </w:pPr>
            <w:r w:rsidRPr="00D43D39">
              <w:rPr>
                <w:rFonts w:ascii="Times New Roman" w:hAnsi="Times New Roman" w:eastAsia="Calibri" w:cs="Times New Roman"/>
                <w:sz w:val="20"/>
                <w:szCs w:val="20"/>
              </w:rPr>
              <w:t>‘Yes’ – if the contract is assessed as resolution-</w:t>
            </w:r>
            <w:r w:rsidRPr="00D43D39">
              <w:rPr>
                <w:rFonts w:ascii="Times New Roman" w:hAnsi="Times New Roman" w:eastAsia="Calibri" w:cs="Times New Roman"/>
                <w:strike/>
                <w:sz w:val="20"/>
                <w:szCs w:val="20"/>
              </w:rPr>
              <w:t xml:space="preserve">proof </w:t>
            </w:r>
            <w:r w:rsidRPr="00D43D39">
              <w:rPr>
                <w:rFonts w:ascii="Times New Roman" w:hAnsi="Times New Roman" w:eastAsia="Calibri" w:cs="Times New Roman"/>
                <w:sz w:val="20"/>
                <w:szCs w:val="20"/>
              </w:rPr>
              <w:t>resilient</w:t>
            </w:r>
          </w:p>
          <w:p w:rsidRPr="00D43D39" w:rsidR="003433C6" w:rsidP="00513F58" w:rsidRDefault="003433C6" w14:paraId="5E105255" w14:textId="77777777">
            <w:pPr>
              <w:spacing w:line="276" w:lineRule="auto"/>
              <w:jc w:val="both"/>
              <w:rPr>
                <w:rFonts w:ascii="Times New Roman" w:hAnsi="Times New Roman" w:eastAsia="Calibri" w:cs="Times New Roman"/>
                <w:sz w:val="20"/>
                <w:szCs w:val="20"/>
              </w:rPr>
            </w:pPr>
            <w:r w:rsidRPr="00D43D39">
              <w:rPr>
                <w:rFonts w:ascii="Times New Roman" w:hAnsi="Times New Roman" w:eastAsia="Calibri" w:cs="Times New Roman"/>
                <w:sz w:val="20"/>
                <w:szCs w:val="20"/>
              </w:rPr>
              <w:t>‘No’ – if the contract is not assessed as resolution-</w:t>
            </w:r>
            <w:r w:rsidRPr="00D43D39">
              <w:rPr>
                <w:rFonts w:ascii="Times New Roman" w:hAnsi="Times New Roman" w:eastAsia="Calibri" w:cs="Times New Roman"/>
                <w:strike/>
                <w:sz w:val="20"/>
                <w:szCs w:val="20"/>
              </w:rPr>
              <w:t xml:space="preserve"> proof </w:t>
            </w:r>
            <w:r w:rsidRPr="00D43D39">
              <w:rPr>
                <w:rFonts w:ascii="Times New Roman" w:hAnsi="Times New Roman" w:eastAsia="Calibri" w:cs="Times New Roman"/>
                <w:sz w:val="20"/>
                <w:szCs w:val="20"/>
              </w:rPr>
              <w:t>resilient</w:t>
            </w:r>
          </w:p>
          <w:p w:rsidRPr="00D43D39" w:rsidR="003433C6" w:rsidP="00513F58" w:rsidRDefault="003433C6" w14:paraId="33336D3B" w14:textId="77777777">
            <w:pPr>
              <w:spacing w:line="276" w:lineRule="auto"/>
              <w:jc w:val="both"/>
              <w:rPr>
                <w:rFonts w:ascii="Times New Roman" w:hAnsi="Times New Roman" w:eastAsia="Calibri" w:cs="Times New Roman"/>
                <w:sz w:val="20"/>
                <w:szCs w:val="20"/>
              </w:rPr>
            </w:pPr>
            <w:r w:rsidRPr="00D43D39">
              <w:rPr>
                <w:rFonts w:ascii="Times New Roman" w:hAnsi="Times New Roman" w:eastAsia="Calibri" w:cs="Times New Roman"/>
                <w:sz w:val="20"/>
                <w:szCs w:val="20"/>
              </w:rPr>
              <w:t>‘Not assessed’ – if no assessment has been made</w:t>
            </w:r>
          </w:p>
          <w:p w:rsidRPr="00D43D39" w:rsidR="003433C6" w:rsidP="00513F58" w:rsidRDefault="003433C6" w14:paraId="56F24EEB" w14:textId="77777777">
            <w:pPr>
              <w:spacing w:line="276" w:lineRule="auto"/>
              <w:jc w:val="both"/>
              <w:rPr>
                <w:rFonts w:ascii="Times New Roman" w:hAnsi="Times New Roman" w:eastAsia="Calibri" w:cs="Times New Roman"/>
                <w:sz w:val="20"/>
                <w:szCs w:val="20"/>
              </w:rPr>
            </w:pPr>
            <w:r w:rsidRPr="00D43D39">
              <w:rPr>
                <w:rFonts w:ascii="Times New Roman" w:hAnsi="Times New Roman" w:eastAsia="Calibri" w:cs="Times New Roman"/>
                <w:sz w:val="20"/>
                <w:szCs w:val="20"/>
              </w:rPr>
              <w:t>‘N/A’ – for intra-entity services</w:t>
            </w:r>
          </w:p>
          <w:p w:rsidRPr="00D43D39" w:rsidR="003433C6" w:rsidP="00513F58" w:rsidRDefault="003433C6" w14:paraId="28CA6916" w14:textId="77777777">
            <w:pPr>
              <w:spacing w:line="276" w:lineRule="auto"/>
              <w:jc w:val="both"/>
              <w:rPr>
                <w:rFonts w:ascii="Times New Roman" w:hAnsi="Times New Roman" w:eastAsia="Calibri" w:cs="Times New Roman"/>
                <w:sz w:val="20"/>
              </w:rPr>
            </w:pPr>
          </w:p>
        </w:tc>
      </w:tr>
      <w:tr w:rsidRPr="00D43D39" w:rsidR="003433C6" w:rsidTr="00513F58" w14:paraId="4D2276F2" w14:textId="77777777">
        <w:trPr>
          <w:trHeight w:val="2120"/>
        </w:trPr>
        <w:tc>
          <w:tcPr>
            <w:tcW w:w="1129" w:type="dxa"/>
          </w:tcPr>
          <w:p w:rsidRPr="00D43D39" w:rsidR="003433C6" w:rsidP="00513F58" w:rsidRDefault="003433C6" w14:paraId="1F1CCB8B"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iCs/>
                <w:sz w:val="20"/>
              </w:rPr>
              <w:t>0160</w:t>
            </w:r>
          </w:p>
        </w:tc>
        <w:tc>
          <w:tcPr>
            <w:tcW w:w="7938" w:type="dxa"/>
            <w:shd w:val="clear" w:color="auto" w:fill="auto"/>
          </w:tcPr>
          <w:p w:rsidRPr="00D43D39" w:rsidR="003433C6" w:rsidP="00513F58" w:rsidRDefault="003433C6" w14:paraId="2EB944E0" w14:textId="77777777">
            <w:pPr>
              <w:spacing w:line="276" w:lineRule="auto"/>
              <w:jc w:val="both"/>
              <w:rPr>
                <w:rFonts w:ascii="Times New Roman" w:hAnsi="Times New Roman" w:eastAsia="Calibri" w:cs="Times New Roman"/>
                <w:b/>
                <w:bCs/>
                <w:iCs/>
                <w:sz w:val="20"/>
              </w:rPr>
            </w:pPr>
            <w:r w:rsidRPr="00D43D39">
              <w:rPr>
                <w:rFonts w:ascii="Times New Roman" w:hAnsi="Times New Roman" w:eastAsia="Calibri" w:cs="Times New Roman"/>
                <w:b/>
                <w:bCs/>
                <w:iCs/>
                <w:sz w:val="20"/>
              </w:rPr>
              <w:t>Business Reorganization Plan (BRP)</w:t>
            </w:r>
          </w:p>
          <w:p w:rsidRPr="00D43D39" w:rsidR="003433C6" w:rsidP="00513F58" w:rsidRDefault="003433C6" w14:paraId="149413C1" w14:textId="77777777">
            <w:pPr>
              <w:spacing w:line="276" w:lineRule="auto"/>
              <w:jc w:val="both"/>
              <w:rPr>
                <w:rFonts w:ascii="Times New Roman" w:hAnsi="Times New Roman" w:eastAsia="Calibri" w:cs="Times New Roman"/>
                <w:iCs/>
                <w:sz w:val="20"/>
              </w:rPr>
            </w:pPr>
            <w:r w:rsidRPr="00D43D39">
              <w:rPr>
                <w:rFonts w:ascii="Times New Roman" w:hAnsi="Times New Roman" w:eastAsia="Calibri" w:cs="Times New Roman"/>
                <w:iCs/>
                <w:sz w:val="20"/>
              </w:rPr>
              <w:t xml:space="preserve">If the resolution strategy (either preferred or variant) requires a business reorganization plan (BRP), EU contracts are expected to include explicit clauses to ensure their resolution-resilience in the implementation of BRP. </w:t>
            </w:r>
          </w:p>
          <w:p w:rsidRPr="00D43D39" w:rsidR="003433C6" w:rsidP="00513F58" w:rsidRDefault="003433C6" w14:paraId="0FC68671" w14:textId="77777777">
            <w:pPr>
              <w:spacing w:line="276" w:lineRule="auto"/>
              <w:jc w:val="both"/>
              <w:rPr>
                <w:rFonts w:ascii="Times New Roman" w:hAnsi="Times New Roman" w:eastAsia="Calibri" w:cs="Times New Roman"/>
                <w:iCs/>
                <w:sz w:val="20"/>
              </w:rPr>
            </w:pPr>
          </w:p>
          <w:p w:rsidRPr="00D43D39" w:rsidR="003433C6" w:rsidP="00513F58" w:rsidRDefault="003433C6" w14:paraId="4E2060C9" w14:textId="77777777">
            <w:pPr>
              <w:spacing w:line="276" w:lineRule="auto"/>
              <w:jc w:val="both"/>
              <w:rPr>
                <w:rFonts w:ascii="Times New Roman" w:hAnsi="Times New Roman" w:eastAsia="Calibri" w:cs="Times New Roman"/>
                <w:iCs/>
                <w:sz w:val="20"/>
              </w:rPr>
            </w:pPr>
            <w:r w:rsidRPr="00D43D39">
              <w:rPr>
                <w:rFonts w:ascii="Times New Roman" w:hAnsi="Times New Roman" w:eastAsia="Calibri" w:cs="Times New Roman"/>
                <w:iCs/>
                <w:sz w:val="20"/>
              </w:rPr>
              <w:t>Report one of the following values:</w:t>
            </w:r>
          </w:p>
          <w:p w:rsidRPr="00D43D39" w:rsidR="003433C6" w:rsidP="00513F58" w:rsidRDefault="003433C6" w14:paraId="4B2DE0A7" w14:textId="77777777">
            <w:pPr>
              <w:spacing w:line="276" w:lineRule="auto"/>
              <w:jc w:val="both"/>
              <w:rPr>
                <w:rFonts w:ascii="Times New Roman" w:hAnsi="Times New Roman" w:eastAsia="Calibri" w:cs="Times New Roman"/>
                <w:iCs/>
                <w:sz w:val="20"/>
              </w:rPr>
            </w:pPr>
            <w:r w:rsidRPr="00D43D39">
              <w:rPr>
                <w:rFonts w:ascii="Times New Roman" w:hAnsi="Times New Roman" w:cs="Times New Roman"/>
              </w:rPr>
              <w:t>‘</w:t>
            </w:r>
            <w:r w:rsidRPr="00D43D39">
              <w:rPr>
                <w:rFonts w:ascii="Times New Roman" w:hAnsi="Times New Roman" w:eastAsia="Calibri" w:cs="Times New Roman"/>
                <w:iCs/>
                <w:sz w:val="20"/>
              </w:rPr>
              <w:t>Yes’ – if the contract includes explicit clauses to ensure their resolution-resilience in the implementation of the BRP</w:t>
            </w:r>
          </w:p>
          <w:p w:rsidRPr="00D43D39" w:rsidR="003433C6" w:rsidP="00513F58" w:rsidRDefault="003433C6" w14:paraId="3A103425" w14:textId="77777777">
            <w:pPr>
              <w:spacing w:line="276" w:lineRule="auto"/>
              <w:jc w:val="both"/>
              <w:rPr>
                <w:rFonts w:ascii="Times New Roman" w:hAnsi="Times New Roman" w:eastAsia="Calibri" w:cs="Times New Roman"/>
                <w:iCs/>
                <w:sz w:val="20"/>
              </w:rPr>
            </w:pPr>
            <w:r w:rsidRPr="00D43D39">
              <w:rPr>
                <w:rFonts w:ascii="Times New Roman" w:hAnsi="Times New Roman" w:cs="Times New Roman"/>
              </w:rPr>
              <w:t>‘</w:t>
            </w:r>
            <w:r w:rsidRPr="00D43D39">
              <w:rPr>
                <w:rFonts w:ascii="Times New Roman" w:hAnsi="Times New Roman" w:eastAsia="Calibri" w:cs="Times New Roman"/>
                <w:iCs/>
                <w:sz w:val="20"/>
              </w:rPr>
              <w:t>No’ - if the contract doesn’t include explicit clauses to ensure their resolution-resilience in the implementation of the BRP</w:t>
            </w:r>
          </w:p>
          <w:p w:rsidRPr="00D43D39" w:rsidR="003433C6" w:rsidP="00513F58" w:rsidRDefault="003433C6" w14:paraId="1AAD423D" w14:textId="77777777">
            <w:pPr>
              <w:spacing w:line="276" w:lineRule="auto"/>
              <w:jc w:val="both"/>
              <w:rPr>
                <w:rFonts w:ascii="Times New Roman" w:hAnsi="Times New Roman" w:eastAsia="Calibri" w:cs="Times New Roman"/>
                <w:iCs/>
                <w:sz w:val="20"/>
              </w:rPr>
            </w:pPr>
            <w:r w:rsidRPr="00D43D39">
              <w:rPr>
                <w:rFonts w:ascii="Times New Roman" w:hAnsi="Times New Roman" w:cs="Times New Roman"/>
              </w:rPr>
              <w:t>‘</w:t>
            </w:r>
            <w:r w:rsidRPr="00D43D39">
              <w:rPr>
                <w:rFonts w:ascii="Times New Roman" w:hAnsi="Times New Roman" w:eastAsia="Calibri" w:cs="Times New Roman"/>
                <w:iCs/>
                <w:sz w:val="20"/>
              </w:rPr>
              <w:t>Not assessed’ – if no assessment has been made</w:t>
            </w:r>
          </w:p>
          <w:p w:rsidRPr="00D43D39" w:rsidR="003433C6" w:rsidP="00513F58" w:rsidRDefault="003433C6" w14:paraId="4DDA5CAF" w14:textId="2CEEF0BE">
            <w:pPr>
              <w:spacing w:line="276" w:lineRule="auto"/>
              <w:jc w:val="both"/>
              <w:rPr>
                <w:rFonts w:ascii="Times New Roman" w:hAnsi="Times New Roman" w:eastAsia="Calibri" w:cs="Times New Roman"/>
                <w:iCs/>
                <w:sz w:val="20"/>
              </w:rPr>
            </w:pPr>
            <w:r w:rsidRPr="00D43D39">
              <w:rPr>
                <w:rFonts w:ascii="Times New Roman" w:hAnsi="Times New Roman" w:cs="Times New Roman"/>
              </w:rPr>
              <w:t>‘</w:t>
            </w:r>
            <w:r w:rsidRPr="00D43D39">
              <w:rPr>
                <w:rFonts w:ascii="Times New Roman" w:hAnsi="Times New Roman" w:eastAsia="Calibri" w:cs="Times New Roman"/>
                <w:iCs/>
                <w:sz w:val="20"/>
              </w:rPr>
              <w:t>N/A’ – for intra-entity services or for intra-group and external services, if the resolution strategy (preferred and variant) does not require a business reorganization plan</w:t>
            </w:r>
            <w:r w:rsidRPr="00D43D39" w:rsidDel="00BA35A3">
              <w:rPr>
                <w:rFonts w:ascii="Times New Roman" w:hAnsi="Times New Roman" w:eastAsia="Calibri" w:cs="Times New Roman"/>
                <w:iCs/>
                <w:sz w:val="20"/>
              </w:rPr>
              <w:t xml:space="preserve"> </w:t>
            </w:r>
          </w:p>
        </w:tc>
      </w:tr>
      <w:tr w:rsidRPr="00D43D39" w:rsidR="003433C6" w:rsidTr="00513F58" w14:paraId="5E00E1B1" w14:textId="77777777">
        <w:trPr>
          <w:trHeight w:val="416"/>
        </w:trPr>
        <w:tc>
          <w:tcPr>
            <w:tcW w:w="1129" w:type="dxa"/>
          </w:tcPr>
          <w:p w:rsidRPr="00D43D39" w:rsidR="003433C6" w:rsidP="00513F58" w:rsidRDefault="003433C6" w14:paraId="3E3A05CB"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iCs/>
                <w:sz w:val="20"/>
              </w:rPr>
              <w:t>0170</w:t>
            </w:r>
          </w:p>
        </w:tc>
        <w:tc>
          <w:tcPr>
            <w:tcW w:w="7938" w:type="dxa"/>
            <w:shd w:val="clear" w:color="auto" w:fill="auto"/>
          </w:tcPr>
          <w:p w:rsidRPr="00D43D39" w:rsidR="003433C6" w:rsidP="00513F58" w:rsidRDefault="003433C6" w14:paraId="52FD1B74" w14:textId="77777777">
            <w:pPr>
              <w:spacing w:line="276" w:lineRule="auto"/>
              <w:jc w:val="both"/>
              <w:rPr>
                <w:rFonts w:ascii="Times New Roman" w:hAnsi="Times New Roman" w:eastAsia="Calibri" w:cs="Times New Roman"/>
                <w:b/>
                <w:bCs/>
                <w:sz w:val="20"/>
              </w:rPr>
            </w:pPr>
            <w:r w:rsidRPr="00D43D39">
              <w:rPr>
                <w:rFonts w:ascii="Times New Roman" w:hAnsi="Times New Roman" w:eastAsia="Calibri" w:cs="Times New Roman"/>
                <w:b/>
                <w:bCs/>
                <w:iCs/>
                <w:sz w:val="20"/>
              </w:rPr>
              <w:t>Alternative mitigating actions</w:t>
            </w:r>
            <w:r w:rsidRPr="00D43D39">
              <w:rPr>
                <w:rFonts w:ascii="Times New Roman" w:hAnsi="Times New Roman" w:eastAsia="Calibri" w:cs="Times New Roman"/>
                <w:b/>
                <w:bCs/>
                <w:sz w:val="20"/>
              </w:rPr>
              <w:t xml:space="preserve"> </w:t>
            </w:r>
          </w:p>
          <w:p w:rsidRPr="00D43D39" w:rsidR="003433C6" w:rsidP="00513F58" w:rsidRDefault="003433C6" w14:paraId="531321C2" w14:textId="0472E0CD">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 xml:space="preserve">Where resolution resilience </w:t>
            </w:r>
            <w:r w:rsidR="002526C2">
              <w:rPr>
                <w:rFonts w:ascii="Times New Roman" w:hAnsi="Times New Roman" w:eastAsia="Calibri" w:cs="Times New Roman"/>
                <w:sz w:val="20"/>
              </w:rPr>
              <w:t>is expected to</w:t>
            </w:r>
            <w:r w:rsidRPr="00D43D39">
              <w:rPr>
                <w:rFonts w:ascii="Times New Roman" w:hAnsi="Times New Roman" w:eastAsia="Calibri" w:cs="Times New Roman"/>
                <w:sz w:val="20"/>
              </w:rPr>
              <w:t xml:space="preserve"> be achieved, but the banks have not been able to do so, banks are expected to explore alternative mitigating actions. </w:t>
            </w:r>
          </w:p>
          <w:p w:rsidRPr="00D43D39" w:rsidR="003433C6" w:rsidP="00513F58" w:rsidRDefault="003433C6" w14:paraId="2002E98B" w14:textId="77777777">
            <w:pPr>
              <w:spacing w:line="276" w:lineRule="auto"/>
              <w:jc w:val="both"/>
              <w:rPr>
                <w:rFonts w:ascii="Times New Roman" w:hAnsi="Times New Roman" w:eastAsia="Calibri" w:cs="Times New Roman"/>
                <w:sz w:val="20"/>
              </w:rPr>
            </w:pPr>
          </w:p>
          <w:p w:rsidRPr="00D43D39" w:rsidR="003433C6" w:rsidP="00513F58" w:rsidRDefault="003433C6" w14:paraId="2AC639B6" w14:textId="77777777">
            <w:pPr>
              <w:spacing w:line="276" w:lineRule="auto"/>
              <w:jc w:val="both"/>
              <w:rPr>
                <w:rFonts w:ascii="Times New Roman" w:hAnsi="Times New Roman" w:eastAsia="Calibri" w:cs="Times New Roman"/>
                <w:iCs/>
                <w:sz w:val="20"/>
              </w:rPr>
            </w:pPr>
            <w:r w:rsidRPr="00D43D39">
              <w:rPr>
                <w:rFonts w:ascii="Times New Roman" w:hAnsi="Times New Roman" w:eastAsia="Calibri" w:cs="Times New Roman"/>
                <w:iCs/>
                <w:sz w:val="20"/>
              </w:rPr>
              <w:t>Report one of the following values:</w:t>
            </w:r>
          </w:p>
          <w:p w:rsidRPr="00D43D39" w:rsidR="003433C6" w:rsidP="00513F58" w:rsidRDefault="003433C6" w14:paraId="11A0C826" w14:textId="77777777">
            <w:pPr>
              <w:spacing w:line="276" w:lineRule="auto"/>
              <w:jc w:val="both"/>
              <w:rPr>
                <w:rFonts w:ascii="Times New Roman" w:hAnsi="Times New Roman" w:eastAsia="Calibri" w:cs="Times New Roman"/>
                <w:iCs/>
                <w:sz w:val="20"/>
              </w:rPr>
            </w:pPr>
            <w:r w:rsidRPr="00D43D39">
              <w:rPr>
                <w:rFonts w:ascii="Times New Roman" w:hAnsi="Times New Roman" w:cs="Times New Roman"/>
              </w:rPr>
              <w:t>‘</w:t>
            </w:r>
            <w:r w:rsidRPr="00D43D39">
              <w:rPr>
                <w:rFonts w:ascii="Times New Roman" w:hAnsi="Times New Roman" w:eastAsia="Calibri" w:cs="Times New Roman"/>
                <w:iCs/>
                <w:sz w:val="20"/>
              </w:rPr>
              <w:t>Yes’ – if the bank has implemented alternative mitigating actions</w:t>
            </w:r>
          </w:p>
          <w:p w:rsidRPr="00D43D39" w:rsidR="003433C6" w:rsidP="00513F58" w:rsidRDefault="003433C6" w14:paraId="602B02CA" w14:textId="77777777">
            <w:pPr>
              <w:spacing w:line="276" w:lineRule="auto"/>
              <w:jc w:val="both"/>
              <w:rPr>
                <w:rFonts w:ascii="Times New Roman" w:hAnsi="Times New Roman" w:eastAsia="Calibri" w:cs="Times New Roman"/>
                <w:iCs/>
                <w:sz w:val="20"/>
              </w:rPr>
            </w:pPr>
            <w:r w:rsidRPr="00D43D39">
              <w:rPr>
                <w:rFonts w:ascii="Times New Roman" w:hAnsi="Times New Roman" w:cs="Times New Roman"/>
              </w:rPr>
              <w:t>‘</w:t>
            </w:r>
            <w:r w:rsidRPr="00D43D39">
              <w:rPr>
                <w:rFonts w:ascii="Times New Roman" w:hAnsi="Times New Roman" w:eastAsia="Calibri" w:cs="Times New Roman"/>
                <w:iCs/>
                <w:sz w:val="20"/>
              </w:rPr>
              <w:t>No’ - if the bank has not implemented alternative mitigating actions</w:t>
            </w:r>
          </w:p>
          <w:p w:rsidRPr="00D43D39" w:rsidR="003433C6" w:rsidP="00513F58" w:rsidRDefault="003433C6" w14:paraId="6D16E6EE" w14:textId="77777777">
            <w:pPr>
              <w:spacing w:line="276" w:lineRule="auto"/>
              <w:jc w:val="both"/>
              <w:rPr>
                <w:rFonts w:ascii="Times New Roman" w:hAnsi="Times New Roman" w:eastAsia="Calibri" w:cs="Times New Roman"/>
                <w:iCs/>
                <w:sz w:val="20"/>
              </w:rPr>
            </w:pPr>
            <w:r w:rsidRPr="00D43D39">
              <w:rPr>
                <w:rFonts w:ascii="Times New Roman" w:hAnsi="Times New Roman" w:cs="Times New Roman"/>
              </w:rPr>
              <w:t xml:space="preserve"> ‘</w:t>
            </w:r>
            <w:r w:rsidRPr="00D43D39">
              <w:rPr>
                <w:rFonts w:ascii="Times New Roman" w:hAnsi="Times New Roman" w:eastAsia="Calibri" w:cs="Times New Roman"/>
                <w:iCs/>
                <w:sz w:val="20"/>
              </w:rPr>
              <w:t>N/A’ – in cases where any of the columns 0150, 0160 are marked as ‘No’ or ‘N/A’</w:t>
            </w:r>
          </w:p>
          <w:p w:rsidRPr="00D43D39" w:rsidR="003433C6" w:rsidP="00513F58" w:rsidRDefault="003433C6" w14:paraId="22A639B7" w14:textId="77777777">
            <w:pPr>
              <w:spacing w:line="276" w:lineRule="auto"/>
              <w:jc w:val="both"/>
              <w:rPr>
                <w:rFonts w:ascii="Times New Roman" w:hAnsi="Times New Roman" w:eastAsia="Calibri" w:cs="Times New Roman"/>
                <w:sz w:val="20"/>
              </w:rPr>
            </w:pPr>
          </w:p>
        </w:tc>
      </w:tr>
      <w:tr w:rsidRPr="00D43D39" w:rsidR="003433C6" w:rsidTr="00513F58" w14:paraId="61A2156E" w14:textId="77777777">
        <w:trPr>
          <w:trHeight w:val="1257"/>
        </w:trPr>
        <w:tc>
          <w:tcPr>
            <w:tcW w:w="1129" w:type="dxa"/>
          </w:tcPr>
          <w:p w:rsidRPr="00D43D39" w:rsidR="003433C6" w:rsidP="00513F58" w:rsidRDefault="003433C6" w14:paraId="62DF36B0"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0180</w:t>
            </w:r>
          </w:p>
        </w:tc>
        <w:tc>
          <w:tcPr>
            <w:tcW w:w="7938" w:type="dxa"/>
            <w:shd w:val="clear" w:color="auto" w:fill="auto"/>
          </w:tcPr>
          <w:p w:rsidRPr="00D43D39" w:rsidR="003433C6" w:rsidP="00513F58" w:rsidRDefault="003433C6" w14:paraId="2841F3A7" w14:textId="77777777">
            <w:pPr>
              <w:spacing w:line="276" w:lineRule="auto"/>
              <w:jc w:val="both"/>
              <w:rPr>
                <w:rFonts w:ascii="Times New Roman" w:hAnsi="Times New Roman" w:eastAsia="Calibri" w:cs="Times New Roman"/>
                <w:iCs/>
                <w:sz w:val="20"/>
              </w:rPr>
            </w:pPr>
            <w:r w:rsidRPr="00D43D39">
              <w:rPr>
                <w:rFonts w:ascii="Times New Roman" w:hAnsi="Times New Roman" w:eastAsia="Calibri" w:cs="Times New Roman"/>
                <w:b/>
                <w:bCs/>
                <w:sz w:val="20"/>
                <w:szCs w:val="20"/>
              </w:rPr>
              <w:t>Critical ICT third-party service provider under DORA</w:t>
            </w:r>
            <w:r w:rsidRPr="00D43D39">
              <w:rPr>
                <w:rFonts w:ascii="Times New Roman" w:hAnsi="Times New Roman" w:eastAsia="Calibri" w:cs="Times New Roman"/>
                <w:b/>
                <w:bCs/>
                <w:iCs/>
                <w:sz w:val="20"/>
              </w:rPr>
              <w:t xml:space="preserve"> </w:t>
            </w:r>
          </w:p>
          <w:p w:rsidRPr="00D43D39" w:rsidR="003433C6" w:rsidP="00513F58" w:rsidRDefault="003433C6" w14:paraId="052D0EDC" w14:textId="77777777">
            <w:pPr>
              <w:spacing w:line="276" w:lineRule="auto"/>
              <w:jc w:val="both"/>
              <w:rPr>
                <w:rFonts w:ascii="Times New Roman" w:hAnsi="Times New Roman" w:eastAsia="Calibri" w:cs="Times New Roman"/>
                <w:iCs/>
                <w:sz w:val="20"/>
              </w:rPr>
            </w:pPr>
            <w:r w:rsidRPr="00D43D39">
              <w:rPr>
                <w:rFonts w:ascii="Times New Roman" w:hAnsi="Times New Roman" w:eastAsia="Calibri" w:cs="Times New Roman"/>
                <w:iCs/>
                <w:sz w:val="20"/>
              </w:rPr>
              <w:t>Report one of the following values:</w:t>
            </w:r>
          </w:p>
          <w:p w:rsidRPr="00D43D39" w:rsidR="003433C6" w:rsidP="00513F58" w:rsidRDefault="003433C6" w14:paraId="2C9FC273" w14:textId="77777777">
            <w:pPr>
              <w:spacing w:line="276" w:lineRule="auto"/>
              <w:jc w:val="both"/>
              <w:rPr>
                <w:rFonts w:ascii="Times New Roman" w:hAnsi="Times New Roman" w:eastAsia="Calibri" w:cs="Times New Roman"/>
                <w:sz w:val="20"/>
                <w:szCs w:val="20"/>
              </w:rPr>
            </w:pPr>
            <w:r w:rsidRPr="00D43D39">
              <w:rPr>
                <w:rFonts w:ascii="Times New Roman" w:hAnsi="Times New Roman" w:eastAsia="Calibri" w:cs="Times New Roman"/>
                <w:sz w:val="20"/>
                <w:szCs w:val="20"/>
              </w:rPr>
              <w:t>‘Yes’ – if this is a critical ICT third-party service provider under Article 3(23) Regulation 2022/2554 (DORA)</w:t>
            </w:r>
          </w:p>
          <w:p w:rsidRPr="00D43D39" w:rsidR="003433C6" w:rsidP="00513F58" w:rsidRDefault="003433C6" w14:paraId="07F375EB" w14:textId="77777777">
            <w:pPr>
              <w:spacing w:line="276" w:lineRule="auto"/>
              <w:jc w:val="both"/>
              <w:rPr>
                <w:rFonts w:ascii="Times New Roman" w:hAnsi="Times New Roman" w:eastAsia="Calibri" w:cs="Times New Roman"/>
                <w:sz w:val="20"/>
                <w:szCs w:val="20"/>
              </w:rPr>
            </w:pPr>
            <w:r w:rsidRPr="00D43D39">
              <w:rPr>
                <w:rFonts w:ascii="Times New Roman" w:hAnsi="Times New Roman" w:cs="Times New Roman"/>
              </w:rPr>
              <w:t>‘</w:t>
            </w:r>
            <w:r w:rsidRPr="00D43D39">
              <w:rPr>
                <w:rFonts w:ascii="Times New Roman" w:hAnsi="Times New Roman" w:eastAsia="Calibri" w:cs="Times New Roman"/>
                <w:sz w:val="20"/>
                <w:szCs w:val="20"/>
              </w:rPr>
              <w:t>No’ - if this is not a critical ICT third-party service provider under Article 3(23) Regulation 2022/2554 (DORA)</w:t>
            </w:r>
          </w:p>
          <w:p w:rsidRPr="00D43D39" w:rsidR="003433C6" w:rsidP="00513F58" w:rsidRDefault="003433C6" w14:paraId="21FF7E6E" w14:textId="77777777">
            <w:pPr>
              <w:spacing w:line="276" w:lineRule="auto"/>
              <w:jc w:val="both"/>
              <w:rPr>
                <w:rFonts w:ascii="Times New Roman" w:hAnsi="Times New Roman" w:eastAsia="Calibri" w:cs="Times New Roman"/>
                <w:sz w:val="20"/>
              </w:rPr>
            </w:pPr>
          </w:p>
        </w:tc>
      </w:tr>
      <w:tr w:rsidRPr="00D43D39" w:rsidR="003433C6" w:rsidTr="00513F58" w14:paraId="321F2DA1" w14:textId="77777777">
        <w:trPr>
          <w:trHeight w:val="1257"/>
        </w:trPr>
        <w:tc>
          <w:tcPr>
            <w:tcW w:w="1129" w:type="dxa"/>
          </w:tcPr>
          <w:p w:rsidRPr="00D43D39" w:rsidR="003433C6" w:rsidP="00513F58" w:rsidRDefault="003433C6" w14:paraId="221D0424" w14:textId="77777777">
            <w:pPr>
              <w:spacing w:line="276" w:lineRule="auto"/>
              <w:jc w:val="both"/>
              <w:rPr>
                <w:rFonts w:ascii="Times New Roman" w:hAnsi="Times New Roman" w:eastAsia="Calibri" w:cs="Times New Roman"/>
                <w:sz w:val="20"/>
              </w:rPr>
            </w:pPr>
            <w:r w:rsidRPr="00D43D39">
              <w:rPr>
                <w:rFonts w:ascii="Times New Roman" w:hAnsi="Times New Roman" w:eastAsia="Calibri" w:cs="Times New Roman"/>
                <w:sz w:val="20"/>
              </w:rPr>
              <w:t>0190</w:t>
            </w:r>
          </w:p>
        </w:tc>
        <w:tc>
          <w:tcPr>
            <w:tcW w:w="7938" w:type="dxa"/>
            <w:shd w:val="clear" w:color="auto" w:fill="auto"/>
          </w:tcPr>
          <w:p w:rsidRPr="00D43D39" w:rsidR="003433C6" w:rsidP="00513F58" w:rsidRDefault="003433C6" w14:paraId="4E349120" w14:textId="77777777">
            <w:pPr>
              <w:spacing w:line="276" w:lineRule="auto"/>
              <w:jc w:val="both"/>
              <w:rPr>
                <w:rFonts w:ascii="Times New Roman" w:hAnsi="Times New Roman" w:eastAsia="Calibri" w:cs="Times New Roman"/>
                <w:iCs/>
                <w:sz w:val="20"/>
              </w:rPr>
            </w:pPr>
            <w:r w:rsidRPr="00D43D39">
              <w:rPr>
                <w:rFonts w:ascii="Times New Roman" w:hAnsi="Times New Roman" w:eastAsia="Calibri" w:cs="Times New Roman"/>
                <w:b/>
                <w:bCs/>
                <w:sz w:val="20"/>
                <w:szCs w:val="20"/>
              </w:rPr>
              <w:t>ICT service under DORA</w:t>
            </w:r>
            <w:r w:rsidRPr="00D43D39">
              <w:rPr>
                <w:rFonts w:ascii="Times New Roman" w:hAnsi="Times New Roman" w:eastAsia="Calibri" w:cs="Times New Roman"/>
                <w:b/>
                <w:bCs/>
                <w:iCs/>
                <w:sz w:val="20"/>
              </w:rPr>
              <w:t xml:space="preserve"> </w:t>
            </w:r>
          </w:p>
          <w:p w:rsidRPr="00D43D39" w:rsidR="003433C6" w:rsidP="00513F58" w:rsidRDefault="003433C6" w14:paraId="51B04D5E" w14:textId="77777777">
            <w:pPr>
              <w:spacing w:line="276" w:lineRule="auto"/>
              <w:jc w:val="both"/>
              <w:rPr>
                <w:rFonts w:ascii="Times New Roman" w:hAnsi="Times New Roman" w:eastAsia="Calibri" w:cs="Times New Roman"/>
                <w:iCs/>
                <w:sz w:val="20"/>
              </w:rPr>
            </w:pPr>
            <w:r w:rsidRPr="00D43D39">
              <w:rPr>
                <w:rFonts w:ascii="Times New Roman" w:hAnsi="Times New Roman" w:eastAsia="Calibri" w:cs="Times New Roman"/>
                <w:iCs/>
                <w:sz w:val="20"/>
              </w:rPr>
              <w:t>Report one of the following values:</w:t>
            </w:r>
          </w:p>
          <w:p w:rsidRPr="00D43D39" w:rsidR="003433C6" w:rsidP="00513F58" w:rsidRDefault="003433C6" w14:paraId="7394F9B2" w14:textId="77777777">
            <w:pPr>
              <w:spacing w:line="276" w:lineRule="auto"/>
              <w:jc w:val="both"/>
              <w:rPr>
                <w:rFonts w:ascii="Times New Roman" w:hAnsi="Times New Roman" w:eastAsia="Calibri" w:cs="Times New Roman"/>
                <w:sz w:val="20"/>
                <w:szCs w:val="20"/>
              </w:rPr>
            </w:pPr>
            <w:r w:rsidRPr="00D43D39">
              <w:rPr>
                <w:rFonts w:ascii="Times New Roman" w:hAnsi="Times New Roman" w:eastAsia="Calibri" w:cs="Times New Roman"/>
                <w:sz w:val="20"/>
                <w:szCs w:val="20"/>
              </w:rPr>
              <w:t>‘Yes’ – if this is an ICT service under Article 3(21) Regulation 2022/2554 (DORA)</w:t>
            </w:r>
          </w:p>
          <w:p w:rsidRPr="00D43D39" w:rsidR="003433C6" w:rsidP="00513F58" w:rsidRDefault="003433C6" w14:paraId="353C06BE" w14:textId="77777777">
            <w:pPr>
              <w:spacing w:line="276" w:lineRule="auto"/>
              <w:jc w:val="both"/>
              <w:rPr>
                <w:rFonts w:ascii="Times New Roman" w:hAnsi="Times New Roman" w:eastAsia="Calibri" w:cs="Times New Roman"/>
                <w:sz w:val="20"/>
                <w:szCs w:val="20"/>
              </w:rPr>
            </w:pPr>
            <w:r w:rsidRPr="00D43D39">
              <w:rPr>
                <w:rFonts w:ascii="Times New Roman" w:hAnsi="Times New Roman" w:cs="Times New Roman"/>
              </w:rPr>
              <w:t>‘</w:t>
            </w:r>
            <w:r w:rsidRPr="00D43D39">
              <w:rPr>
                <w:rFonts w:ascii="Times New Roman" w:hAnsi="Times New Roman" w:eastAsia="Calibri" w:cs="Times New Roman"/>
                <w:sz w:val="20"/>
                <w:szCs w:val="20"/>
              </w:rPr>
              <w:t>No’ - if this is not an ICT service under Article 3(21) Regulation 2022/2554 (DORA)</w:t>
            </w:r>
          </w:p>
          <w:p w:rsidRPr="00D43D39" w:rsidR="003433C6" w:rsidP="00513F58" w:rsidRDefault="003433C6" w14:paraId="5ADB8236" w14:textId="77777777">
            <w:pPr>
              <w:spacing w:line="276" w:lineRule="auto"/>
              <w:jc w:val="both"/>
              <w:rPr>
                <w:rFonts w:ascii="Times New Roman" w:hAnsi="Times New Roman" w:eastAsia="Calibri" w:cs="Times New Roman"/>
                <w:iCs/>
                <w:sz w:val="20"/>
              </w:rPr>
            </w:pPr>
          </w:p>
        </w:tc>
      </w:tr>
    </w:tbl>
    <w:p w:rsidRPr="005F5507" w:rsidR="003433C6" w:rsidP="00F50309" w:rsidRDefault="003433C6" w14:paraId="7BEEB36A" w14:textId="77777777">
      <w:pPr>
        <w:spacing w:line="276" w:lineRule="auto"/>
        <w:jc w:val="both"/>
        <w:rPr>
          <w:rFonts w:ascii="Times New Roman" w:hAnsi="Times New Roman" w:eastAsia="Calibri" w:cs="Times New Roman"/>
          <w:color w:val="0070C0"/>
          <w:sz w:val="20"/>
        </w:rPr>
      </w:pPr>
    </w:p>
    <w:p w:rsidRPr="005F5507" w:rsidR="00F50309" w:rsidP="00F50309" w:rsidRDefault="00F50309" w14:paraId="051ECDD7" w14:textId="77777777">
      <w:pPr>
        <w:rPr>
          <w:rFonts w:ascii="Times New Roman" w:hAnsi="Times New Roman" w:eastAsia="Times New Roman" w:cs="Times New Roman"/>
          <w:sz w:val="20"/>
          <w:szCs w:val="20"/>
          <w:u w:val="single"/>
        </w:rPr>
      </w:pPr>
    </w:p>
    <w:p w:rsidRPr="005F5507" w:rsidR="00F50309" w:rsidP="00F50309" w:rsidRDefault="00F50309" w14:paraId="09CB64E2" w14:textId="77777777">
      <w:pPr>
        <w:rPr>
          <w:rFonts w:ascii="Times New Roman" w:hAnsi="Times New Roman" w:eastAsia="Times New Roman" w:cs="Times New Roman"/>
          <w:sz w:val="20"/>
          <w:szCs w:val="20"/>
          <w:u w:val="single"/>
        </w:rPr>
      </w:pPr>
    </w:p>
    <w:p w:rsidRPr="005F5507" w:rsidR="00BC55D2" w:rsidP="00B84DC4" w:rsidRDefault="00B84DC4" w14:paraId="1926432D" w14:textId="4698BA1E">
      <w:pPr>
        <w:pStyle w:val="Instructionsberschrift2"/>
        <w:numPr>
          <w:ilvl w:val="1"/>
          <w:numId w:val="49"/>
        </w:numPr>
        <w:ind w:left="357" w:hanging="357"/>
        <w:rPr>
          <w:rFonts w:ascii="Times New Roman" w:hAnsi="Times New Roman" w:cs="Times New Roman"/>
          <w:szCs w:val="20"/>
        </w:rPr>
      </w:pPr>
      <w:bookmarkStart w:name="_Toc172732243" w:id="117"/>
      <w:r w:rsidRPr="00D43D39">
        <w:rPr>
          <w:rFonts w:ascii="Times New Roman" w:hAnsi="Times New Roman" w:cs="Times New Roman"/>
        </w:rPr>
        <w:t>Z 08.02 — Relevant services – mapping to operational assets (SERV 2)</w:t>
      </w:r>
      <w:bookmarkEnd w:id="117"/>
    </w:p>
    <w:p w:rsidRPr="005F5507" w:rsidR="00BC55D2" w:rsidP="00BC55D2" w:rsidRDefault="00BC55D2" w14:paraId="777E27ED" w14:textId="77777777">
      <w:pPr>
        <w:spacing w:line="276" w:lineRule="auto"/>
        <w:jc w:val="both"/>
        <w:rPr>
          <w:rFonts w:ascii="Times New Roman" w:hAnsi="Times New Roman" w:eastAsia="Calibri" w:cs="Times New Roman"/>
          <w:sz w:val="20"/>
          <w:szCs w:val="20"/>
        </w:rPr>
      </w:pPr>
      <w:r w:rsidRPr="005F5507">
        <w:rPr>
          <w:rFonts w:ascii="Times New Roman" w:hAnsi="Times New Roman" w:eastAsia="Calibri" w:cs="Times New Roman"/>
          <w:sz w:val="20"/>
          <w:szCs w:val="20"/>
        </w:rPr>
        <w:t>General instructions</w:t>
      </w:r>
    </w:p>
    <w:p w:rsidRPr="00D43D39" w:rsidR="003433C6" w:rsidP="003433C6" w:rsidRDefault="003433C6" w14:paraId="526EEB90" w14:textId="146D7149">
      <w:pPr>
        <w:pStyle w:val="Instructionsberschrift3"/>
        <w:numPr>
          <w:ilvl w:val="4"/>
          <w:numId w:val="259"/>
        </w:numPr>
        <w:contextualSpacing/>
        <w:jc w:val="both"/>
        <w:rPr>
          <w:rFonts w:eastAsia="MS Mincho"/>
          <w:color w:val="auto"/>
          <w:u w:val="none"/>
        </w:rPr>
      </w:pPr>
      <w:bookmarkStart w:name="_Hlk161330001" w:id="118"/>
      <w:r w:rsidRPr="00D43D39">
        <w:rPr>
          <w:rFonts w:eastAsia="MS Mincho"/>
          <w:color w:val="auto"/>
          <w:szCs w:val="24"/>
          <w:u w:val="none"/>
        </w:rPr>
        <w:t>The information to be included in this template shall be reported once for the entire group, list relevant services received by any entity in the group, and link them to the relevant operational assets</w:t>
      </w:r>
      <w:r w:rsidRPr="00D43D39">
        <w:rPr>
          <w:rFonts w:eastAsia="MS Mincho"/>
          <w:u w:val="none"/>
        </w:rPr>
        <w:t>.</w:t>
      </w:r>
    </w:p>
    <w:p w:rsidRPr="00D43D39" w:rsidR="003433C6" w:rsidP="003433C6" w:rsidRDefault="003433C6" w14:paraId="044FDF37" w14:textId="77777777">
      <w:pPr>
        <w:pStyle w:val="Instructionsberschrift3"/>
        <w:numPr>
          <w:ilvl w:val="4"/>
          <w:numId w:val="49"/>
        </w:numPr>
        <w:contextualSpacing/>
        <w:jc w:val="both"/>
        <w:rPr>
          <w:rFonts w:eastAsia="MS Mincho"/>
          <w:color w:val="auto"/>
          <w:u w:val="none"/>
        </w:rPr>
      </w:pPr>
      <w:r w:rsidRPr="00D43D39">
        <w:rPr>
          <w:rFonts w:eastAsia="MS Mincho"/>
          <w:szCs w:val="24"/>
          <w:u w:val="none"/>
        </w:rPr>
        <w:t>The values reported in columns 0010, 0020 and 0030 of this template form a primary key, which have to be unique for each row of the template.</w:t>
      </w:r>
    </w:p>
    <w:bookmarkEnd w:id="118"/>
    <w:p w:rsidRPr="005F5507" w:rsidR="00BC55D2" w:rsidP="00BC55D2" w:rsidRDefault="00BC55D2" w14:paraId="636139B5" w14:textId="77777777">
      <w:pPr>
        <w:rPr>
          <w:rFonts w:ascii="Times New Roman" w:hAnsi="Times New Roman" w:eastAsia="Times New Roman" w:cs="Times New Roman"/>
          <w:sz w:val="20"/>
          <w:szCs w:val="20"/>
          <w:u w:val="single"/>
        </w:rPr>
      </w:pPr>
    </w:p>
    <w:tbl>
      <w:tblPr>
        <w:tblStyle w:val="TableGrid11"/>
        <w:tblW w:w="9209" w:type="dxa"/>
        <w:tblLook w:val="04A0" w:firstRow="1" w:lastRow="0" w:firstColumn="1" w:lastColumn="0" w:noHBand="0" w:noVBand="1"/>
      </w:tblPr>
      <w:tblGrid>
        <w:gridCol w:w="1418"/>
        <w:gridCol w:w="7791"/>
      </w:tblGrid>
      <w:tr w:rsidRPr="00D43D39" w:rsidR="003433C6" w:rsidTr="005F5507" w14:paraId="34583FDD" w14:textId="77777777">
        <w:trPr>
          <w:trHeight w:val="495"/>
          <w:tblHeader/>
        </w:trPr>
        <w:tc>
          <w:tcPr>
            <w:tcW w:w="1418" w:type="dxa"/>
            <w:shd w:val="clear" w:color="auto" w:fill="E7E6E6"/>
          </w:tcPr>
          <w:p w:rsidRPr="00D43D39" w:rsidR="003433C6" w:rsidP="00513F58" w:rsidRDefault="003433C6" w14:paraId="1CE54AD1" w14:textId="77777777">
            <w:pPr>
              <w:spacing w:before="120" w:after="120" w:line="276" w:lineRule="auto"/>
              <w:rPr>
                <w:rFonts w:ascii="Times New Roman" w:hAnsi="Times New Roman"/>
                <w:b/>
                <w:sz w:val="20"/>
                <w:szCs w:val="20"/>
              </w:rPr>
            </w:pPr>
            <w:r w:rsidRPr="00D43D39">
              <w:rPr>
                <w:rFonts w:ascii="Times New Roman" w:hAnsi="Times New Roman"/>
                <w:b/>
                <w:sz w:val="20"/>
                <w:szCs w:val="20"/>
              </w:rPr>
              <w:t>Columns</w:t>
            </w:r>
          </w:p>
        </w:tc>
        <w:tc>
          <w:tcPr>
            <w:tcW w:w="7791" w:type="dxa"/>
            <w:shd w:val="clear" w:color="auto" w:fill="E7E6E6"/>
          </w:tcPr>
          <w:p w:rsidRPr="00D43D39" w:rsidR="003433C6" w:rsidP="00513F58" w:rsidRDefault="003433C6" w14:paraId="23740107" w14:textId="77777777">
            <w:pPr>
              <w:spacing w:before="120" w:after="120" w:line="276" w:lineRule="auto"/>
              <w:rPr>
                <w:rFonts w:ascii="Times New Roman" w:hAnsi="Times New Roman"/>
                <w:b/>
                <w:sz w:val="20"/>
                <w:szCs w:val="20"/>
              </w:rPr>
            </w:pPr>
            <w:r w:rsidRPr="00D43D39">
              <w:rPr>
                <w:rFonts w:ascii="Times New Roman" w:hAnsi="Times New Roman"/>
                <w:b/>
                <w:sz w:val="20"/>
                <w:szCs w:val="20"/>
              </w:rPr>
              <w:t>Instructions</w:t>
            </w:r>
          </w:p>
        </w:tc>
      </w:tr>
      <w:tr w:rsidRPr="00D43D39" w:rsidR="003433C6" w:rsidTr="003433C6" w14:paraId="004BF5A3" w14:textId="77777777">
        <w:trPr>
          <w:trHeight w:val="450"/>
        </w:trPr>
        <w:tc>
          <w:tcPr>
            <w:tcW w:w="1418" w:type="dxa"/>
            <w:shd w:val="clear" w:color="auto" w:fill="FFFFFF"/>
          </w:tcPr>
          <w:p w:rsidRPr="00D43D39" w:rsidR="003433C6" w:rsidP="00513F58" w:rsidRDefault="003433C6" w14:paraId="3896BE5A" w14:textId="77777777">
            <w:pPr>
              <w:spacing w:before="120" w:after="120" w:line="276" w:lineRule="auto"/>
              <w:rPr>
                <w:rFonts w:ascii="Times New Roman" w:hAnsi="Times New Roman"/>
                <w:sz w:val="20"/>
                <w:szCs w:val="20"/>
              </w:rPr>
            </w:pPr>
            <w:r w:rsidRPr="00D43D39">
              <w:rPr>
                <w:rFonts w:ascii="Times New Roman" w:hAnsi="Times New Roman"/>
                <w:sz w:val="20"/>
                <w:szCs w:val="20"/>
              </w:rPr>
              <w:t>0005</w:t>
            </w:r>
          </w:p>
        </w:tc>
        <w:tc>
          <w:tcPr>
            <w:tcW w:w="7791" w:type="dxa"/>
            <w:shd w:val="clear" w:color="auto" w:fill="FFFFFF"/>
          </w:tcPr>
          <w:p w:rsidRPr="00D43D39" w:rsidR="003433C6" w:rsidP="00513F58" w:rsidRDefault="003433C6" w14:paraId="0A115DF6" w14:textId="77777777">
            <w:pPr>
              <w:spacing w:before="120" w:after="120" w:line="276" w:lineRule="auto"/>
              <w:rPr>
                <w:rFonts w:ascii="Times New Roman" w:hAnsi="Times New Roman"/>
                <w:sz w:val="20"/>
                <w:szCs w:val="20"/>
              </w:rPr>
            </w:pPr>
            <w:r w:rsidRPr="00D43D39">
              <w:rPr>
                <w:rFonts w:ascii="Times New Roman" w:hAnsi="Times New Roman"/>
                <w:b/>
                <w:bCs/>
                <w:sz w:val="20"/>
                <w:szCs w:val="20"/>
              </w:rPr>
              <w:t xml:space="preserve">Service </w:t>
            </w:r>
            <w:r w:rsidRPr="00D43D39" w:rsidDel="00106D64">
              <w:rPr>
                <w:rFonts w:ascii="Times New Roman" w:hAnsi="Times New Roman"/>
                <w:b/>
                <w:bCs/>
                <w:sz w:val="20"/>
                <w:szCs w:val="20"/>
              </w:rPr>
              <w:t>I</w:t>
            </w:r>
            <w:r w:rsidRPr="00D43D39">
              <w:rPr>
                <w:rFonts w:ascii="Times New Roman" w:hAnsi="Times New Roman"/>
                <w:b/>
                <w:bCs/>
                <w:sz w:val="20"/>
                <w:szCs w:val="20"/>
              </w:rPr>
              <w:t xml:space="preserve">dentifier </w:t>
            </w:r>
          </w:p>
          <w:p w:rsidRPr="00D43D39" w:rsidR="003433C6" w:rsidP="00513F58" w:rsidRDefault="00937E62" w14:paraId="574E62FC" w14:textId="69707162">
            <w:pPr>
              <w:spacing w:before="120" w:after="120" w:line="276" w:lineRule="auto"/>
              <w:rPr>
                <w:rFonts w:ascii="Times New Roman" w:hAnsi="Times New Roman"/>
                <w:sz w:val="20"/>
                <w:szCs w:val="20"/>
              </w:rPr>
            </w:pPr>
            <w:r>
              <w:rPr>
                <w:rFonts w:ascii="Times New Roman" w:hAnsi="Times New Roman"/>
                <w:sz w:val="20"/>
                <w:szCs w:val="20"/>
              </w:rPr>
              <w:t>U</w:t>
            </w:r>
            <w:r w:rsidRPr="00D43D39" w:rsidR="003433C6">
              <w:rPr>
                <w:rFonts w:ascii="Times New Roman" w:hAnsi="Times New Roman"/>
                <w:sz w:val="20"/>
                <w:szCs w:val="20"/>
              </w:rPr>
              <w:t>se the Service identifier as reported in Z 08.01 (SERV 1).</w:t>
            </w:r>
          </w:p>
          <w:p w:rsidRPr="00D43D39" w:rsidR="003433C6" w:rsidP="00513F58" w:rsidRDefault="003433C6" w14:paraId="7538355C" w14:textId="5AF4C93B">
            <w:pPr>
              <w:spacing w:before="120" w:after="120" w:line="276" w:lineRule="auto"/>
              <w:rPr>
                <w:rFonts w:ascii="Times New Roman" w:hAnsi="Times New Roman"/>
                <w:sz w:val="20"/>
                <w:szCs w:val="20"/>
              </w:rPr>
            </w:pPr>
            <w:r w:rsidRPr="00D43D39">
              <w:rPr>
                <w:rFonts w:ascii="Times New Roman" w:hAnsi="Times New Roman"/>
                <w:sz w:val="20"/>
                <w:szCs w:val="20"/>
              </w:rPr>
              <w:t>The service identifier refer</w:t>
            </w:r>
            <w:r w:rsidR="002526C2">
              <w:rPr>
                <w:rFonts w:ascii="Times New Roman" w:hAnsi="Times New Roman"/>
                <w:sz w:val="20"/>
                <w:szCs w:val="20"/>
              </w:rPr>
              <w:t>s</w:t>
            </w:r>
            <w:r w:rsidRPr="00D43D39">
              <w:rPr>
                <w:rFonts w:ascii="Times New Roman" w:hAnsi="Times New Roman"/>
                <w:sz w:val="20"/>
                <w:szCs w:val="20"/>
              </w:rPr>
              <w:t xml:space="preserve"> to the service reported under c0020.</w:t>
            </w:r>
          </w:p>
          <w:p w:rsidRPr="00D43D39" w:rsidR="003433C6" w:rsidP="00513F58" w:rsidRDefault="003433C6" w14:paraId="08640622" w14:textId="626506C2">
            <w:pPr>
              <w:spacing w:before="120" w:after="120" w:line="276" w:lineRule="auto"/>
              <w:rPr>
                <w:rFonts w:ascii="Times New Roman" w:hAnsi="Times New Roman"/>
                <w:i/>
                <w:sz w:val="20"/>
                <w:szCs w:val="20"/>
              </w:rPr>
            </w:pPr>
          </w:p>
        </w:tc>
      </w:tr>
      <w:tr w:rsidRPr="00D43D39" w:rsidR="003433C6" w:rsidTr="003433C6" w14:paraId="79F8E2DD" w14:textId="77777777">
        <w:trPr>
          <w:trHeight w:val="450"/>
        </w:trPr>
        <w:tc>
          <w:tcPr>
            <w:tcW w:w="1418" w:type="dxa"/>
            <w:shd w:val="clear" w:color="auto" w:fill="FFFFFF"/>
          </w:tcPr>
          <w:p w:rsidRPr="00D43D39" w:rsidR="003433C6" w:rsidP="00513F58" w:rsidRDefault="003433C6" w14:paraId="7D1B12ED" w14:textId="77777777">
            <w:pPr>
              <w:spacing w:before="120" w:after="120" w:line="276" w:lineRule="auto"/>
              <w:rPr>
                <w:rFonts w:ascii="Times New Roman" w:hAnsi="Times New Roman"/>
                <w:sz w:val="20"/>
                <w:szCs w:val="20"/>
              </w:rPr>
            </w:pPr>
            <w:r w:rsidRPr="00D43D39">
              <w:rPr>
                <w:rFonts w:ascii="Times New Roman" w:hAnsi="Times New Roman"/>
                <w:sz w:val="20"/>
                <w:szCs w:val="20"/>
              </w:rPr>
              <w:t>0010</w:t>
            </w:r>
          </w:p>
        </w:tc>
        <w:tc>
          <w:tcPr>
            <w:tcW w:w="7791" w:type="dxa"/>
            <w:shd w:val="clear" w:color="auto" w:fill="FFFFFF"/>
          </w:tcPr>
          <w:p w:rsidRPr="00D43D39" w:rsidR="003433C6" w:rsidP="00513F58" w:rsidRDefault="003433C6" w14:paraId="12B20E74"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b/>
                <w:bCs/>
                <w:sz w:val="20"/>
                <w:szCs w:val="20"/>
              </w:rPr>
              <w:t>Service type</w:t>
            </w:r>
            <w:r w:rsidRPr="00D43D39">
              <w:rPr>
                <w:rFonts w:ascii="Times New Roman" w:hAnsi="Times New Roman" w:eastAsia="MS Mincho"/>
                <w:b/>
                <w:bCs/>
                <w:sz w:val="20"/>
                <w:szCs w:val="20"/>
                <w:lang w:eastAsia="en-GB"/>
              </w:rPr>
              <w:t xml:space="preserve"> </w:t>
            </w:r>
          </w:p>
          <w:p w:rsidRPr="00D43D39" w:rsidR="003433C6" w:rsidP="00513F58" w:rsidRDefault="003433C6" w14:paraId="53E13FD9"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The service type shall be one of the service types listed below. </w:t>
            </w:r>
          </w:p>
          <w:p w:rsidRPr="00D43D39" w:rsidR="003433C6" w:rsidP="00513F58" w:rsidRDefault="003433C6" w14:paraId="035B3B28" w14:textId="77777777">
            <w:pPr>
              <w:spacing w:before="120" w:after="120" w:line="276" w:lineRule="auto"/>
              <w:rPr>
                <w:rFonts w:ascii="Times New Roman" w:hAnsi="Times New Roman"/>
                <w:sz w:val="20"/>
                <w:szCs w:val="20"/>
              </w:rPr>
            </w:pPr>
            <w:r w:rsidRPr="00D43D39">
              <w:rPr>
                <w:rFonts w:ascii="Times New Roman" w:hAnsi="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p>
          <w:p w:rsidRPr="00D43D39" w:rsidR="003433C6" w:rsidP="00513F58" w:rsidRDefault="003433C6" w14:paraId="5DF92068"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1. Human resources support </w:t>
            </w:r>
          </w:p>
          <w:p w:rsidRPr="00D43D39" w:rsidR="003433C6" w:rsidP="00513F58" w:rsidRDefault="003433C6" w14:paraId="395D1C6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1.1 staff administration, including administration of contracts and remuneration </w:t>
            </w:r>
          </w:p>
          <w:p w:rsidRPr="00D43D39" w:rsidR="003433C6" w:rsidP="00513F58" w:rsidRDefault="003433C6" w14:paraId="4418A25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1.2 internal communication</w:t>
            </w:r>
          </w:p>
          <w:p w:rsidRPr="00D43D39" w:rsidR="003433C6" w:rsidP="00513F58" w:rsidRDefault="003433C6" w14:paraId="0017EF0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1.3 external communication</w:t>
            </w:r>
          </w:p>
          <w:p w:rsidRPr="00D43D39" w:rsidR="003433C6" w:rsidDel="00106D64" w:rsidP="00513F58" w:rsidRDefault="003433C6" w14:paraId="3139546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1.4 other</w:t>
            </w:r>
          </w:p>
          <w:p w:rsidRPr="00D43D39" w:rsidR="003433C6" w:rsidP="00513F58" w:rsidRDefault="003433C6" w14:paraId="7F66E49A" w14:textId="77777777">
            <w:pPr>
              <w:autoSpaceDE w:val="0"/>
              <w:autoSpaceDN w:val="0"/>
              <w:adjustRightInd w:val="0"/>
              <w:ind w:left="708"/>
              <w:rPr>
                <w:rFonts w:ascii="Times New Roman" w:hAnsi="Times New Roman" w:eastAsia="MS Mincho"/>
                <w:sz w:val="20"/>
                <w:szCs w:val="20"/>
                <w:lang w:eastAsia="en-GB"/>
              </w:rPr>
            </w:pPr>
          </w:p>
          <w:p w:rsidRPr="00D43D39" w:rsidR="003433C6" w:rsidP="00513F58" w:rsidRDefault="003433C6" w14:paraId="295CEDD8"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 Information technology </w:t>
            </w:r>
          </w:p>
          <w:p w:rsidRPr="00D43D39" w:rsidR="003433C6" w:rsidP="00513F58" w:rsidRDefault="003433C6" w14:paraId="6D1D41B8"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2.1 IT and communication hardware </w:t>
            </w:r>
          </w:p>
          <w:p w:rsidRPr="00D43D39" w:rsidR="003433C6" w:rsidP="00513F58" w:rsidRDefault="003433C6" w14:paraId="166F304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2.2 data storage and processing </w:t>
            </w:r>
          </w:p>
          <w:p w:rsidRPr="00D43D39" w:rsidR="003433C6" w:rsidP="00513F58" w:rsidRDefault="003433C6" w14:paraId="429BADCB"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2.3 other IT infrastructure, workstations, telecommunications, servers, data centres and related services </w:t>
            </w:r>
          </w:p>
          <w:p w:rsidRPr="00D43D39" w:rsidR="003433C6" w:rsidP="00513F58" w:rsidRDefault="003433C6" w14:paraId="69671FB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2.4 administration of software licenses and application software </w:t>
            </w:r>
          </w:p>
          <w:p w:rsidRPr="00D43D39" w:rsidR="003433C6" w:rsidP="00513F58" w:rsidRDefault="003433C6" w14:paraId="3438503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2.5 access to external providers, in particular data and infrastructure providers </w:t>
            </w:r>
          </w:p>
          <w:p w:rsidRPr="00D43D39" w:rsidR="003433C6" w:rsidP="00513F58" w:rsidRDefault="003433C6" w14:paraId="6F6A830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2.6 application maintenance, including software application maintenance and related data flows </w:t>
            </w:r>
          </w:p>
          <w:p w:rsidRPr="00D43D39" w:rsidR="003433C6" w:rsidP="00513F58" w:rsidRDefault="003433C6" w14:paraId="6430B79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2.7 report generation, internal information flows and data bases </w:t>
            </w:r>
          </w:p>
          <w:p w:rsidRPr="00D43D39" w:rsidR="003433C6" w:rsidP="00513F58" w:rsidRDefault="003433C6" w14:paraId="3BFF3FC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2.8 user support </w:t>
            </w:r>
          </w:p>
          <w:p w:rsidRPr="00D43D39" w:rsidR="003433C6" w:rsidP="00513F58" w:rsidRDefault="003433C6" w14:paraId="4A3E3957"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2.9 emergency and disaster recovery</w:t>
            </w:r>
          </w:p>
          <w:p w:rsidRPr="00D43D39" w:rsidR="003433C6" w:rsidDel="00106D64" w:rsidP="00513F58" w:rsidRDefault="003433C6" w14:paraId="502A911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2.10 other</w:t>
            </w:r>
          </w:p>
          <w:p w:rsidRPr="00D43D39" w:rsidR="003433C6" w:rsidP="00513F58" w:rsidRDefault="003433C6" w14:paraId="0C0D6BC3"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79EBDF18"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3. Transaction processing, including legal transactional issues, in particular anti-money laundering </w:t>
            </w:r>
          </w:p>
          <w:p w:rsidRPr="00D43D39" w:rsidR="003433C6" w:rsidP="00513F58" w:rsidRDefault="003433C6" w14:paraId="68DA91F4"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241E2FC2"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 Real estate and facility provision or management and associated facilities </w:t>
            </w:r>
          </w:p>
          <w:p w:rsidRPr="00D43D39" w:rsidR="003433C6" w:rsidP="00513F58" w:rsidRDefault="003433C6" w14:paraId="351AF17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4.1 office premises and storage </w:t>
            </w:r>
          </w:p>
          <w:p w:rsidRPr="00D43D39" w:rsidR="003433C6" w:rsidP="00513F58" w:rsidRDefault="003433C6" w14:paraId="65ADD00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4.2 internal facilities management </w:t>
            </w:r>
          </w:p>
          <w:p w:rsidRPr="00D43D39" w:rsidR="003433C6" w:rsidP="00513F58" w:rsidRDefault="003433C6" w14:paraId="58124AB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4.3 security and access control </w:t>
            </w:r>
          </w:p>
          <w:p w:rsidRPr="00D43D39" w:rsidR="003433C6" w:rsidP="00513F58" w:rsidRDefault="003433C6" w14:paraId="50C88AAB"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4.4 real estate portfolio management </w:t>
            </w:r>
          </w:p>
          <w:p w:rsidRPr="00D43D39" w:rsidR="003433C6" w:rsidP="00513F58" w:rsidRDefault="003433C6" w14:paraId="387CB390" w14:textId="35697234">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4.5 other, </w:t>
            </w:r>
            <w:r w:rsidR="00937E62">
              <w:rPr>
                <w:rFonts w:ascii="Times New Roman" w:hAnsi="Times New Roman" w:eastAsia="MS Mincho"/>
                <w:sz w:val="20"/>
                <w:szCs w:val="20"/>
                <w:lang w:eastAsia="en-GB"/>
              </w:rPr>
              <w:t>(</w:t>
            </w:r>
            <w:r w:rsidRPr="00D43D39">
              <w:rPr>
                <w:rFonts w:ascii="Times New Roman" w:hAnsi="Times New Roman" w:eastAsia="MS Mincho"/>
                <w:sz w:val="20"/>
                <w:szCs w:val="20"/>
                <w:lang w:eastAsia="en-GB"/>
              </w:rPr>
              <w:t>specify</w:t>
            </w:r>
            <w:r w:rsidR="00937E62">
              <w:rPr>
                <w:rFonts w:ascii="Times New Roman" w:hAnsi="Times New Roman" w:eastAsia="MS Mincho"/>
                <w:sz w:val="20"/>
                <w:szCs w:val="20"/>
                <w:lang w:eastAsia="en-GB"/>
              </w:rPr>
              <w:t>)</w:t>
            </w:r>
            <w:r w:rsidRPr="00D43D39">
              <w:rPr>
                <w:rFonts w:ascii="Times New Roman" w:hAnsi="Times New Roman" w:eastAsia="MS Mincho"/>
                <w:sz w:val="20"/>
                <w:szCs w:val="20"/>
                <w:lang w:eastAsia="en-GB"/>
              </w:rPr>
              <w:t xml:space="preserve"> </w:t>
            </w:r>
          </w:p>
          <w:p w:rsidRPr="00D43D39" w:rsidR="003433C6" w:rsidP="00513F58" w:rsidRDefault="003433C6" w14:paraId="2301754E"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09FDEA96"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 Legal services and compliance functions </w:t>
            </w:r>
          </w:p>
          <w:p w:rsidRPr="00D43D39" w:rsidR="003433C6" w:rsidP="00513F58" w:rsidRDefault="003433C6" w14:paraId="6D1D274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5.1 corporate legal support </w:t>
            </w:r>
          </w:p>
          <w:p w:rsidRPr="00D43D39" w:rsidR="003433C6" w:rsidP="00513F58" w:rsidRDefault="003433C6" w14:paraId="12789DC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5.2 business and transactional legal services </w:t>
            </w:r>
          </w:p>
          <w:p w:rsidRPr="00D43D39" w:rsidR="003433C6" w:rsidP="00513F58" w:rsidRDefault="003433C6" w14:paraId="3849536D"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5.3 compliance support </w:t>
            </w:r>
          </w:p>
          <w:p w:rsidRPr="00D43D39" w:rsidR="003433C6" w:rsidDel="00106D64" w:rsidP="00513F58" w:rsidRDefault="003433C6" w14:paraId="701253A9"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5.4 other</w:t>
            </w:r>
          </w:p>
          <w:p w:rsidRPr="00D43D39" w:rsidR="003433C6" w:rsidP="00513F58" w:rsidRDefault="003433C6" w14:paraId="0A207D26" w14:textId="77777777">
            <w:pPr>
              <w:autoSpaceDE w:val="0"/>
              <w:autoSpaceDN w:val="0"/>
              <w:adjustRightInd w:val="0"/>
              <w:ind w:left="708"/>
              <w:rPr>
                <w:rFonts w:ascii="Times New Roman" w:hAnsi="Times New Roman" w:eastAsia="MS Mincho"/>
                <w:sz w:val="20"/>
                <w:szCs w:val="20"/>
                <w:lang w:eastAsia="en-GB"/>
              </w:rPr>
            </w:pPr>
          </w:p>
          <w:p w:rsidRPr="00D43D39" w:rsidR="003433C6" w:rsidP="00513F58" w:rsidRDefault="003433C6" w14:paraId="1B6DCCEF"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 Treasury-related services </w:t>
            </w:r>
          </w:p>
          <w:p w:rsidRPr="00D43D39" w:rsidR="003433C6" w:rsidP="00513F58" w:rsidRDefault="003433C6" w14:paraId="5E5BB428"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6.1 coordination, administration and management of the treasury activity </w:t>
            </w:r>
          </w:p>
          <w:p w:rsidRPr="00D43D39" w:rsidR="003433C6" w:rsidP="00513F58" w:rsidRDefault="003433C6" w14:paraId="7F1B395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6.2 coordination, administration and management of entity refinancing, including collateral management </w:t>
            </w:r>
          </w:p>
          <w:p w:rsidRPr="00D43D39" w:rsidR="003433C6" w:rsidP="00513F58" w:rsidRDefault="003433C6" w14:paraId="5274DF5B"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6.3 reporting function, in particular with respect to regulatory liquidity ratios </w:t>
            </w:r>
          </w:p>
          <w:p w:rsidRPr="00D43D39" w:rsidR="003433C6" w:rsidP="00513F58" w:rsidRDefault="003433C6" w14:paraId="68A98AFC"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6.4 coordination, administration and management of medium and long-term funding programs, and refinancing of group entities </w:t>
            </w:r>
          </w:p>
          <w:p w:rsidRPr="00D43D39" w:rsidR="003433C6" w:rsidDel="00106D64" w:rsidP="00513F58" w:rsidRDefault="003433C6" w14:paraId="4B45D91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6.5 coordination, administration and management of refinancing, in particular short-term issues</w:t>
            </w:r>
          </w:p>
          <w:p w:rsidRPr="00D43D39" w:rsidR="003433C6" w:rsidP="00513F58" w:rsidRDefault="003433C6" w14:paraId="51A5FE47"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6.6 other</w:t>
            </w:r>
          </w:p>
          <w:p w:rsidRPr="00D43D39" w:rsidR="003433C6" w:rsidP="00513F58" w:rsidRDefault="003433C6" w14:paraId="6818C91A"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19E7C616"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 Trading/asset management </w:t>
            </w:r>
          </w:p>
          <w:p w:rsidRPr="00D43D39" w:rsidR="003433C6" w:rsidP="00513F58" w:rsidRDefault="003433C6" w14:paraId="6BA6F31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7.1 operations processing: trade capture, design, realisation, servicing of trading products </w:t>
            </w:r>
          </w:p>
          <w:p w:rsidRPr="00D43D39" w:rsidR="003433C6" w:rsidP="00513F58" w:rsidRDefault="003433C6" w14:paraId="7EC87C90"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7.2 confirmation, settlement, payment </w:t>
            </w:r>
          </w:p>
          <w:p w:rsidRPr="00D43D39" w:rsidR="003433C6" w:rsidP="00513F58" w:rsidRDefault="003433C6" w14:paraId="6C5F9DF7"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7.3 position and counterparty management, with respect to data reporting and counterparty relationships </w:t>
            </w:r>
          </w:p>
          <w:p w:rsidRPr="00D43D39" w:rsidR="003433C6" w:rsidP="00513F58" w:rsidRDefault="003433C6" w14:paraId="2B3BFE19"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7.4 position management (risk and reconciliation) </w:t>
            </w:r>
          </w:p>
          <w:p w:rsidRPr="00D43D39" w:rsidR="003433C6" w:rsidDel="00106D64" w:rsidP="00513F58" w:rsidRDefault="003433C6" w14:paraId="378FD82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7.5 other</w:t>
            </w:r>
          </w:p>
          <w:p w:rsidRPr="00D43D39" w:rsidR="003433C6" w:rsidP="00513F58" w:rsidRDefault="003433C6" w14:paraId="2465210C" w14:textId="77777777">
            <w:pPr>
              <w:autoSpaceDE w:val="0"/>
              <w:autoSpaceDN w:val="0"/>
              <w:adjustRightInd w:val="0"/>
              <w:ind w:left="708"/>
              <w:rPr>
                <w:rFonts w:ascii="Times New Roman" w:hAnsi="Times New Roman" w:eastAsia="MS Mincho"/>
                <w:sz w:val="20"/>
                <w:szCs w:val="20"/>
                <w:lang w:eastAsia="en-GB"/>
              </w:rPr>
            </w:pPr>
          </w:p>
          <w:p w:rsidRPr="00D43D39" w:rsidR="003433C6" w:rsidP="00513F58" w:rsidRDefault="003433C6" w14:paraId="56B19603"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8. Risk management and valuation </w:t>
            </w:r>
          </w:p>
          <w:p w:rsidRPr="00D43D39" w:rsidR="003433C6" w:rsidP="00513F58" w:rsidRDefault="003433C6" w14:paraId="75D4C3F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8.1 central or business line or risk type-related risk management</w:t>
            </w:r>
          </w:p>
          <w:p w:rsidRPr="00D43D39" w:rsidR="003433C6" w:rsidP="00513F58" w:rsidRDefault="003433C6" w14:paraId="7E6E8A28"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8.2 risk report generation </w:t>
            </w:r>
          </w:p>
          <w:p w:rsidRPr="00D43D39" w:rsidR="003433C6" w:rsidDel="00106D64" w:rsidP="00513F58" w:rsidRDefault="003433C6" w14:paraId="71B71FFB"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8.3 other</w:t>
            </w:r>
          </w:p>
          <w:p w:rsidRPr="00D43D39" w:rsidR="003433C6" w:rsidP="00513F58" w:rsidRDefault="003433C6" w14:paraId="1952DF57"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1B4EC986"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 Accounting </w:t>
            </w:r>
          </w:p>
          <w:p w:rsidRPr="00D43D39" w:rsidR="003433C6" w:rsidP="00513F58" w:rsidRDefault="003433C6" w14:paraId="3895E70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9.1 statutory and regulatory reporting </w:t>
            </w:r>
          </w:p>
          <w:p w:rsidRPr="00D43D39" w:rsidR="003433C6" w:rsidP="00513F58" w:rsidRDefault="003433C6" w14:paraId="69CBFC9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9.2 valuation, in particular of market positions </w:t>
            </w:r>
          </w:p>
          <w:p w:rsidRPr="00D43D39" w:rsidR="003433C6" w:rsidDel="00106D64" w:rsidP="00513F58" w:rsidRDefault="003433C6" w14:paraId="51A5DD8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9.3 management reporting </w:t>
            </w:r>
          </w:p>
          <w:p w:rsidRPr="00D43D39" w:rsidR="003433C6" w:rsidP="00513F58" w:rsidRDefault="003433C6" w14:paraId="63319355" w14:textId="77777777">
            <w:pPr>
              <w:autoSpaceDE w:val="0"/>
              <w:autoSpaceDN w:val="0"/>
              <w:adjustRightInd w:val="0"/>
              <w:ind w:left="708"/>
              <w:rPr>
                <w:rFonts w:ascii="Times New Roman" w:hAnsi="Times New Roman" w:eastAsia="MS Mincho"/>
                <w:sz w:val="20"/>
                <w:szCs w:val="20"/>
                <w:lang w:eastAsia="en-GB"/>
              </w:rPr>
            </w:pPr>
            <w:r w:rsidRPr="00D43D39" w:rsidDel="00106D64">
              <w:rPr>
                <w:rFonts w:ascii="Times New Roman" w:hAnsi="Times New Roman" w:eastAsia="MS Mincho"/>
                <w:sz w:val="20"/>
                <w:szCs w:val="20"/>
                <w:lang w:eastAsia="en-GB"/>
              </w:rPr>
              <w:t>9.4 other</w:t>
            </w:r>
          </w:p>
          <w:p w:rsidRPr="00D43D39" w:rsidR="003433C6" w:rsidP="00513F58" w:rsidRDefault="003433C6" w14:paraId="7FEE22A7" w14:textId="77777777">
            <w:pPr>
              <w:autoSpaceDE w:val="0"/>
              <w:autoSpaceDN w:val="0"/>
              <w:adjustRightInd w:val="0"/>
              <w:ind w:left="708"/>
              <w:rPr>
                <w:rFonts w:ascii="Times New Roman" w:hAnsi="Times New Roman" w:eastAsia="MS Mincho"/>
                <w:sz w:val="20"/>
                <w:szCs w:val="20"/>
                <w:lang w:eastAsia="en-GB"/>
              </w:rPr>
            </w:pPr>
          </w:p>
          <w:p w:rsidRPr="00D43D39" w:rsidR="003433C6" w:rsidP="00513F58" w:rsidRDefault="003433C6" w14:paraId="6DB46DC1" w14:textId="77777777">
            <w:pPr>
              <w:autoSpaceDE w:val="0"/>
              <w:autoSpaceDN w:val="0"/>
              <w:adjustRightInd w:val="0"/>
              <w:rPr>
                <w:rFonts w:ascii="Times New Roman" w:hAnsi="Times New Roman" w:eastAsia="MS Mincho"/>
                <w:sz w:val="24"/>
                <w:szCs w:val="20"/>
                <w:lang w:eastAsia="en-GB"/>
              </w:rPr>
            </w:pPr>
            <w:r w:rsidRPr="00D43D39">
              <w:rPr>
                <w:rFonts w:ascii="Times New Roman" w:hAnsi="Times New Roman" w:eastAsia="MS Mincho"/>
                <w:sz w:val="20"/>
                <w:szCs w:val="20"/>
                <w:lang w:eastAsia="en-GB"/>
              </w:rPr>
              <w:t>10. Cash handling</w:t>
            </w:r>
            <w:r w:rsidRPr="00D43D39">
              <w:rPr>
                <w:rFonts w:ascii="Times New Roman" w:hAnsi="Times New Roman" w:eastAsia="MS Mincho"/>
                <w:sz w:val="24"/>
                <w:szCs w:val="20"/>
                <w:lang w:eastAsia="en-GB"/>
              </w:rPr>
              <w:t xml:space="preserve"> </w:t>
            </w:r>
          </w:p>
          <w:p w:rsidRPr="00D43D39" w:rsidR="003433C6" w:rsidP="00513F58" w:rsidRDefault="003433C6" w14:paraId="3DE38684" w14:textId="77777777">
            <w:pPr>
              <w:autoSpaceDE w:val="0"/>
              <w:autoSpaceDN w:val="0"/>
              <w:adjustRightInd w:val="0"/>
              <w:rPr>
                <w:rFonts w:ascii="Times New Roman" w:hAnsi="Times New Roman" w:eastAsia="MS Mincho"/>
                <w:sz w:val="24"/>
                <w:szCs w:val="20"/>
                <w:lang w:eastAsia="en-GB"/>
              </w:rPr>
            </w:pPr>
          </w:p>
          <w:p w:rsidRPr="00D43D39" w:rsidR="003433C6" w:rsidDel="00106D64" w:rsidP="00513F58" w:rsidRDefault="003433C6" w14:paraId="5CAC441A" w14:textId="77777777">
            <w:pPr>
              <w:autoSpaceDE w:val="0"/>
              <w:autoSpaceDN w:val="0"/>
              <w:adjustRightInd w:val="0"/>
              <w:rPr>
                <w:rFonts w:ascii="Times New Roman" w:hAnsi="Times New Roman" w:eastAsia="MS Mincho"/>
                <w:sz w:val="20"/>
                <w:lang w:eastAsia="en-GB"/>
              </w:rPr>
            </w:pPr>
            <w:r w:rsidRPr="00D43D39">
              <w:rPr>
                <w:rFonts w:ascii="Times New Roman" w:hAnsi="Times New Roman" w:eastAsia="MS Mincho"/>
                <w:sz w:val="20"/>
                <w:szCs w:val="20"/>
                <w:lang w:eastAsia="en-GB"/>
              </w:rPr>
              <w:t>11. Other</w:t>
            </w:r>
          </w:p>
          <w:p w:rsidRPr="00D43D39" w:rsidR="003433C6" w:rsidP="00513F58" w:rsidRDefault="003433C6" w14:paraId="09B182F0" w14:textId="77777777">
            <w:pPr>
              <w:spacing w:before="120" w:after="120" w:line="276" w:lineRule="auto"/>
              <w:rPr>
                <w:rFonts w:ascii="Times New Roman" w:hAnsi="Times New Roman"/>
                <w:sz w:val="20"/>
                <w:szCs w:val="20"/>
              </w:rPr>
            </w:pPr>
          </w:p>
        </w:tc>
      </w:tr>
      <w:tr w:rsidRPr="00D43D39" w:rsidR="003433C6" w:rsidTr="003433C6" w14:paraId="634898C7" w14:textId="77777777">
        <w:trPr>
          <w:trHeight w:val="450"/>
        </w:trPr>
        <w:tc>
          <w:tcPr>
            <w:tcW w:w="1418" w:type="dxa"/>
            <w:shd w:val="clear" w:color="auto" w:fill="FFFFFF"/>
          </w:tcPr>
          <w:p w:rsidRPr="00D43D39" w:rsidR="003433C6" w:rsidP="00513F58" w:rsidRDefault="003433C6" w14:paraId="5C242288" w14:textId="77777777">
            <w:pPr>
              <w:spacing w:before="120" w:after="120" w:line="276" w:lineRule="auto"/>
              <w:rPr>
                <w:rFonts w:ascii="Times New Roman" w:hAnsi="Times New Roman"/>
                <w:sz w:val="20"/>
                <w:szCs w:val="20"/>
              </w:rPr>
            </w:pPr>
            <w:r w:rsidRPr="00D43D39">
              <w:rPr>
                <w:rFonts w:ascii="Times New Roman" w:hAnsi="Times New Roman"/>
                <w:sz w:val="20"/>
                <w:szCs w:val="20"/>
              </w:rPr>
              <w:t>0020</w:t>
            </w:r>
          </w:p>
        </w:tc>
        <w:tc>
          <w:tcPr>
            <w:tcW w:w="7791" w:type="dxa"/>
            <w:shd w:val="clear" w:color="auto" w:fill="FFFFFF"/>
          </w:tcPr>
          <w:p w:rsidRPr="00D43D39" w:rsidR="003433C6" w:rsidP="00513F58" w:rsidRDefault="003433C6" w14:paraId="714DAB1F" w14:textId="77777777">
            <w:pPr>
              <w:spacing w:line="276" w:lineRule="auto"/>
              <w:jc w:val="both"/>
              <w:rPr>
                <w:rFonts w:ascii="Times New Roman" w:hAnsi="Times New Roman"/>
                <w:b/>
                <w:bCs/>
                <w:sz w:val="20"/>
                <w:szCs w:val="20"/>
              </w:rPr>
            </w:pPr>
            <w:r w:rsidRPr="00D43D39">
              <w:rPr>
                <w:rFonts w:ascii="Times New Roman" w:hAnsi="Times New Roman"/>
                <w:b/>
                <w:bCs/>
                <w:sz w:val="20"/>
                <w:szCs w:val="20"/>
              </w:rPr>
              <w:t xml:space="preserve">Unique service title as per bank taxonomy </w:t>
            </w:r>
          </w:p>
          <w:p w:rsidRPr="00D43D39" w:rsidR="003433C6" w:rsidP="00513F58" w:rsidRDefault="003433C6" w14:paraId="4BAABDCC" w14:textId="77777777">
            <w:pPr>
              <w:spacing w:line="276" w:lineRule="auto"/>
              <w:jc w:val="both"/>
              <w:rPr>
                <w:rFonts w:ascii="Times New Roman" w:hAnsi="Times New Roman"/>
                <w:sz w:val="20"/>
              </w:rPr>
            </w:pPr>
            <w:r w:rsidRPr="00D43D39">
              <w:rPr>
                <w:rFonts w:ascii="Times New Roman" w:hAnsi="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p>
          <w:p w:rsidRPr="00D43D39" w:rsidR="003433C6" w:rsidP="00513F58" w:rsidRDefault="003433C6" w14:paraId="7040068F" w14:textId="77777777">
            <w:pPr>
              <w:spacing w:before="120" w:after="120" w:line="276" w:lineRule="auto"/>
              <w:rPr>
                <w:rFonts w:ascii="Times New Roman" w:hAnsi="Times New Roman"/>
                <w:sz w:val="20"/>
                <w:szCs w:val="20"/>
              </w:rPr>
            </w:pPr>
          </w:p>
        </w:tc>
      </w:tr>
      <w:tr w:rsidRPr="00D43D39" w:rsidR="003433C6" w:rsidTr="003433C6" w14:paraId="5397E8D7" w14:textId="77777777">
        <w:trPr>
          <w:trHeight w:val="450"/>
        </w:trPr>
        <w:tc>
          <w:tcPr>
            <w:tcW w:w="1418" w:type="dxa"/>
            <w:shd w:val="clear" w:color="auto" w:fill="FFFFFF"/>
          </w:tcPr>
          <w:p w:rsidRPr="00D43D39" w:rsidR="003433C6" w:rsidP="00513F58" w:rsidRDefault="003433C6" w14:paraId="7319FBCE" w14:textId="77777777">
            <w:pPr>
              <w:spacing w:before="120" w:after="120" w:line="276" w:lineRule="auto"/>
              <w:rPr>
                <w:rFonts w:ascii="Times New Roman" w:hAnsi="Times New Roman"/>
                <w:sz w:val="20"/>
                <w:szCs w:val="20"/>
              </w:rPr>
            </w:pPr>
            <w:r w:rsidRPr="00D43D39">
              <w:rPr>
                <w:rFonts w:ascii="Times New Roman" w:hAnsi="Times New Roman"/>
                <w:sz w:val="20"/>
                <w:szCs w:val="20"/>
              </w:rPr>
              <w:t>0030</w:t>
            </w:r>
          </w:p>
        </w:tc>
        <w:tc>
          <w:tcPr>
            <w:tcW w:w="7791" w:type="dxa"/>
            <w:shd w:val="clear" w:color="auto" w:fill="FFFFFF"/>
          </w:tcPr>
          <w:p w:rsidRPr="00D43D39" w:rsidR="003433C6" w:rsidP="00513F58" w:rsidRDefault="003433C6" w14:paraId="46DE1528" w14:textId="77777777">
            <w:pPr>
              <w:spacing w:before="120" w:after="120" w:line="276" w:lineRule="auto"/>
              <w:rPr>
                <w:rFonts w:ascii="Times New Roman" w:hAnsi="Times New Roman"/>
                <w:b/>
                <w:bCs/>
                <w:sz w:val="20"/>
                <w:szCs w:val="20"/>
              </w:rPr>
            </w:pPr>
            <w:r w:rsidRPr="00D43D39">
              <w:rPr>
                <w:rFonts w:ascii="Times New Roman" w:hAnsi="Times New Roman"/>
                <w:b/>
                <w:bCs/>
                <w:sz w:val="20"/>
                <w:szCs w:val="20"/>
              </w:rPr>
              <w:t>Asset identifier</w:t>
            </w:r>
          </w:p>
          <w:p w:rsidRPr="00D43D39" w:rsidR="003433C6" w:rsidP="00513F58" w:rsidRDefault="003433C6" w14:paraId="50DE7B2B" w14:textId="4564FB20">
            <w:pPr>
              <w:spacing w:line="276" w:lineRule="auto"/>
              <w:jc w:val="both"/>
              <w:rPr>
                <w:rFonts w:ascii="Times New Roman" w:hAnsi="Times New Roman"/>
                <w:sz w:val="20"/>
              </w:rPr>
            </w:pPr>
            <w:r w:rsidRPr="00D43D39">
              <w:rPr>
                <w:rFonts w:ascii="Times New Roman" w:hAnsi="Times New Roman"/>
                <w:sz w:val="20"/>
              </w:rPr>
              <w:t>The asset identifier refer</w:t>
            </w:r>
            <w:r w:rsidR="002526C2">
              <w:rPr>
                <w:rFonts w:ascii="Times New Roman" w:hAnsi="Times New Roman"/>
                <w:sz w:val="20"/>
              </w:rPr>
              <w:t>s</w:t>
            </w:r>
            <w:r w:rsidRPr="00D43D39">
              <w:rPr>
                <w:rFonts w:ascii="Times New Roman" w:hAnsi="Times New Roman"/>
                <w:sz w:val="20"/>
              </w:rPr>
              <w:t xml:space="preserve"> to the asset reported under c0050.</w:t>
            </w:r>
          </w:p>
          <w:p w:rsidRPr="00D43D39" w:rsidR="003433C6" w:rsidP="00513F58" w:rsidRDefault="003433C6" w14:paraId="02280015" w14:textId="77777777">
            <w:pPr>
              <w:spacing w:before="120" w:after="120" w:line="276" w:lineRule="auto"/>
              <w:rPr>
                <w:rFonts w:ascii="Times New Roman" w:hAnsi="Times New Roman"/>
                <w:sz w:val="20"/>
                <w:szCs w:val="20"/>
              </w:rPr>
            </w:pPr>
          </w:p>
        </w:tc>
      </w:tr>
      <w:tr w:rsidRPr="00D43D39" w:rsidR="003433C6" w:rsidTr="003433C6" w14:paraId="39753A81" w14:textId="77777777">
        <w:trPr>
          <w:trHeight w:val="450"/>
        </w:trPr>
        <w:tc>
          <w:tcPr>
            <w:tcW w:w="1418" w:type="dxa"/>
            <w:shd w:val="clear" w:color="auto" w:fill="FFFFFF"/>
          </w:tcPr>
          <w:p w:rsidRPr="00D43D39" w:rsidR="003433C6" w:rsidP="00513F58" w:rsidRDefault="003433C6" w14:paraId="05CC5754" w14:textId="77777777">
            <w:pPr>
              <w:spacing w:before="120" w:after="120" w:line="276" w:lineRule="auto"/>
              <w:rPr>
                <w:rFonts w:ascii="Times New Roman" w:hAnsi="Times New Roman"/>
                <w:sz w:val="20"/>
                <w:szCs w:val="20"/>
              </w:rPr>
            </w:pPr>
            <w:r w:rsidRPr="00D43D39">
              <w:rPr>
                <w:rFonts w:ascii="Times New Roman" w:hAnsi="Times New Roman"/>
                <w:sz w:val="20"/>
                <w:szCs w:val="20"/>
              </w:rPr>
              <w:t>0040</w:t>
            </w:r>
          </w:p>
        </w:tc>
        <w:tc>
          <w:tcPr>
            <w:tcW w:w="7791" w:type="dxa"/>
            <w:shd w:val="clear" w:color="auto" w:fill="FFFFFF"/>
          </w:tcPr>
          <w:p w:rsidRPr="00D43D39" w:rsidR="003433C6" w:rsidP="00513F58" w:rsidRDefault="003433C6" w14:paraId="0B3EE61E" w14:textId="77777777">
            <w:pPr>
              <w:spacing w:line="276" w:lineRule="auto"/>
              <w:jc w:val="both"/>
              <w:rPr>
                <w:rFonts w:ascii="Times New Roman" w:hAnsi="Times New Roman"/>
                <w:sz w:val="20"/>
              </w:rPr>
            </w:pPr>
            <w:r w:rsidRPr="00D43D39">
              <w:rPr>
                <w:rFonts w:ascii="Times New Roman" w:hAnsi="Times New Roman"/>
                <w:b/>
                <w:bCs/>
                <w:sz w:val="20"/>
                <w:szCs w:val="20"/>
              </w:rPr>
              <w:t>Type of asset</w:t>
            </w:r>
            <w:r w:rsidRPr="00D43D39">
              <w:rPr>
                <w:rFonts w:ascii="Times New Roman" w:hAnsi="Times New Roman"/>
                <w:sz w:val="20"/>
              </w:rPr>
              <w:t xml:space="preserve"> </w:t>
            </w:r>
          </w:p>
          <w:p w:rsidRPr="00D43D39" w:rsidR="003433C6" w:rsidP="00513F58" w:rsidRDefault="003433C6" w14:paraId="070ED402" w14:textId="77777777">
            <w:pPr>
              <w:spacing w:line="276" w:lineRule="auto"/>
              <w:jc w:val="both"/>
              <w:rPr>
                <w:rFonts w:ascii="Times New Roman" w:hAnsi="Times New Roman"/>
                <w:sz w:val="20"/>
              </w:rPr>
            </w:pPr>
            <w:r w:rsidRPr="00D43D39">
              <w:rPr>
                <w:rFonts w:ascii="Times New Roman" w:hAnsi="Times New Roman"/>
                <w:sz w:val="20"/>
              </w:rPr>
              <w:t xml:space="preserve">- IT and communication hardware </w:t>
            </w:r>
          </w:p>
          <w:p w:rsidRPr="00D43D39" w:rsidR="003433C6" w:rsidP="00513F58" w:rsidRDefault="003433C6" w14:paraId="5EE812A9" w14:textId="77777777">
            <w:pPr>
              <w:spacing w:line="276" w:lineRule="auto"/>
              <w:rPr>
                <w:rFonts w:ascii="Times New Roman" w:hAnsi="Times New Roman"/>
                <w:sz w:val="20"/>
              </w:rPr>
            </w:pPr>
          </w:p>
          <w:p w:rsidRPr="00D43D39" w:rsidR="003433C6" w:rsidP="00513F58" w:rsidRDefault="003433C6" w14:paraId="0820D79B" w14:textId="77777777">
            <w:pPr>
              <w:spacing w:line="276" w:lineRule="auto"/>
              <w:rPr>
                <w:rFonts w:ascii="Times New Roman" w:hAnsi="Times New Roman"/>
                <w:sz w:val="20"/>
              </w:rPr>
            </w:pPr>
            <w:r w:rsidRPr="00D43D39">
              <w:rPr>
                <w:rFonts w:ascii="Times New Roman" w:hAnsi="Times New Roman"/>
                <w:sz w:val="20"/>
              </w:rPr>
              <w:t>- Other IT infrastructure (such as workstations, telecommunication, servers, data centres and related assets)</w:t>
            </w:r>
          </w:p>
          <w:p w:rsidRPr="00D43D39" w:rsidR="003433C6" w:rsidP="00513F58" w:rsidRDefault="003433C6" w14:paraId="6EFC1299" w14:textId="77777777">
            <w:pPr>
              <w:spacing w:line="276" w:lineRule="auto"/>
              <w:rPr>
                <w:rFonts w:ascii="Times New Roman" w:hAnsi="Times New Roman"/>
                <w:sz w:val="20"/>
              </w:rPr>
            </w:pPr>
          </w:p>
          <w:p w:rsidRPr="00D43D39" w:rsidR="003433C6" w:rsidP="00513F58" w:rsidRDefault="003433C6" w14:paraId="576267C0" w14:textId="77777777">
            <w:pPr>
              <w:spacing w:line="276" w:lineRule="auto"/>
              <w:rPr>
                <w:rFonts w:ascii="Times New Roman" w:hAnsi="Times New Roman"/>
                <w:sz w:val="20"/>
              </w:rPr>
            </w:pPr>
            <w:r w:rsidRPr="00D43D39">
              <w:rPr>
                <w:rFonts w:ascii="Times New Roman" w:hAnsi="Times New Roman"/>
                <w:sz w:val="20"/>
              </w:rPr>
              <w:t xml:space="preserve">- Premises and storage </w:t>
            </w:r>
          </w:p>
          <w:p w:rsidRPr="00D43D39" w:rsidR="003433C6" w:rsidP="00513F58" w:rsidRDefault="003433C6" w14:paraId="75330770" w14:textId="77777777">
            <w:pPr>
              <w:spacing w:line="276" w:lineRule="auto"/>
              <w:rPr>
                <w:rFonts w:ascii="Times New Roman" w:hAnsi="Times New Roman"/>
                <w:sz w:val="20"/>
              </w:rPr>
            </w:pPr>
          </w:p>
          <w:p w:rsidRPr="00D43D39" w:rsidR="003433C6" w:rsidP="00513F58" w:rsidRDefault="003433C6" w14:paraId="41B159F6" w14:textId="77777777">
            <w:pPr>
              <w:spacing w:line="276" w:lineRule="auto"/>
              <w:rPr>
                <w:rFonts w:ascii="Times New Roman" w:hAnsi="Times New Roman"/>
                <w:sz w:val="20"/>
              </w:rPr>
            </w:pPr>
            <w:r w:rsidRPr="00D43D39">
              <w:rPr>
                <w:rFonts w:ascii="Times New Roman" w:hAnsi="Times New Roman"/>
                <w:sz w:val="20"/>
              </w:rPr>
              <w:t>- Intellectual property (such as patents, trademarks, etc.)</w:t>
            </w:r>
          </w:p>
          <w:p w:rsidRPr="00D43D39" w:rsidR="003433C6" w:rsidP="00513F58" w:rsidRDefault="003433C6" w14:paraId="4BD4F906" w14:textId="77777777">
            <w:pPr>
              <w:spacing w:line="276" w:lineRule="auto"/>
              <w:rPr>
                <w:rFonts w:ascii="Times New Roman" w:hAnsi="Times New Roman"/>
                <w:sz w:val="20"/>
              </w:rPr>
            </w:pPr>
          </w:p>
          <w:p w:rsidRPr="00D43D39" w:rsidR="003433C6" w:rsidP="00513F58" w:rsidRDefault="003433C6" w14:paraId="44624009" w14:textId="77777777">
            <w:pPr>
              <w:spacing w:line="276" w:lineRule="auto"/>
              <w:jc w:val="both"/>
              <w:rPr>
                <w:rFonts w:ascii="Times New Roman" w:hAnsi="Times New Roman"/>
                <w:b/>
                <w:sz w:val="20"/>
              </w:rPr>
            </w:pPr>
            <w:r w:rsidRPr="00D43D39">
              <w:rPr>
                <w:rFonts w:ascii="Times New Roman" w:hAnsi="Times New Roman"/>
                <w:sz w:val="20"/>
                <w:szCs w:val="20"/>
              </w:rPr>
              <w:t>- Other</w:t>
            </w:r>
          </w:p>
          <w:p w:rsidRPr="00D43D39" w:rsidR="003433C6" w:rsidP="00513F58" w:rsidRDefault="003433C6" w14:paraId="023EACBB" w14:textId="11A5E2D2">
            <w:pPr>
              <w:spacing w:line="276" w:lineRule="auto"/>
              <w:jc w:val="both"/>
              <w:rPr>
                <w:rFonts w:ascii="Times New Roman" w:hAnsi="Times New Roman"/>
                <w:sz w:val="20"/>
              </w:rPr>
            </w:pPr>
          </w:p>
        </w:tc>
      </w:tr>
      <w:tr w:rsidRPr="00D43D39" w:rsidR="003433C6" w:rsidTr="003433C6" w14:paraId="48237719" w14:textId="77777777">
        <w:trPr>
          <w:trHeight w:val="450"/>
        </w:trPr>
        <w:tc>
          <w:tcPr>
            <w:tcW w:w="1418" w:type="dxa"/>
            <w:shd w:val="clear" w:color="auto" w:fill="FFFFFF"/>
          </w:tcPr>
          <w:p w:rsidRPr="00D43D39" w:rsidR="003433C6" w:rsidP="00513F58" w:rsidRDefault="003433C6" w14:paraId="61524606" w14:textId="77777777">
            <w:pPr>
              <w:spacing w:before="120" w:after="120" w:line="276" w:lineRule="auto"/>
              <w:rPr>
                <w:rFonts w:ascii="Times New Roman" w:hAnsi="Times New Roman"/>
                <w:sz w:val="20"/>
                <w:szCs w:val="20"/>
              </w:rPr>
            </w:pPr>
            <w:r w:rsidRPr="00D43D39">
              <w:rPr>
                <w:rFonts w:ascii="Times New Roman" w:hAnsi="Times New Roman"/>
                <w:sz w:val="20"/>
                <w:szCs w:val="20"/>
              </w:rPr>
              <w:t>0050</w:t>
            </w:r>
          </w:p>
        </w:tc>
        <w:tc>
          <w:tcPr>
            <w:tcW w:w="7791" w:type="dxa"/>
            <w:shd w:val="clear" w:color="auto" w:fill="FFFFFF"/>
          </w:tcPr>
          <w:p w:rsidRPr="00D43D39" w:rsidR="003433C6" w:rsidP="00513F58" w:rsidRDefault="003433C6" w14:paraId="2C5538E3" w14:textId="77777777">
            <w:pPr>
              <w:spacing w:line="276" w:lineRule="auto"/>
              <w:jc w:val="both"/>
              <w:rPr>
                <w:rFonts w:ascii="Times New Roman" w:hAnsi="Times New Roman"/>
                <w:sz w:val="20"/>
              </w:rPr>
            </w:pPr>
            <w:r w:rsidRPr="00D43D39">
              <w:rPr>
                <w:rFonts w:ascii="Times New Roman" w:hAnsi="Times New Roman"/>
                <w:b/>
                <w:bCs/>
                <w:sz w:val="20"/>
                <w:szCs w:val="20"/>
              </w:rPr>
              <w:t xml:space="preserve">Name of asset </w:t>
            </w:r>
          </w:p>
          <w:p w:rsidRPr="00D43D39" w:rsidR="003433C6" w:rsidP="00513F58" w:rsidRDefault="003433C6" w14:paraId="5C7414BC" w14:textId="77777777">
            <w:pPr>
              <w:spacing w:line="276" w:lineRule="auto"/>
              <w:jc w:val="both"/>
              <w:rPr>
                <w:rFonts w:ascii="Times New Roman" w:hAnsi="Times New Roman"/>
                <w:sz w:val="20"/>
              </w:rPr>
            </w:pPr>
            <w:r w:rsidRPr="00D43D39">
              <w:rPr>
                <w:rFonts w:ascii="Times New Roman" w:hAnsi="Times New Roman"/>
                <w:sz w:val="20"/>
              </w:rPr>
              <w:t>Commercial or internal name of the asset.</w:t>
            </w:r>
          </w:p>
          <w:p w:rsidRPr="00D43D39" w:rsidR="003433C6" w:rsidP="00513F58" w:rsidRDefault="003433C6" w14:paraId="6C4C59F2" w14:textId="77777777">
            <w:pPr>
              <w:spacing w:line="276" w:lineRule="auto"/>
              <w:jc w:val="both"/>
              <w:rPr>
                <w:rFonts w:ascii="Times New Roman" w:hAnsi="Times New Roman"/>
                <w:sz w:val="20"/>
              </w:rPr>
            </w:pPr>
          </w:p>
        </w:tc>
      </w:tr>
      <w:tr w:rsidRPr="00D43D39" w:rsidR="003433C6" w:rsidTr="003433C6" w14:paraId="495D8500" w14:textId="77777777">
        <w:trPr>
          <w:trHeight w:val="450"/>
        </w:trPr>
        <w:tc>
          <w:tcPr>
            <w:tcW w:w="1418" w:type="dxa"/>
            <w:shd w:val="clear" w:color="auto" w:fill="FFFFFF"/>
          </w:tcPr>
          <w:p w:rsidRPr="00D43D39" w:rsidR="003433C6" w:rsidP="00513F58" w:rsidRDefault="003433C6" w14:paraId="139CE05D" w14:textId="77777777">
            <w:pPr>
              <w:spacing w:before="120" w:after="120" w:line="276" w:lineRule="auto"/>
              <w:rPr>
                <w:rFonts w:ascii="Times New Roman" w:hAnsi="Times New Roman"/>
                <w:sz w:val="20"/>
                <w:szCs w:val="20"/>
              </w:rPr>
            </w:pPr>
            <w:r w:rsidRPr="00D43D39">
              <w:rPr>
                <w:rFonts w:ascii="Times New Roman" w:hAnsi="Times New Roman"/>
                <w:sz w:val="20"/>
                <w:szCs w:val="20"/>
              </w:rPr>
              <w:t>0060</w:t>
            </w:r>
          </w:p>
        </w:tc>
        <w:tc>
          <w:tcPr>
            <w:tcW w:w="7791" w:type="dxa"/>
            <w:shd w:val="clear" w:color="auto" w:fill="FFFFFF"/>
          </w:tcPr>
          <w:p w:rsidRPr="00D43D39" w:rsidR="003433C6" w:rsidP="00513F58" w:rsidRDefault="003433C6" w14:paraId="045800F1" w14:textId="77777777">
            <w:pPr>
              <w:spacing w:line="276" w:lineRule="auto"/>
              <w:jc w:val="both"/>
              <w:rPr>
                <w:rFonts w:ascii="Times New Roman" w:hAnsi="Times New Roman"/>
                <w:iCs/>
                <w:sz w:val="20"/>
              </w:rPr>
            </w:pPr>
            <w:r w:rsidRPr="00D43D39">
              <w:rPr>
                <w:rFonts w:ascii="Times New Roman" w:hAnsi="Times New Roman"/>
                <w:b/>
                <w:bCs/>
                <w:sz w:val="20"/>
                <w:szCs w:val="20"/>
              </w:rPr>
              <w:t>Criticality</w:t>
            </w:r>
            <w:r w:rsidRPr="00D43D39">
              <w:rPr>
                <w:rFonts w:ascii="Times New Roman" w:hAnsi="Times New Roman"/>
                <w:b/>
                <w:bCs/>
                <w:iCs/>
                <w:sz w:val="20"/>
              </w:rPr>
              <w:t xml:space="preserve"> </w:t>
            </w:r>
          </w:p>
          <w:p w:rsidRPr="00D43D39" w:rsidR="003433C6" w:rsidP="00513F58" w:rsidRDefault="003433C6" w14:paraId="3F28D705" w14:textId="77777777">
            <w:pPr>
              <w:spacing w:line="276" w:lineRule="auto"/>
              <w:jc w:val="both"/>
              <w:rPr>
                <w:rFonts w:ascii="Times New Roman" w:hAnsi="Times New Roman"/>
                <w:iCs/>
                <w:sz w:val="20"/>
              </w:rPr>
            </w:pPr>
            <w:r w:rsidRPr="00D43D39">
              <w:rPr>
                <w:rFonts w:ascii="Times New Roman" w:hAnsi="Times New Roman"/>
                <w:iCs/>
                <w:sz w:val="20"/>
              </w:rPr>
              <w:t>Report one of the following values:</w:t>
            </w:r>
          </w:p>
          <w:p w:rsidRPr="00D43D39" w:rsidR="003433C6" w:rsidP="00513F58" w:rsidRDefault="003433C6" w14:paraId="1CCDC0DF" w14:textId="77777777">
            <w:pPr>
              <w:pStyle w:val="ListParagraph"/>
              <w:numPr>
                <w:ilvl w:val="0"/>
                <w:numId w:val="236"/>
              </w:numPr>
              <w:spacing w:line="276" w:lineRule="auto"/>
              <w:contextualSpacing/>
              <w:jc w:val="both"/>
              <w:rPr>
                <w:rFonts w:ascii="Times New Roman" w:hAnsi="Times New Roman"/>
                <w:iCs/>
                <w:sz w:val="20"/>
              </w:rPr>
            </w:pPr>
            <w:r w:rsidRPr="00D43D39">
              <w:rPr>
                <w:rFonts w:ascii="Times New Roman" w:hAnsi="Times New Roman"/>
                <w:iCs/>
                <w:sz w:val="20"/>
              </w:rPr>
              <w:t>Critical: if the service is necessary for the performance of one or more critical functions, whose discontinuity would seriously impede or prevent the performance of those critical functions.</w:t>
            </w:r>
          </w:p>
          <w:p w:rsidRPr="00D43D39" w:rsidR="003433C6" w:rsidP="00513F58" w:rsidRDefault="003433C6" w14:paraId="1C6CEDA0" w14:textId="77777777">
            <w:pPr>
              <w:pStyle w:val="ListParagraph"/>
              <w:numPr>
                <w:ilvl w:val="0"/>
                <w:numId w:val="236"/>
              </w:numPr>
              <w:spacing w:line="276" w:lineRule="auto"/>
              <w:contextualSpacing/>
              <w:jc w:val="both"/>
              <w:rPr>
                <w:rFonts w:ascii="Times New Roman" w:hAnsi="Times New Roman"/>
                <w:iCs/>
                <w:sz w:val="20"/>
              </w:rPr>
            </w:pPr>
            <w:r w:rsidRPr="00D43D39">
              <w:rPr>
                <w:rFonts w:ascii="Times New Roman" w:hAnsi="Times New Roman"/>
                <w:iCs/>
                <w:sz w:val="20"/>
              </w:rPr>
              <w:t>Essential: if the service is associated with core business lines, whose continuity is necessary for the effective execution of the resolution strategy and any consequent restructuring.</w:t>
            </w:r>
          </w:p>
          <w:p w:rsidRPr="00D43D39" w:rsidR="003433C6" w:rsidP="00513F58" w:rsidRDefault="003433C6" w14:paraId="19E4D8F6" w14:textId="77777777">
            <w:pPr>
              <w:pStyle w:val="ListParagraph"/>
              <w:numPr>
                <w:ilvl w:val="0"/>
                <w:numId w:val="236"/>
              </w:numPr>
              <w:spacing w:line="276" w:lineRule="auto"/>
              <w:contextualSpacing/>
              <w:jc w:val="both"/>
              <w:rPr>
                <w:rFonts w:ascii="Times New Roman" w:hAnsi="Times New Roman"/>
                <w:iCs/>
                <w:sz w:val="20"/>
              </w:rPr>
            </w:pPr>
            <w:r w:rsidRPr="00D43D39">
              <w:rPr>
                <w:rFonts w:ascii="Times New Roman" w:hAnsi="Times New Roman"/>
                <w:iCs/>
                <w:sz w:val="20"/>
              </w:rPr>
              <w:t>Both</w:t>
            </w:r>
          </w:p>
          <w:p w:rsidRPr="00D43D39" w:rsidR="003433C6" w:rsidP="00513F58" w:rsidRDefault="003433C6" w14:paraId="7B6413EE" w14:textId="77777777">
            <w:pPr>
              <w:spacing w:line="276" w:lineRule="auto"/>
              <w:jc w:val="both"/>
              <w:rPr>
                <w:rFonts w:ascii="Times New Roman" w:hAnsi="Times New Roman"/>
                <w:sz w:val="20"/>
              </w:rPr>
            </w:pPr>
          </w:p>
        </w:tc>
      </w:tr>
      <w:tr w:rsidRPr="00D43D39" w:rsidR="003433C6" w:rsidTr="003433C6" w14:paraId="4C4607B7" w14:textId="77777777">
        <w:trPr>
          <w:trHeight w:val="450"/>
        </w:trPr>
        <w:tc>
          <w:tcPr>
            <w:tcW w:w="1418" w:type="dxa"/>
            <w:shd w:val="clear" w:color="auto" w:fill="FFFFFF"/>
          </w:tcPr>
          <w:p w:rsidRPr="00D43D39" w:rsidR="003433C6" w:rsidP="00513F58" w:rsidRDefault="003433C6" w14:paraId="23C42E70" w14:textId="77777777">
            <w:pPr>
              <w:spacing w:before="120" w:after="120" w:line="276" w:lineRule="auto"/>
              <w:rPr>
                <w:rFonts w:ascii="Times New Roman" w:hAnsi="Times New Roman"/>
                <w:sz w:val="20"/>
                <w:szCs w:val="20"/>
              </w:rPr>
            </w:pPr>
            <w:r w:rsidRPr="00D43D39">
              <w:rPr>
                <w:rFonts w:ascii="Times New Roman" w:hAnsi="Times New Roman"/>
                <w:sz w:val="20"/>
                <w:szCs w:val="20"/>
              </w:rPr>
              <w:t>0070</w:t>
            </w:r>
          </w:p>
        </w:tc>
        <w:tc>
          <w:tcPr>
            <w:tcW w:w="7791" w:type="dxa"/>
            <w:shd w:val="clear" w:color="auto" w:fill="FFFFFF"/>
          </w:tcPr>
          <w:p w:rsidRPr="00D43D39" w:rsidR="003433C6" w:rsidP="00513F58" w:rsidRDefault="003433C6" w14:paraId="38364592" w14:textId="77777777">
            <w:pPr>
              <w:spacing w:line="276" w:lineRule="auto"/>
              <w:jc w:val="both"/>
              <w:rPr>
                <w:rFonts w:ascii="Times New Roman" w:hAnsi="Times New Roman"/>
                <w:iCs/>
                <w:sz w:val="20"/>
              </w:rPr>
            </w:pPr>
            <w:r w:rsidRPr="00D43D39">
              <w:rPr>
                <w:rFonts w:ascii="Times New Roman" w:hAnsi="Times New Roman"/>
                <w:b/>
                <w:bCs/>
                <w:sz w:val="20"/>
                <w:szCs w:val="20"/>
              </w:rPr>
              <w:t>Legal /contract type</w:t>
            </w:r>
            <w:r w:rsidRPr="00D43D39">
              <w:rPr>
                <w:rFonts w:ascii="Times New Roman" w:hAnsi="Times New Roman"/>
                <w:iCs/>
                <w:sz w:val="20"/>
              </w:rPr>
              <w:t xml:space="preserve"> </w:t>
            </w:r>
          </w:p>
          <w:p w:rsidRPr="00D43D39" w:rsidR="003433C6" w:rsidP="00513F58" w:rsidRDefault="003433C6" w14:paraId="1517C570" w14:textId="77777777">
            <w:pPr>
              <w:spacing w:line="276" w:lineRule="auto"/>
              <w:jc w:val="both"/>
              <w:rPr>
                <w:rFonts w:ascii="Times New Roman" w:hAnsi="Times New Roman"/>
                <w:iCs/>
                <w:sz w:val="20"/>
              </w:rPr>
            </w:pPr>
            <w:r w:rsidRPr="00D43D39">
              <w:rPr>
                <w:rFonts w:ascii="Times New Roman" w:hAnsi="Times New Roman"/>
                <w:iCs/>
                <w:sz w:val="20"/>
              </w:rPr>
              <w:t>Report one of the following values:</w:t>
            </w:r>
          </w:p>
          <w:p w:rsidRPr="00D43D39" w:rsidR="003433C6" w:rsidP="00513F58" w:rsidRDefault="003433C6" w14:paraId="4BFE1388" w14:textId="77777777">
            <w:pPr>
              <w:numPr>
                <w:ilvl w:val="0"/>
                <w:numId w:val="236"/>
              </w:numPr>
              <w:contextualSpacing/>
              <w:jc w:val="both"/>
              <w:rPr>
                <w:rFonts w:ascii="Times New Roman" w:hAnsi="Times New Roman" w:eastAsia="MS Mincho"/>
                <w:sz w:val="20"/>
              </w:rPr>
            </w:pPr>
            <w:r w:rsidRPr="00D43D39">
              <w:rPr>
                <w:rFonts w:ascii="Times New Roman" w:hAnsi="Times New Roman" w:eastAsia="MS Mincho"/>
                <w:sz w:val="20"/>
              </w:rPr>
              <w:t>Owned</w:t>
            </w:r>
          </w:p>
          <w:p w:rsidRPr="00D43D39" w:rsidR="003433C6" w:rsidP="00513F58" w:rsidRDefault="003433C6" w14:paraId="6D402AEF" w14:textId="77777777">
            <w:pPr>
              <w:numPr>
                <w:ilvl w:val="0"/>
                <w:numId w:val="236"/>
              </w:numPr>
              <w:contextualSpacing/>
              <w:jc w:val="both"/>
              <w:rPr>
                <w:rFonts w:ascii="Times New Roman" w:hAnsi="Times New Roman" w:eastAsia="MS Mincho"/>
                <w:sz w:val="20"/>
              </w:rPr>
            </w:pPr>
            <w:r w:rsidRPr="00D43D39">
              <w:rPr>
                <w:rFonts w:ascii="Times New Roman" w:hAnsi="Times New Roman" w:eastAsia="MS Mincho"/>
                <w:sz w:val="20"/>
              </w:rPr>
              <w:t>Leased</w:t>
            </w:r>
          </w:p>
          <w:p w:rsidRPr="00D43D39" w:rsidR="003433C6" w:rsidP="00513F58" w:rsidRDefault="003433C6" w14:paraId="51BC0D8E" w14:textId="77777777">
            <w:pPr>
              <w:numPr>
                <w:ilvl w:val="0"/>
                <w:numId w:val="236"/>
              </w:numPr>
              <w:contextualSpacing/>
              <w:jc w:val="both"/>
              <w:rPr>
                <w:rFonts w:ascii="Times New Roman" w:hAnsi="Times New Roman" w:eastAsia="MS Mincho"/>
                <w:sz w:val="20"/>
              </w:rPr>
            </w:pPr>
            <w:r w:rsidRPr="00D43D39">
              <w:rPr>
                <w:rFonts w:ascii="Times New Roman" w:hAnsi="Times New Roman" w:eastAsia="MS Mincho"/>
                <w:sz w:val="20"/>
              </w:rPr>
              <w:t>Licensed</w:t>
            </w:r>
          </w:p>
          <w:p w:rsidRPr="00D43D39" w:rsidR="003433C6" w:rsidP="00513F58" w:rsidRDefault="003433C6" w14:paraId="3660EECE" w14:textId="77777777">
            <w:pPr>
              <w:numPr>
                <w:ilvl w:val="0"/>
                <w:numId w:val="236"/>
              </w:numPr>
              <w:contextualSpacing/>
              <w:jc w:val="both"/>
              <w:rPr>
                <w:rFonts w:ascii="Times New Roman" w:hAnsi="Times New Roman" w:eastAsia="MS Mincho"/>
                <w:sz w:val="20"/>
              </w:rPr>
            </w:pPr>
            <w:r w:rsidRPr="00D43D39">
              <w:rPr>
                <w:rFonts w:ascii="Times New Roman" w:hAnsi="Times New Roman" w:eastAsia="MS Mincho"/>
                <w:sz w:val="20"/>
              </w:rPr>
              <w:t>Other</w:t>
            </w:r>
          </w:p>
          <w:p w:rsidRPr="00D43D39" w:rsidR="003433C6" w:rsidP="00513F58" w:rsidRDefault="003433C6" w14:paraId="3FB63618" w14:textId="77777777">
            <w:pPr>
              <w:spacing w:line="276" w:lineRule="auto"/>
              <w:jc w:val="both"/>
              <w:rPr>
                <w:rFonts w:ascii="Times New Roman" w:hAnsi="Times New Roman"/>
                <w:sz w:val="20"/>
              </w:rPr>
            </w:pPr>
          </w:p>
        </w:tc>
      </w:tr>
      <w:tr w:rsidRPr="00D43D39" w:rsidR="003433C6" w:rsidTr="003433C6" w14:paraId="5ED943FC" w14:textId="77777777">
        <w:trPr>
          <w:trHeight w:val="450"/>
        </w:trPr>
        <w:tc>
          <w:tcPr>
            <w:tcW w:w="1418" w:type="dxa"/>
            <w:shd w:val="clear" w:color="auto" w:fill="FFFFFF"/>
          </w:tcPr>
          <w:p w:rsidRPr="00D43D39" w:rsidR="003433C6" w:rsidP="00513F58" w:rsidRDefault="003433C6" w14:paraId="35A2DEE2" w14:textId="77777777">
            <w:pPr>
              <w:spacing w:before="120" w:after="120" w:line="276" w:lineRule="auto"/>
              <w:rPr>
                <w:rFonts w:ascii="Times New Roman" w:hAnsi="Times New Roman"/>
                <w:sz w:val="20"/>
                <w:szCs w:val="20"/>
              </w:rPr>
            </w:pPr>
            <w:r w:rsidRPr="00D43D39">
              <w:rPr>
                <w:rFonts w:ascii="Times New Roman" w:hAnsi="Times New Roman"/>
                <w:sz w:val="20"/>
                <w:szCs w:val="20"/>
              </w:rPr>
              <w:t>0080</w:t>
            </w:r>
          </w:p>
        </w:tc>
        <w:tc>
          <w:tcPr>
            <w:tcW w:w="7791" w:type="dxa"/>
            <w:shd w:val="clear" w:color="auto" w:fill="FFFFFF"/>
          </w:tcPr>
          <w:p w:rsidRPr="00D43D39" w:rsidR="003433C6" w:rsidP="00513F58" w:rsidRDefault="003433C6" w14:paraId="444D510E" w14:textId="77777777">
            <w:pPr>
              <w:spacing w:before="120" w:after="120" w:line="276" w:lineRule="auto"/>
              <w:rPr>
                <w:rFonts w:ascii="Times New Roman" w:hAnsi="Times New Roman"/>
                <w:b/>
                <w:bCs/>
                <w:sz w:val="20"/>
                <w:szCs w:val="20"/>
              </w:rPr>
            </w:pPr>
            <w:r w:rsidRPr="00D43D39">
              <w:rPr>
                <w:rFonts w:ascii="Times New Roman" w:hAnsi="Times New Roman"/>
                <w:b/>
                <w:bCs/>
                <w:sz w:val="20"/>
                <w:szCs w:val="20"/>
              </w:rPr>
              <w:t>Contract ID</w:t>
            </w:r>
          </w:p>
          <w:p w:rsidRPr="00D43D39" w:rsidR="003433C6" w:rsidP="00513F58" w:rsidRDefault="003433C6" w14:paraId="652B4E77" w14:textId="77777777">
            <w:pPr>
              <w:spacing w:line="276" w:lineRule="auto"/>
              <w:jc w:val="both"/>
              <w:rPr>
                <w:rFonts w:ascii="Times New Roman" w:hAnsi="Times New Roman"/>
                <w:i/>
                <w:sz w:val="20"/>
              </w:rPr>
            </w:pPr>
            <w:r w:rsidRPr="00D43D39">
              <w:rPr>
                <w:rFonts w:ascii="Times New Roman" w:hAnsi="Times New Roman"/>
                <w:sz w:val="20"/>
              </w:rPr>
              <w:t>Contract unique identifier of the contract underpinning the asset as per group’s service taxonomy.</w:t>
            </w:r>
          </w:p>
          <w:p w:rsidRPr="00D43D39" w:rsidR="003433C6" w:rsidP="00513F58" w:rsidRDefault="003433C6" w14:paraId="496E16E7" w14:textId="77777777">
            <w:pPr>
              <w:spacing w:line="276" w:lineRule="auto"/>
              <w:jc w:val="both"/>
              <w:rPr>
                <w:rFonts w:ascii="Times New Roman" w:hAnsi="Times New Roman"/>
                <w:i/>
                <w:sz w:val="20"/>
              </w:rPr>
            </w:pPr>
          </w:p>
          <w:p w:rsidRPr="00D43D39" w:rsidR="003433C6" w:rsidP="00513F58" w:rsidRDefault="003433C6" w14:paraId="1F71766F" w14:textId="23FB4BE9">
            <w:pPr>
              <w:spacing w:line="276" w:lineRule="auto"/>
              <w:jc w:val="both"/>
              <w:rPr>
                <w:rFonts w:ascii="Times New Roman" w:hAnsi="Times New Roman"/>
                <w:iCs/>
                <w:sz w:val="20"/>
              </w:rPr>
            </w:pPr>
          </w:p>
        </w:tc>
      </w:tr>
      <w:tr w:rsidRPr="00D43D39" w:rsidR="003433C6" w:rsidTr="003433C6" w14:paraId="0719E9A9" w14:textId="77777777">
        <w:trPr>
          <w:trHeight w:val="450"/>
        </w:trPr>
        <w:tc>
          <w:tcPr>
            <w:tcW w:w="1418" w:type="dxa"/>
            <w:shd w:val="clear" w:color="auto" w:fill="FFFFFF"/>
          </w:tcPr>
          <w:p w:rsidRPr="00D43D39" w:rsidR="003433C6" w:rsidP="00513F58" w:rsidRDefault="003433C6" w14:paraId="5011F536" w14:textId="77777777">
            <w:pPr>
              <w:spacing w:before="120" w:after="120" w:line="276" w:lineRule="auto"/>
              <w:rPr>
                <w:rFonts w:ascii="Times New Roman" w:hAnsi="Times New Roman"/>
                <w:sz w:val="20"/>
                <w:szCs w:val="20"/>
              </w:rPr>
            </w:pPr>
            <w:r w:rsidRPr="00D43D39">
              <w:rPr>
                <w:rFonts w:ascii="Times New Roman" w:hAnsi="Times New Roman"/>
                <w:sz w:val="20"/>
                <w:szCs w:val="20"/>
              </w:rPr>
              <w:t>0090</w:t>
            </w:r>
          </w:p>
        </w:tc>
        <w:tc>
          <w:tcPr>
            <w:tcW w:w="7791" w:type="dxa"/>
            <w:shd w:val="clear" w:color="auto" w:fill="FFFFFF"/>
          </w:tcPr>
          <w:p w:rsidRPr="00D43D39" w:rsidR="003433C6" w:rsidP="00513F58" w:rsidRDefault="003433C6" w14:paraId="5BF8EA36" w14:textId="77777777">
            <w:pPr>
              <w:spacing w:line="276" w:lineRule="auto"/>
              <w:jc w:val="both"/>
              <w:rPr>
                <w:rFonts w:ascii="Times New Roman" w:hAnsi="Times New Roman"/>
                <w:sz w:val="20"/>
              </w:rPr>
            </w:pPr>
            <w:r w:rsidRPr="00D43D39">
              <w:rPr>
                <w:rFonts w:ascii="Times New Roman" w:hAnsi="Times New Roman"/>
                <w:b/>
                <w:bCs/>
                <w:sz w:val="20"/>
                <w:szCs w:val="20"/>
              </w:rPr>
              <w:t>Governing law</w:t>
            </w:r>
            <w:r w:rsidRPr="00D43D39">
              <w:rPr>
                <w:rFonts w:ascii="Times New Roman" w:hAnsi="Times New Roman"/>
                <w:b/>
                <w:bCs/>
                <w:sz w:val="20"/>
              </w:rPr>
              <w:t xml:space="preserve"> </w:t>
            </w:r>
          </w:p>
          <w:p w:rsidRPr="00D43D39" w:rsidR="003433C6" w:rsidP="00513F58" w:rsidRDefault="003433C6" w14:paraId="773E1266" w14:textId="77777777">
            <w:pPr>
              <w:spacing w:line="276" w:lineRule="auto"/>
              <w:jc w:val="both"/>
              <w:rPr>
                <w:rFonts w:ascii="Times New Roman" w:hAnsi="Times New Roman"/>
                <w:sz w:val="20"/>
              </w:rPr>
            </w:pPr>
            <w:r w:rsidRPr="00D43D39">
              <w:rPr>
                <w:rFonts w:ascii="Times New Roman" w:hAnsi="Times New Roman"/>
                <w:sz w:val="20"/>
              </w:rPr>
              <w:t>ISO code of the country code the law of which governs the contract.</w:t>
            </w:r>
          </w:p>
          <w:p w:rsidRPr="00D43D39" w:rsidR="003433C6" w:rsidP="00513F58" w:rsidRDefault="003433C6" w14:paraId="2354CBC4" w14:textId="77777777">
            <w:pPr>
              <w:spacing w:line="276" w:lineRule="auto"/>
              <w:jc w:val="both"/>
              <w:rPr>
                <w:rFonts w:ascii="Times New Roman" w:hAnsi="Times New Roman"/>
                <w:iCs/>
                <w:sz w:val="20"/>
              </w:rPr>
            </w:pPr>
          </w:p>
        </w:tc>
      </w:tr>
      <w:tr w:rsidRPr="00D43D39" w:rsidR="003433C6" w:rsidTr="003433C6" w14:paraId="490C13D0" w14:textId="77777777">
        <w:trPr>
          <w:trHeight w:val="463"/>
        </w:trPr>
        <w:tc>
          <w:tcPr>
            <w:tcW w:w="1418" w:type="dxa"/>
            <w:shd w:val="clear" w:color="auto" w:fill="FFFFFF"/>
          </w:tcPr>
          <w:p w:rsidRPr="00D43D39" w:rsidR="003433C6" w:rsidP="00513F58" w:rsidRDefault="003433C6" w14:paraId="0825A881" w14:textId="77777777">
            <w:pPr>
              <w:spacing w:line="276" w:lineRule="auto"/>
              <w:jc w:val="both"/>
              <w:rPr>
                <w:rFonts w:ascii="Times New Roman" w:hAnsi="Times New Roman"/>
                <w:sz w:val="20"/>
              </w:rPr>
            </w:pPr>
            <w:r w:rsidRPr="00D43D39">
              <w:rPr>
                <w:rFonts w:ascii="Times New Roman" w:hAnsi="Times New Roman"/>
                <w:sz w:val="20"/>
              </w:rPr>
              <w:t>0100-0120</w:t>
            </w:r>
          </w:p>
          <w:p w:rsidRPr="00D43D39" w:rsidR="003433C6" w:rsidP="00513F58" w:rsidRDefault="003433C6" w14:paraId="27BE0181" w14:textId="77777777">
            <w:pPr>
              <w:spacing w:before="120" w:after="120" w:line="276" w:lineRule="auto"/>
              <w:rPr>
                <w:rFonts w:ascii="Times New Roman" w:hAnsi="Times New Roman"/>
                <w:sz w:val="20"/>
                <w:szCs w:val="20"/>
              </w:rPr>
            </w:pPr>
          </w:p>
        </w:tc>
        <w:tc>
          <w:tcPr>
            <w:tcW w:w="7791" w:type="dxa"/>
            <w:shd w:val="clear" w:color="auto" w:fill="FFFFFF"/>
          </w:tcPr>
          <w:p w:rsidRPr="00D43D39" w:rsidR="003433C6" w:rsidP="00513F58" w:rsidRDefault="003433C6" w14:paraId="3F4C84E2" w14:textId="77777777">
            <w:pPr>
              <w:spacing w:before="120" w:after="120" w:line="276" w:lineRule="auto"/>
              <w:rPr>
                <w:rFonts w:ascii="Times New Roman" w:hAnsi="Times New Roman"/>
                <w:b/>
                <w:bCs/>
                <w:iCs/>
                <w:sz w:val="20"/>
              </w:rPr>
            </w:pPr>
            <w:r w:rsidRPr="00D43D39">
              <w:rPr>
                <w:rFonts w:ascii="Times New Roman" w:hAnsi="Times New Roman"/>
                <w:b/>
                <w:bCs/>
                <w:sz w:val="20"/>
                <w:szCs w:val="20"/>
              </w:rPr>
              <w:t xml:space="preserve">Resolution resilience </w:t>
            </w:r>
          </w:p>
          <w:p w:rsidRPr="00D43D39" w:rsidR="003433C6" w:rsidP="00513F58" w:rsidRDefault="003433C6" w14:paraId="7592B5D4" w14:textId="67F9659C">
            <w:pPr>
              <w:pStyle w:val="NormalWeb"/>
              <w:spacing w:before="0" w:beforeAutospacing="0" w:after="0" w:afterAutospacing="0"/>
              <w:rPr>
                <w:rFonts w:eastAsia="Calibri"/>
                <w:iCs/>
                <w:sz w:val="20"/>
                <w:szCs w:val="20"/>
                <w:lang w:eastAsia="en-US"/>
              </w:rPr>
            </w:pPr>
            <w:r w:rsidRPr="00D43D39">
              <w:rPr>
                <w:rFonts w:eastAsia="Calibri"/>
                <w:iCs/>
                <w:sz w:val="20"/>
                <w:szCs w:val="20"/>
                <w:lang w:eastAsia="en-US"/>
              </w:rPr>
              <w:t xml:space="preserve">The assessment whether the contract supporting the asset reported in column 0030 could be continued and transferred during the implementation of the resolution strategy, including the business reorganisation plan, </w:t>
            </w:r>
            <w:r w:rsidRPr="00D43D39">
              <w:rPr>
                <w:rFonts w:eastAsia="Calibri"/>
                <w:iCs/>
                <w:sz w:val="20"/>
              </w:rPr>
              <w:t>in line with</w:t>
            </w:r>
            <w:r w:rsidR="002C1C19">
              <w:rPr>
                <w:rFonts w:eastAsia="Calibri"/>
                <w:iCs/>
                <w:sz w:val="20"/>
              </w:rPr>
              <w:t xml:space="preserve"> Guidelines</w:t>
            </w:r>
            <w:r w:rsidRPr="00D43D39">
              <w:rPr>
                <w:rFonts w:eastAsia="Calibri"/>
                <w:iCs/>
                <w:sz w:val="20"/>
              </w:rPr>
              <w:t xml:space="preserve"> EBA/GL/2022/01 and relevant national laws.</w:t>
            </w:r>
          </w:p>
          <w:p w:rsidRPr="00D43D39" w:rsidR="003433C6" w:rsidP="00513F58" w:rsidRDefault="003433C6" w14:paraId="18567D28" w14:textId="77777777">
            <w:pPr>
              <w:pStyle w:val="NormalWeb"/>
              <w:spacing w:before="0" w:beforeAutospacing="0" w:after="0" w:afterAutospacing="0"/>
              <w:rPr>
                <w:sz w:val="20"/>
              </w:rPr>
            </w:pPr>
          </w:p>
        </w:tc>
      </w:tr>
      <w:tr w:rsidRPr="00D43D39" w:rsidR="003433C6" w:rsidTr="003433C6" w14:paraId="1D5A8742" w14:textId="77777777">
        <w:trPr>
          <w:trHeight w:val="463"/>
        </w:trPr>
        <w:tc>
          <w:tcPr>
            <w:tcW w:w="1418" w:type="dxa"/>
            <w:shd w:val="clear" w:color="auto" w:fill="FFFFFF"/>
          </w:tcPr>
          <w:p w:rsidRPr="00D43D39" w:rsidR="003433C6" w:rsidP="00513F58" w:rsidRDefault="003433C6" w14:paraId="6F60F9D0" w14:textId="77777777">
            <w:pPr>
              <w:spacing w:before="120" w:after="120" w:line="276" w:lineRule="auto"/>
              <w:rPr>
                <w:rFonts w:ascii="Times New Roman" w:hAnsi="Times New Roman"/>
                <w:sz w:val="20"/>
                <w:szCs w:val="20"/>
              </w:rPr>
            </w:pPr>
            <w:r w:rsidRPr="00D43D39">
              <w:rPr>
                <w:rFonts w:ascii="Times New Roman" w:hAnsi="Times New Roman"/>
                <w:iCs/>
                <w:sz w:val="20"/>
              </w:rPr>
              <w:t>0100</w:t>
            </w:r>
          </w:p>
        </w:tc>
        <w:tc>
          <w:tcPr>
            <w:tcW w:w="7791" w:type="dxa"/>
            <w:shd w:val="clear" w:color="auto" w:fill="FFFFFF"/>
          </w:tcPr>
          <w:p w:rsidRPr="00D43D39" w:rsidR="003433C6" w:rsidP="00513F58" w:rsidRDefault="003433C6" w14:paraId="765C85F0" w14:textId="77777777">
            <w:pPr>
              <w:spacing w:line="276" w:lineRule="auto"/>
              <w:jc w:val="both"/>
              <w:rPr>
                <w:rFonts w:ascii="Times New Roman" w:hAnsi="Times New Roman"/>
                <w:b/>
                <w:bCs/>
                <w:sz w:val="20"/>
              </w:rPr>
            </w:pPr>
            <w:r w:rsidRPr="00D43D39">
              <w:rPr>
                <w:rFonts w:ascii="Times New Roman" w:hAnsi="Times New Roman"/>
                <w:b/>
                <w:bCs/>
                <w:iCs/>
                <w:sz w:val="20"/>
                <w:szCs w:val="20"/>
              </w:rPr>
              <w:t>Resolution Resilience features</w:t>
            </w:r>
            <w:r w:rsidRPr="00D43D39">
              <w:rPr>
                <w:rFonts w:ascii="Times New Roman" w:hAnsi="Times New Roman"/>
                <w:b/>
                <w:bCs/>
                <w:sz w:val="20"/>
              </w:rPr>
              <w:t xml:space="preserve"> </w:t>
            </w:r>
          </w:p>
          <w:p w:rsidRPr="00D43D39" w:rsidR="003433C6" w:rsidP="00513F58" w:rsidRDefault="003433C6" w14:paraId="568B3F3F" w14:textId="77777777">
            <w:pPr>
              <w:spacing w:line="276" w:lineRule="auto"/>
              <w:jc w:val="both"/>
              <w:rPr>
                <w:rFonts w:ascii="Times New Roman" w:hAnsi="Times New Roman"/>
                <w:iCs/>
                <w:sz w:val="20"/>
                <w:szCs w:val="20"/>
              </w:rPr>
            </w:pPr>
            <w:r w:rsidRPr="00D43D39">
              <w:rPr>
                <w:rFonts w:ascii="Times New Roman" w:hAnsi="Times New Roman"/>
                <w:iCs/>
                <w:sz w:val="20"/>
                <w:szCs w:val="20"/>
              </w:rPr>
              <w:t>Resolution-resilient features are properties a relevant contract is expected to have in order to be considered resolution-resilient. They include the following, provided that the substantive obligations under the contract continue to be performed:</w:t>
            </w:r>
          </w:p>
          <w:p w:rsidRPr="00D43D39" w:rsidR="003433C6" w:rsidP="005F5507" w:rsidRDefault="003433C6" w14:paraId="370645DB" w14:textId="77777777">
            <w:pPr>
              <w:pStyle w:val="ListParagraph"/>
              <w:numPr>
                <w:ilvl w:val="0"/>
                <w:numId w:val="263"/>
              </w:numPr>
              <w:spacing w:line="276" w:lineRule="auto"/>
              <w:contextualSpacing/>
              <w:jc w:val="both"/>
              <w:rPr>
                <w:rFonts w:ascii="Times New Roman" w:hAnsi="Times New Roman"/>
                <w:iCs/>
                <w:sz w:val="20"/>
                <w:szCs w:val="20"/>
              </w:rPr>
            </w:pPr>
            <w:r w:rsidRPr="00D43D39">
              <w:rPr>
                <w:rFonts w:ascii="Times New Roman" w:hAnsi="Times New Roman"/>
                <w:iCs/>
                <w:sz w:val="20"/>
                <w:szCs w:val="20"/>
              </w:rPr>
              <w:t xml:space="preserve">no termination, suspension or modification on the grounds of resolution (incl. business reorganisation under Article 51 of Directive 2014/59/EU); </w:t>
            </w:r>
          </w:p>
          <w:p w:rsidRPr="00D43D39" w:rsidR="003433C6" w:rsidP="005F5507" w:rsidRDefault="003433C6" w14:paraId="06B2A09A" w14:textId="77777777">
            <w:pPr>
              <w:pStyle w:val="ListParagraph"/>
              <w:numPr>
                <w:ilvl w:val="0"/>
                <w:numId w:val="263"/>
              </w:numPr>
              <w:spacing w:line="276" w:lineRule="auto"/>
              <w:contextualSpacing/>
              <w:jc w:val="both"/>
              <w:rPr>
                <w:rFonts w:ascii="Times New Roman" w:hAnsi="Times New Roman"/>
                <w:iCs/>
                <w:sz w:val="20"/>
                <w:szCs w:val="20"/>
              </w:rPr>
            </w:pPr>
            <w:r w:rsidRPr="00D43D39">
              <w:rPr>
                <w:rFonts w:ascii="Times New Roman" w:hAnsi="Times New Roman"/>
                <w:iCs/>
                <w:sz w:val="20"/>
                <w:szCs w:val="20"/>
              </w:rPr>
              <w:t xml:space="preserve">the transferability of the service provision to a new recipient either by the service recipient or the resolution authority because of resolution (incl. reorganisation under Article 51 of Directive 2014/59/EU); </w:t>
            </w:r>
          </w:p>
          <w:p w:rsidRPr="00D43D39" w:rsidR="003433C6" w:rsidP="005F5507" w:rsidRDefault="003433C6" w14:paraId="0DC7F6B6" w14:textId="77777777">
            <w:pPr>
              <w:pStyle w:val="ListParagraph"/>
              <w:numPr>
                <w:ilvl w:val="0"/>
                <w:numId w:val="263"/>
              </w:numPr>
              <w:spacing w:line="276" w:lineRule="auto"/>
              <w:contextualSpacing/>
              <w:jc w:val="both"/>
              <w:rPr>
                <w:rFonts w:ascii="Times New Roman" w:hAnsi="Times New Roman"/>
                <w:iCs/>
                <w:sz w:val="20"/>
                <w:szCs w:val="20"/>
              </w:rPr>
            </w:pPr>
            <w:r w:rsidRPr="00D43D39">
              <w:rPr>
                <w:rFonts w:ascii="Times New Roman" w:hAnsi="Times New Roman"/>
                <w:iCs/>
                <w:sz w:val="20"/>
                <w:szCs w:val="20"/>
              </w:rPr>
              <w:t>the support in transfer or termination occurring during resolution (incl. reorganisation under Article 51 of Directive 2014/59/EU) for a reasonable period (such as 24 months) by the current service provider and under the same terms and conditions; and</w:t>
            </w:r>
          </w:p>
          <w:p w:rsidRPr="00D43D39" w:rsidR="003433C6" w:rsidP="005F5507" w:rsidRDefault="003433C6" w14:paraId="4B505186" w14:textId="77777777">
            <w:pPr>
              <w:pStyle w:val="ListParagraph"/>
              <w:numPr>
                <w:ilvl w:val="0"/>
                <w:numId w:val="263"/>
              </w:numPr>
              <w:spacing w:line="276" w:lineRule="auto"/>
              <w:contextualSpacing/>
              <w:jc w:val="both"/>
              <w:rPr>
                <w:rFonts w:ascii="Times New Roman" w:hAnsi="Times New Roman"/>
                <w:iCs/>
                <w:sz w:val="20"/>
                <w:szCs w:val="20"/>
              </w:rPr>
            </w:pPr>
            <w:r w:rsidRPr="00D43D39">
              <w:rPr>
                <w:rFonts w:ascii="Times New Roman" w:hAnsi="Times New Roman"/>
                <w:iCs/>
                <w:sz w:val="20"/>
                <w:szCs w:val="20"/>
              </w:rPr>
              <w:t>the continued service provision to a divested group entity during resolution (incl. reorganisation under Article 51 of Directive 2014/59/EU), for a reasonable period of time following divestment – such as 24 months.</w:t>
            </w:r>
          </w:p>
          <w:p w:rsidRPr="00D43D39" w:rsidR="003433C6" w:rsidP="00513F58" w:rsidRDefault="003433C6" w14:paraId="63545E5D" w14:textId="77777777">
            <w:pPr>
              <w:spacing w:line="276" w:lineRule="auto"/>
              <w:jc w:val="both"/>
              <w:rPr>
                <w:rFonts w:ascii="Times New Roman" w:hAnsi="Times New Roman"/>
                <w:iCs/>
                <w:sz w:val="20"/>
                <w:szCs w:val="20"/>
              </w:rPr>
            </w:pPr>
            <w:r w:rsidRPr="00D43D39">
              <w:rPr>
                <w:rFonts w:ascii="Times New Roman" w:hAnsi="Times New Roman"/>
                <w:iCs/>
                <w:sz w:val="20"/>
                <w:szCs w:val="20"/>
              </w:rPr>
              <w:t>This applies to contracts for which the governing law and jurisdiction of the contract is that of an EU Member State</w:t>
            </w:r>
            <w:r w:rsidRPr="00D43D39">
              <w:rPr>
                <w:rStyle w:val="FootnoteReference"/>
                <w:rFonts w:ascii="Times New Roman" w:hAnsi="Times New Roman"/>
                <w:iCs/>
                <w:sz w:val="20"/>
                <w:szCs w:val="20"/>
              </w:rPr>
              <w:footnoteReference w:id="26"/>
            </w:r>
            <w:r w:rsidRPr="00D43D39">
              <w:rPr>
                <w:rFonts w:ascii="Times New Roman" w:hAnsi="Times New Roman"/>
                <w:iCs/>
                <w:sz w:val="20"/>
                <w:szCs w:val="20"/>
              </w:rPr>
              <w:t xml:space="preserve"> (‘EU contracts’), and contracts to which third-country law applies.</w:t>
            </w:r>
          </w:p>
          <w:p w:rsidRPr="00D43D39" w:rsidR="003433C6" w:rsidP="00513F58" w:rsidRDefault="003433C6" w14:paraId="36B50A13" w14:textId="77777777">
            <w:pPr>
              <w:spacing w:line="276" w:lineRule="auto"/>
              <w:jc w:val="both"/>
              <w:rPr>
                <w:rFonts w:ascii="Times New Roman" w:hAnsi="Times New Roman"/>
                <w:sz w:val="20"/>
              </w:rPr>
            </w:pPr>
          </w:p>
          <w:p w:rsidRPr="00D43D39" w:rsidR="003433C6" w:rsidP="00513F58" w:rsidRDefault="003433C6" w14:paraId="5A505125" w14:textId="77777777">
            <w:pPr>
              <w:spacing w:line="276" w:lineRule="auto"/>
              <w:jc w:val="both"/>
              <w:rPr>
                <w:rFonts w:ascii="Times New Roman" w:hAnsi="Times New Roman"/>
                <w:sz w:val="20"/>
              </w:rPr>
            </w:pPr>
            <w:r w:rsidRPr="00D43D39">
              <w:rPr>
                <w:rFonts w:ascii="Times New Roman" w:hAnsi="Times New Roman"/>
                <w:sz w:val="20"/>
              </w:rPr>
              <w:t>Report one of the following values:</w:t>
            </w:r>
          </w:p>
          <w:p w:rsidRPr="00D43D39" w:rsidR="003433C6" w:rsidP="00513F58" w:rsidRDefault="003433C6" w14:paraId="5645D4E7" w14:textId="6FFE1B1E">
            <w:pPr>
              <w:spacing w:line="276" w:lineRule="auto"/>
              <w:jc w:val="both"/>
              <w:rPr>
                <w:rFonts w:ascii="Times New Roman" w:hAnsi="Times New Roman"/>
                <w:sz w:val="20"/>
                <w:szCs w:val="20"/>
              </w:rPr>
            </w:pPr>
            <w:r w:rsidRPr="00D43D39">
              <w:rPr>
                <w:rFonts w:ascii="Times New Roman" w:hAnsi="Times New Roman"/>
                <w:sz w:val="20"/>
                <w:szCs w:val="20"/>
              </w:rPr>
              <w:t>‘Yes’ – if the contract is assessed as resolution</w:t>
            </w:r>
            <w:r w:rsidRPr="00D43D39" w:rsidR="001A78B3">
              <w:rPr>
                <w:rFonts w:ascii="Times New Roman" w:hAnsi="Times New Roman"/>
                <w:sz w:val="20"/>
                <w:szCs w:val="20"/>
              </w:rPr>
              <w:t xml:space="preserve"> </w:t>
            </w:r>
            <w:r w:rsidRPr="00D43D39">
              <w:rPr>
                <w:rFonts w:ascii="Times New Roman" w:hAnsi="Times New Roman"/>
                <w:sz w:val="20"/>
                <w:szCs w:val="20"/>
              </w:rPr>
              <w:t>resilient</w:t>
            </w:r>
          </w:p>
          <w:p w:rsidRPr="00D43D39" w:rsidR="003433C6" w:rsidP="00513F58" w:rsidRDefault="003433C6" w14:paraId="5005814D" w14:textId="6C1A4E49">
            <w:pPr>
              <w:spacing w:line="276" w:lineRule="auto"/>
              <w:jc w:val="both"/>
              <w:rPr>
                <w:rFonts w:ascii="Times New Roman" w:hAnsi="Times New Roman"/>
                <w:sz w:val="20"/>
                <w:szCs w:val="20"/>
              </w:rPr>
            </w:pPr>
            <w:r w:rsidRPr="00D43D39">
              <w:rPr>
                <w:rFonts w:ascii="Times New Roman" w:hAnsi="Times New Roman"/>
                <w:sz w:val="20"/>
                <w:szCs w:val="20"/>
              </w:rPr>
              <w:t>‘No’ – if the contract is not assessed as resolution</w:t>
            </w:r>
            <w:r w:rsidRPr="00D43D39" w:rsidR="001A78B3">
              <w:rPr>
                <w:rFonts w:ascii="Times New Roman" w:hAnsi="Times New Roman"/>
                <w:sz w:val="20"/>
                <w:szCs w:val="20"/>
              </w:rPr>
              <w:t xml:space="preserve"> </w:t>
            </w:r>
            <w:r w:rsidRPr="00D43D39">
              <w:rPr>
                <w:rFonts w:ascii="Times New Roman" w:hAnsi="Times New Roman"/>
                <w:sz w:val="20"/>
                <w:szCs w:val="20"/>
              </w:rPr>
              <w:t>resilient</w:t>
            </w:r>
          </w:p>
          <w:p w:rsidRPr="00D43D39" w:rsidR="003433C6" w:rsidP="00513F58" w:rsidRDefault="003433C6" w14:paraId="7E3E4993" w14:textId="77777777">
            <w:pPr>
              <w:spacing w:line="276" w:lineRule="auto"/>
              <w:jc w:val="both"/>
              <w:rPr>
                <w:rFonts w:ascii="Times New Roman" w:hAnsi="Times New Roman"/>
                <w:sz w:val="20"/>
                <w:szCs w:val="20"/>
              </w:rPr>
            </w:pPr>
            <w:r w:rsidRPr="00D43D39">
              <w:rPr>
                <w:rFonts w:ascii="Times New Roman" w:hAnsi="Times New Roman"/>
                <w:sz w:val="20"/>
                <w:szCs w:val="20"/>
              </w:rPr>
              <w:t>‘Not assessed’ – if no assessment has been made</w:t>
            </w:r>
          </w:p>
          <w:p w:rsidRPr="00D43D39" w:rsidR="003433C6" w:rsidP="00513F58" w:rsidRDefault="003433C6" w14:paraId="36998E1B" w14:textId="77777777">
            <w:pPr>
              <w:spacing w:line="276" w:lineRule="auto"/>
              <w:jc w:val="both"/>
              <w:rPr>
                <w:rFonts w:ascii="Times New Roman" w:hAnsi="Times New Roman"/>
                <w:sz w:val="20"/>
                <w:szCs w:val="20"/>
              </w:rPr>
            </w:pPr>
            <w:r w:rsidRPr="00D43D39">
              <w:rPr>
                <w:rFonts w:ascii="Times New Roman" w:hAnsi="Times New Roman"/>
                <w:sz w:val="20"/>
                <w:szCs w:val="20"/>
              </w:rPr>
              <w:t>‘N/A’ – for intra-entity services</w:t>
            </w:r>
          </w:p>
          <w:p w:rsidRPr="00D43D39" w:rsidR="003433C6" w:rsidP="00513F58" w:rsidRDefault="003433C6" w14:paraId="3BED6578" w14:textId="77777777">
            <w:pPr>
              <w:spacing w:line="276" w:lineRule="auto"/>
              <w:jc w:val="both"/>
              <w:rPr>
                <w:rFonts w:ascii="Times New Roman" w:hAnsi="Times New Roman"/>
                <w:sz w:val="20"/>
              </w:rPr>
            </w:pPr>
          </w:p>
        </w:tc>
      </w:tr>
      <w:tr w:rsidRPr="00D43D39" w:rsidR="003433C6" w:rsidTr="003433C6" w14:paraId="372CE3B3" w14:textId="77777777">
        <w:trPr>
          <w:trHeight w:val="463"/>
        </w:trPr>
        <w:tc>
          <w:tcPr>
            <w:tcW w:w="1418" w:type="dxa"/>
            <w:shd w:val="clear" w:color="auto" w:fill="FFFFFF"/>
          </w:tcPr>
          <w:p w:rsidRPr="00D43D39" w:rsidR="003433C6" w:rsidP="00513F58" w:rsidRDefault="003433C6" w14:paraId="3503C093" w14:textId="77777777">
            <w:pPr>
              <w:spacing w:before="120" w:after="120" w:line="276" w:lineRule="auto"/>
              <w:rPr>
                <w:rFonts w:ascii="Times New Roman" w:hAnsi="Times New Roman"/>
                <w:sz w:val="20"/>
                <w:szCs w:val="20"/>
              </w:rPr>
            </w:pPr>
            <w:r w:rsidRPr="00D43D39">
              <w:rPr>
                <w:rFonts w:ascii="Times New Roman" w:hAnsi="Times New Roman"/>
                <w:iCs/>
                <w:sz w:val="20"/>
              </w:rPr>
              <w:t>0110</w:t>
            </w:r>
          </w:p>
        </w:tc>
        <w:tc>
          <w:tcPr>
            <w:tcW w:w="7791" w:type="dxa"/>
            <w:shd w:val="clear" w:color="auto" w:fill="FFFFFF"/>
          </w:tcPr>
          <w:p w:rsidRPr="00D43D39" w:rsidR="003433C6" w:rsidP="00513F58" w:rsidRDefault="003433C6" w14:paraId="6BFF99D2" w14:textId="77777777">
            <w:pPr>
              <w:spacing w:line="276" w:lineRule="auto"/>
              <w:jc w:val="both"/>
              <w:rPr>
                <w:rFonts w:ascii="Times New Roman" w:hAnsi="Times New Roman"/>
                <w:b/>
                <w:bCs/>
                <w:iCs/>
                <w:sz w:val="20"/>
              </w:rPr>
            </w:pPr>
            <w:r w:rsidRPr="00D43D39">
              <w:rPr>
                <w:rFonts w:ascii="Times New Roman" w:hAnsi="Times New Roman"/>
                <w:b/>
                <w:bCs/>
                <w:iCs/>
                <w:sz w:val="20"/>
              </w:rPr>
              <w:t>Business Reorganization Plan (BRP)</w:t>
            </w:r>
          </w:p>
          <w:p w:rsidRPr="00D43D39" w:rsidR="003433C6" w:rsidP="00513F58" w:rsidRDefault="003433C6" w14:paraId="47BD0600" w14:textId="77777777">
            <w:pPr>
              <w:spacing w:line="276" w:lineRule="auto"/>
              <w:jc w:val="both"/>
              <w:rPr>
                <w:rFonts w:ascii="Times New Roman" w:hAnsi="Times New Roman"/>
                <w:iCs/>
                <w:sz w:val="20"/>
              </w:rPr>
            </w:pPr>
            <w:r w:rsidRPr="00D43D39">
              <w:rPr>
                <w:rFonts w:ascii="Times New Roman" w:hAnsi="Times New Roman"/>
                <w:iCs/>
                <w:sz w:val="20"/>
              </w:rPr>
              <w:t>If the resolution strategy (either preferred or variant) requires a business reorganization plan, EU contracts are expected to include explicit clauses to ensure their resolution-resilience in the implementation of business reorganisation plans (BRP).</w:t>
            </w:r>
          </w:p>
          <w:p w:rsidRPr="00D43D39" w:rsidR="003433C6" w:rsidP="00513F58" w:rsidRDefault="003433C6" w14:paraId="399BF974" w14:textId="77777777">
            <w:pPr>
              <w:spacing w:line="276" w:lineRule="auto"/>
              <w:jc w:val="both"/>
              <w:rPr>
                <w:rFonts w:ascii="Times New Roman" w:hAnsi="Times New Roman"/>
                <w:iCs/>
                <w:sz w:val="20"/>
              </w:rPr>
            </w:pPr>
          </w:p>
          <w:p w:rsidRPr="00D43D39" w:rsidR="003433C6" w:rsidP="00513F58" w:rsidRDefault="003433C6" w14:paraId="2FBDAD9C" w14:textId="77777777">
            <w:pPr>
              <w:spacing w:line="276" w:lineRule="auto"/>
              <w:jc w:val="both"/>
              <w:rPr>
                <w:rFonts w:ascii="Times New Roman" w:hAnsi="Times New Roman"/>
                <w:iCs/>
                <w:sz w:val="20"/>
              </w:rPr>
            </w:pPr>
            <w:r w:rsidRPr="00D43D39">
              <w:rPr>
                <w:rFonts w:ascii="Times New Roman" w:hAnsi="Times New Roman"/>
                <w:iCs/>
                <w:sz w:val="20"/>
              </w:rPr>
              <w:t>Report one of the following values:</w:t>
            </w:r>
          </w:p>
          <w:p w:rsidRPr="00D43D39" w:rsidR="003433C6" w:rsidP="00513F58" w:rsidRDefault="003433C6" w14:paraId="1ABA04AD" w14:textId="77777777">
            <w:pPr>
              <w:spacing w:line="276" w:lineRule="auto"/>
              <w:jc w:val="both"/>
              <w:rPr>
                <w:rFonts w:ascii="Times New Roman" w:hAnsi="Times New Roman"/>
                <w:iCs/>
                <w:sz w:val="20"/>
              </w:rPr>
            </w:pPr>
            <w:r w:rsidRPr="00D43D39">
              <w:rPr>
                <w:rFonts w:ascii="Times New Roman" w:hAnsi="Times New Roman"/>
              </w:rPr>
              <w:t>‘</w:t>
            </w:r>
            <w:r w:rsidRPr="00D43D39">
              <w:rPr>
                <w:rFonts w:ascii="Times New Roman" w:hAnsi="Times New Roman"/>
                <w:iCs/>
                <w:sz w:val="20"/>
              </w:rPr>
              <w:t>Yes’ – if the contract includes explicit clauses to ensure their resolution-resilience in the implementation of the BRP</w:t>
            </w:r>
          </w:p>
          <w:p w:rsidRPr="00D43D39" w:rsidR="003433C6" w:rsidP="00513F58" w:rsidRDefault="003433C6" w14:paraId="6D5233DE" w14:textId="77777777">
            <w:pPr>
              <w:spacing w:line="276" w:lineRule="auto"/>
              <w:jc w:val="both"/>
              <w:rPr>
                <w:rFonts w:ascii="Times New Roman" w:hAnsi="Times New Roman"/>
                <w:iCs/>
                <w:sz w:val="20"/>
              </w:rPr>
            </w:pPr>
            <w:r w:rsidRPr="00D43D39">
              <w:rPr>
                <w:rFonts w:ascii="Times New Roman" w:hAnsi="Times New Roman"/>
              </w:rPr>
              <w:t>‘</w:t>
            </w:r>
            <w:r w:rsidRPr="00D43D39">
              <w:rPr>
                <w:rFonts w:ascii="Times New Roman" w:hAnsi="Times New Roman"/>
                <w:iCs/>
                <w:sz w:val="20"/>
              </w:rPr>
              <w:t>No’ - if the contract doesn’t include explicit clauses to ensure their resolution-resilience in the implementation of the BRP</w:t>
            </w:r>
          </w:p>
          <w:p w:rsidRPr="00D43D39" w:rsidR="003433C6" w:rsidP="00513F58" w:rsidRDefault="003433C6" w14:paraId="059CAF62" w14:textId="77777777">
            <w:pPr>
              <w:spacing w:line="276" w:lineRule="auto"/>
              <w:jc w:val="both"/>
              <w:rPr>
                <w:rFonts w:ascii="Times New Roman" w:hAnsi="Times New Roman"/>
                <w:iCs/>
                <w:sz w:val="20"/>
              </w:rPr>
            </w:pPr>
            <w:r w:rsidRPr="00D43D39">
              <w:rPr>
                <w:rFonts w:ascii="Times New Roman" w:hAnsi="Times New Roman"/>
              </w:rPr>
              <w:t>‘</w:t>
            </w:r>
            <w:r w:rsidRPr="00D43D39">
              <w:rPr>
                <w:rFonts w:ascii="Times New Roman" w:hAnsi="Times New Roman"/>
                <w:iCs/>
                <w:sz w:val="20"/>
              </w:rPr>
              <w:t>Not assessed’ – if no assessment has been made</w:t>
            </w:r>
          </w:p>
          <w:p w:rsidRPr="00D43D39" w:rsidR="003433C6" w:rsidP="00513F58" w:rsidRDefault="003433C6" w14:paraId="6700ED15" w14:textId="77777777">
            <w:pPr>
              <w:spacing w:line="276" w:lineRule="auto"/>
              <w:jc w:val="both"/>
              <w:rPr>
                <w:rFonts w:ascii="Times New Roman" w:hAnsi="Times New Roman"/>
                <w:iCs/>
                <w:sz w:val="20"/>
              </w:rPr>
            </w:pPr>
            <w:r w:rsidRPr="00D43D39">
              <w:rPr>
                <w:rFonts w:ascii="Times New Roman" w:hAnsi="Times New Roman"/>
              </w:rPr>
              <w:t>‘</w:t>
            </w:r>
            <w:r w:rsidRPr="00D43D39">
              <w:rPr>
                <w:rFonts w:ascii="Times New Roman" w:hAnsi="Times New Roman"/>
                <w:iCs/>
                <w:sz w:val="20"/>
              </w:rPr>
              <w:t>N/A’ – for intra-entity services or for intra-group and external services, if the resolution strategy (preferred and variant) does not require a business reorganization plan</w:t>
            </w:r>
            <w:r w:rsidRPr="00D43D39" w:rsidDel="00BA35A3">
              <w:rPr>
                <w:rFonts w:ascii="Times New Roman" w:hAnsi="Times New Roman"/>
                <w:iCs/>
                <w:sz w:val="20"/>
              </w:rPr>
              <w:t xml:space="preserve"> </w:t>
            </w:r>
          </w:p>
          <w:p w:rsidRPr="00D43D39" w:rsidR="003433C6" w:rsidP="00513F58" w:rsidRDefault="003433C6" w14:paraId="29943E75" w14:textId="77777777">
            <w:pPr>
              <w:spacing w:line="276" w:lineRule="auto"/>
              <w:jc w:val="both"/>
              <w:rPr>
                <w:rFonts w:ascii="Times New Roman" w:hAnsi="Times New Roman"/>
                <w:i/>
                <w:sz w:val="20"/>
              </w:rPr>
            </w:pPr>
          </w:p>
        </w:tc>
      </w:tr>
      <w:tr w:rsidRPr="00D43D39" w:rsidR="003433C6" w:rsidTr="003433C6" w14:paraId="7C6A908C" w14:textId="77777777">
        <w:trPr>
          <w:trHeight w:val="463"/>
        </w:trPr>
        <w:tc>
          <w:tcPr>
            <w:tcW w:w="1418" w:type="dxa"/>
            <w:shd w:val="clear" w:color="auto" w:fill="FFFFFF"/>
          </w:tcPr>
          <w:p w:rsidRPr="00D43D39" w:rsidR="003433C6" w:rsidP="00513F58" w:rsidRDefault="003433C6" w14:paraId="502811A8" w14:textId="77777777">
            <w:pPr>
              <w:spacing w:before="120" w:after="120" w:line="276" w:lineRule="auto"/>
              <w:rPr>
                <w:rFonts w:ascii="Times New Roman" w:hAnsi="Times New Roman"/>
                <w:sz w:val="20"/>
                <w:szCs w:val="20"/>
              </w:rPr>
            </w:pPr>
            <w:r w:rsidRPr="00D43D39">
              <w:rPr>
                <w:rFonts w:ascii="Times New Roman" w:hAnsi="Times New Roman"/>
                <w:iCs/>
                <w:sz w:val="20"/>
              </w:rPr>
              <w:t>0120</w:t>
            </w:r>
          </w:p>
        </w:tc>
        <w:tc>
          <w:tcPr>
            <w:tcW w:w="7791" w:type="dxa"/>
            <w:shd w:val="clear" w:color="auto" w:fill="FFFFFF"/>
          </w:tcPr>
          <w:p w:rsidRPr="00D43D39" w:rsidR="003433C6" w:rsidP="00513F58" w:rsidRDefault="003433C6" w14:paraId="2C3A4CBF" w14:textId="77777777">
            <w:pPr>
              <w:spacing w:line="276" w:lineRule="auto"/>
              <w:jc w:val="both"/>
              <w:rPr>
                <w:rFonts w:ascii="Times New Roman" w:hAnsi="Times New Roman"/>
                <w:sz w:val="20"/>
              </w:rPr>
            </w:pPr>
            <w:r w:rsidRPr="00D43D39">
              <w:rPr>
                <w:rFonts w:ascii="Times New Roman" w:hAnsi="Times New Roman"/>
                <w:b/>
                <w:bCs/>
                <w:iCs/>
                <w:sz w:val="20"/>
              </w:rPr>
              <w:t>Alternative mitigating actions</w:t>
            </w:r>
            <w:r w:rsidRPr="00D43D39">
              <w:rPr>
                <w:rFonts w:ascii="Times New Roman" w:hAnsi="Times New Roman"/>
                <w:sz w:val="20"/>
              </w:rPr>
              <w:t xml:space="preserve"> </w:t>
            </w:r>
          </w:p>
          <w:p w:rsidRPr="00D43D39" w:rsidR="003433C6" w:rsidP="00513F58" w:rsidRDefault="003433C6" w14:paraId="539F18BF" w14:textId="360782E3">
            <w:pPr>
              <w:spacing w:line="276" w:lineRule="auto"/>
              <w:jc w:val="both"/>
              <w:rPr>
                <w:rFonts w:ascii="Times New Roman" w:hAnsi="Times New Roman"/>
                <w:sz w:val="20"/>
              </w:rPr>
            </w:pPr>
            <w:r w:rsidRPr="00D43D39">
              <w:rPr>
                <w:rFonts w:ascii="Times New Roman" w:hAnsi="Times New Roman"/>
                <w:sz w:val="20"/>
              </w:rPr>
              <w:t xml:space="preserve">Where resolution resilience </w:t>
            </w:r>
            <w:r w:rsidR="002526C2">
              <w:rPr>
                <w:rFonts w:ascii="Times New Roman" w:hAnsi="Times New Roman"/>
                <w:sz w:val="20"/>
              </w:rPr>
              <w:t>is expected to</w:t>
            </w:r>
            <w:r w:rsidRPr="00D43D39">
              <w:rPr>
                <w:rFonts w:ascii="Times New Roman" w:hAnsi="Times New Roman"/>
                <w:sz w:val="20"/>
              </w:rPr>
              <w:t xml:space="preserve"> be achieved, but the banks have not been able to do so, banks are expected to explore alternative mitigating actions. </w:t>
            </w:r>
          </w:p>
          <w:p w:rsidRPr="00D43D39" w:rsidR="003433C6" w:rsidP="00513F58" w:rsidRDefault="003433C6" w14:paraId="19853DAB" w14:textId="77777777">
            <w:pPr>
              <w:spacing w:line="276" w:lineRule="auto"/>
              <w:jc w:val="both"/>
              <w:rPr>
                <w:rFonts w:ascii="Times New Roman" w:hAnsi="Times New Roman"/>
                <w:sz w:val="20"/>
              </w:rPr>
            </w:pPr>
          </w:p>
          <w:p w:rsidRPr="00D43D39" w:rsidR="003433C6" w:rsidP="00513F58" w:rsidRDefault="003433C6" w14:paraId="279B7A47" w14:textId="77777777">
            <w:pPr>
              <w:spacing w:line="276" w:lineRule="auto"/>
              <w:jc w:val="both"/>
              <w:rPr>
                <w:rFonts w:ascii="Times New Roman" w:hAnsi="Times New Roman"/>
                <w:iCs/>
                <w:sz w:val="20"/>
              </w:rPr>
            </w:pPr>
            <w:r w:rsidRPr="00D43D39">
              <w:rPr>
                <w:rFonts w:ascii="Times New Roman" w:hAnsi="Times New Roman"/>
                <w:iCs/>
                <w:sz w:val="20"/>
              </w:rPr>
              <w:t>Report one of the following values:</w:t>
            </w:r>
          </w:p>
          <w:p w:rsidRPr="00D43D39" w:rsidR="003433C6" w:rsidP="00513F58" w:rsidRDefault="003433C6" w14:paraId="12AEAF44" w14:textId="77777777">
            <w:pPr>
              <w:spacing w:line="276" w:lineRule="auto"/>
              <w:jc w:val="both"/>
              <w:rPr>
                <w:rFonts w:ascii="Times New Roman" w:hAnsi="Times New Roman"/>
                <w:iCs/>
                <w:sz w:val="20"/>
              </w:rPr>
            </w:pPr>
            <w:r w:rsidRPr="00D43D39">
              <w:rPr>
                <w:rFonts w:ascii="Times New Roman" w:hAnsi="Times New Roman"/>
              </w:rPr>
              <w:t>‘</w:t>
            </w:r>
            <w:r w:rsidRPr="00D43D39">
              <w:rPr>
                <w:rFonts w:ascii="Times New Roman" w:hAnsi="Times New Roman"/>
                <w:iCs/>
                <w:sz w:val="20"/>
              </w:rPr>
              <w:t>Yes’ – if the bank has implemented alternative mitigating actions</w:t>
            </w:r>
          </w:p>
          <w:p w:rsidRPr="00D43D39" w:rsidR="003433C6" w:rsidP="00513F58" w:rsidRDefault="003433C6" w14:paraId="52868364" w14:textId="77777777">
            <w:pPr>
              <w:spacing w:line="276" w:lineRule="auto"/>
              <w:jc w:val="both"/>
              <w:rPr>
                <w:rFonts w:ascii="Times New Roman" w:hAnsi="Times New Roman"/>
                <w:iCs/>
                <w:sz w:val="20"/>
              </w:rPr>
            </w:pPr>
            <w:r w:rsidRPr="00D43D39">
              <w:rPr>
                <w:rFonts w:ascii="Times New Roman" w:hAnsi="Times New Roman"/>
              </w:rPr>
              <w:t>‘</w:t>
            </w:r>
            <w:r w:rsidRPr="00D43D39">
              <w:rPr>
                <w:rFonts w:ascii="Times New Roman" w:hAnsi="Times New Roman"/>
                <w:iCs/>
                <w:sz w:val="20"/>
              </w:rPr>
              <w:t>No’ - if the bank has not implemented alternative mitigating actions</w:t>
            </w:r>
          </w:p>
          <w:p w:rsidRPr="00D43D39" w:rsidR="003433C6" w:rsidP="00513F58" w:rsidRDefault="003433C6" w14:paraId="0D6B7C4E" w14:textId="77777777">
            <w:pPr>
              <w:spacing w:line="276" w:lineRule="auto"/>
              <w:jc w:val="both"/>
              <w:rPr>
                <w:rFonts w:ascii="Times New Roman" w:hAnsi="Times New Roman"/>
                <w:iCs/>
                <w:sz w:val="20"/>
              </w:rPr>
            </w:pPr>
            <w:r w:rsidRPr="00D43D39">
              <w:rPr>
                <w:rFonts w:ascii="Times New Roman" w:hAnsi="Times New Roman"/>
              </w:rPr>
              <w:t>‘</w:t>
            </w:r>
            <w:r w:rsidRPr="00D43D39">
              <w:rPr>
                <w:rFonts w:ascii="Times New Roman" w:hAnsi="Times New Roman"/>
                <w:iCs/>
                <w:sz w:val="20"/>
              </w:rPr>
              <w:t>N/A’ – in cases where any of the columns 0150, 0160 are marked as ‘No’ or ‘N/A’</w:t>
            </w:r>
          </w:p>
          <w:p w:rsidRPr="00D43D39" w:rsidR="003433C6" w:rsidP="00513F58" w:rsidRDefault="003433C6" w14:paraId="6F8C822B" w14:textId="77777777">
            <w:pPr>
              <w:spacing w:line="276" w:lineRule="auto"/>
              <w:jc w:val="both"/>
              <w:rPr>
                <w:rFonts w:ascii="Times New Roman" w:hAnsi="Times New Roman"/>
                <w:sz w:val="20"/>
              </w:rPr>
            </w:pPr>
          </w:p>
        </w:tc>
      </w:tr>
    </w:tbl>
    <w:p w:rsidRPr="005F5507" w:rsidR="00BC55D2" w:rsidP="00BC55D2" w:rsidRDefault="00BC55D2" w14:paraId="33377E0E" w14:textId="77777777">
      <w:pPr>
        <w:rPr>
          <w:rFonts w:ascii="Times New Roman" w:hAnsi="Times New Roman" w:eastAsia="Times New Roman" w:cs="Times New Roman"/>
          <w:sz w:val="20"/>
          <w:szCs w:val="20"/>
          <w:u w:val="single"/>
        </w:rPr>
      </w:pPr>
    </w:p>
    <w:p w:rsidRPr="005F5507" w:rsidR="00F50309" w:rsidP="00F50309" w:rsidRDefault="00F50309" w14:paraId="78357EC1" w14:textId="77777777">
      <w:pPr>
        <w:rPr>
          <w:rFonts w:ascii="Times New Roman" w:hAnsi="Times New Roman" w:cs="Times New Roman"/>
        </w:rPr>
      </w:pPr>
    </w:p>
    <w:p w:rsidRPr="005F5507" w:rsidR="00BC55D2" w:rsidP="00B84DC4" w:rsidRDefault="00B84DC4" w14:paraId="4F855B7C" w14:textId="30688022">
      <w:pPr>
        <w:pStyle w:val="Instructionsberschrift2"/>
        <w:numPr>
          <w:ilvl w:val="1"/>
          <w:numId w:val="49"/>
        </w:numPr>
        <w:ind w:left="357" w:hanging="357"/>
        <w:rPr>
          <w:rFonts w:ascii="Times New Roman" w:hAnsi="Times New Roman" w:eastAsia="Calibri" w:cs="Times New Roman"/>
          <w:szCs w:val="20"/>
        </w:rPr>
      </w:pPr>
      <w:bookmarkStart w:name="_Toc172732244" w:id="119"/>
      <w:r w:rsidRPr="00D43D39">
        <w:rPr>
          <w:rFonts w:ascii="Times New Roman" w:hAnsi="Times New Roman" w:cs="Times New Roman"/>
        </w:rPr>
        <w:t>Z 08.03 — Relevant services – mapping to roles (SERV 3)</w:t>
      </w:r>
      <w:bookmarkEnd w:id="119"/>
    </w:p>
    <w:p w:rsidRPr="005F5507" w:rsidR="00BC55D2" w:rsidP="00BC55D2" w:rsidRDefault="00BC55D2" w14:paraId="4A1395A3" w14:textId="77777777">
      <w:pPr>
        <w:spacing w:line="276" w:lineRule="auto"/>
        <w:jc w:val="both"/>
        <w:rPr>
          <w:rFonts w:ascii="Times New Roman" w:hAnsi="Times New Roman" w:eastAsia="Calibri" w:cs="Times New Roman"/>
          <w:sz w:val="20"/>
          <w:szCs w:val="20"/>
        </w:rPr>
      </w:pPr>
      <w:r w:rsidRPr="005F5507">
        <w:rPr>
          <w:rFonts w:ascii="Times New Roman" w:hAnsi="Times New Roman" w:eastAsia="Calibri" w:cs="Times New Roman"/>
          <w:sz w:val="20"/>
          <w:szCs w:val="20"/>
        </w:rPr>
        <w:t>General instructions</w:t>
      </w:r>
    </w:p>
    <w:p w:rsidRPr="00D43D39" w:rsidR="00910E73" w:rsidP="005F5507" w:rsidRDefault="003433C6" w14:paraId="40999519" w14:textId="48EED69A">
      <w:pPr>
        <w:pStyle w:val="Instructionsberschrift3"/>
        <w:numPr>
          <w:ilvl w:val="2"/>
          <w:numId w:val="211"/>
        </w:numPr>
        <w:ind w:left="993"/>
        <w:contextualSpacing/>
        <w:jc w:val="both"/>
        <w:rPr>
          <w:rFonts w:eastAsia="MS Mincho"/>
          <w:u w:val="none"/>
        </w:rPr>
      </w:pPr>
      <w:r w:rsidRPr="00D43D39">
        <w:rPr>
          <w:rFonts w:eastAsia="MS Mincho"/>
          <w:color w:val="auto"/>
          <w:szCs w:val="24"/>
          <w:u w:val="none"/>
        </w:rPr>
        <w:t>The information to be included in this template shall be reported once for the entire group, list relevant services received by any entity in the group, and link them to the relevant roles</w:t>
      </w:r>
      <w:r w:rsidRPr="00D43D39" w:rsidR="00910E73">
        <w:rPr>
          <w:rFonts w:eastAsia="MS Mincho"/>
          <w:u w:val="none"/>
        </w:rPr>
        <w:t>.</w:t>
      </w:r>
    </w:p>
    <w:p w:rsidRPr="00D43D39" w:rsidR="003433C6" w:rsidP="005F5507" w:rsidRDefault="003433C6" w14:paraId="268059D7" w14:textId="11358217">
      <w:pPr>
        <w:pStyle w:val="Instructionsberschrift3"/>
        <w:numPr>
          <w:ilvl w:val="2"/>
          <w:numId w:val="211"/>
        </w:numPr>
        <w:ind w:left="993"/>
        <w:contextualSpacing/>
        <w:jc w:val="both"/>
        <w:rPr>
          <w:u w:val="none"/>
        </w:rPr>
      </w:pPr>
      <w:r w:rsidRPr="00D43D39">
        <w:rPr>
          <w:rFonts w:eastAsia="MS Mincho"/>
          <w:color w:val="auto"/>
          <w:szCs w:val="24"/>
          <w:u w:val="none"/>
        </w:rPr>
        <w:t>The values reported in columns 0010, 0020 and 0030 of this template form a primary key, which have to be unique for each row of the template</w:t>
      </w:r>
    </w:p>
    <w:p w:rsidRPr="005F5507" w:rsidR="00BC55D2" w:rsidP="00BC55D2" w:rsidRDefault="00BC55D2" w14:paraId="7851E16D" w14:textId="77777777">
      <w:pPr>
        <w:spacing w:line="276" w:lineRule="auto"/>
        <w:jc w:val="both"/>
        <w:rPr>
          <w:rFonts w:ascii="Times New Roman" w:hAnsi="Times New Roman" w:eastAsia="Calibri" w:cs="Times New Roman"/>
          <w:color w:val="0070C0"/>
          <w:sz w:val="20"/>
        </w:rPr>
      </w:pPr>
    </w:p>
    <w:tbl>
      <w:tblPr>
        <w:tblStyle w:val="TableGrid1"/>
        <w:tblW w:w="9067" w:type="dxa"/>
        <w:tblLook w:val="04A0" w:firstRow="1" w:lastRow="0" w:firstColumn="1" w:lastColumn="0" w:noHBand="0" w:noVBand="1"/>
      </w:tblPr>
      <w:tblGrid>
        <w:gridCol w:w="1418"/>
        <w:gridCol w:w="7649"/>
      </w:tblGrid>
      <w:tr w:rsidRPr="00D43D39" w:rsidR="003433C6" w:rsidTr="005F5507" w14:paraId="5DA2B0DE" w14:textId="77777777">
        <w:trPr>
          <w:trHeight w:val="519"/>
          <w:tblHeader/>
        </w:trPr>
        <w:tc>
          <w:tcPr>
            <w:tcW w:w="1418" w:type="dxa"/>
            <w:shd w:val="clear" w:color="auto" w:fill="D9D9D9" w:themeFill="background1" w:themeFillShade="D9"/>
          </w:tcPr>
          <w:p w:rsidRPr="00D43D39" w:rsidR="003433C6" w:rsidP="00513F58" w:rsidRDefault="003433C6" w14:paraId="5CA0E307" w14:textId="338A21E6">
            <w:pPr>
              <w:spacing w:before="120" w:after="120" w:line="276" w:lineRule="auto"/>
              <w:rPr>
                <w:rFonts w:ascii="Times New Roman" w:hAnsi="Times New Roman"/>
                <w:b/>
                <w:sz w:val="20"/>
                <w:szCs w:val="20"/>
              </w:rPr>
            </w:pPr>
            <w:r w:rsidRPr="00D43D39">
              <w:rPr>
                <w:rFonts w:ascii="Times New Roman" w:hAnsi="Times New Roman"/>
                <w:b/>
                <w:sz w:val="20"/>
                <w:szCs w:val="20"/>
              </w:rPr>
              <w:t>Columns</w:t>
            </w:r>
          </w:p>
        </w:tc>
        <w:tc>
          <w:tcPr>
            <w:tcW w:w="7649" w:type="dxa"/>
            <w:shd w:val="clear" w:color="auto" w:fill="D9D9D9" w:themeFill="background1" w:themeFillShade="D9"/>
          </w:tcPr>
          <w:p w:rsidRPr="00D43D39" w:rsidR="003433C6" w:rsidP="00513F58" w:rsidRDefault="003433C6" w14:paraId="23325990" w14:textId="77777777">
            <w:pPr>
              <w:spacing w:before="120" w:after="120" w:line="276" w:lineRule="auto"/>
              <w:rPr>
                <w:rFonts w:ascii="Times New Roman" w:hAnsi="Times New Roman"/>
                <w:b/>
                <w:sz w:val="20"/>
                <w:szCs w:val="20"/>
              </w:rPr>
            </w:pPr>
            <w:r w:rsidRPr="00D43D39">
              <w:rPr>
                <w:rFonts w:ascii="Times New Roman" w:hAnsi="Times New Roman"/>
                <w:b/>
                <w:sz w:val="20"/>
                <w:szCs w:val="20"/>
              </w:rPr>
              <w:t>Instructions</w:t>
            </w:r>
          </w:p>
        </w:tc>
      </w:tr>
      <w:tr w:rsidRPr="00D43D39" w:rsidR="003433C6" w:rsidTr="005F5507" w14:paraId="0A12675F" w14:textId="77777777">
        <w:trPr>
          <w:trHeight w:val="450"/>
        </w:trPr>
        <w:tc>
          <w:tcPr>
            <w:tcW w:w="1418" w:type="dxa"/>
          </w:tcPr>
          <w:p w:rsidRPr="00D43D39" w:rsidR="003433C6" w:rsidP="00513F58" w:rsidRDefault="003433C6" w14:paraId="46AFA42C" w14:textId="77777777">
            <w:pPr>
              <w:spacing w:before="120" w:after="120" w:line="276" w:lineRule="auto"/>
              <w:rPr>
                <w:rFonts w:ascii="Times New Roman" w:hAnsi="Times New Roman"/>
                <w:sz w:val="20"/>
                <w:szCs w:val="20"/>
              </w:rPr>
            </w:pPr>
            <w:r w:rsidRPr="00D43D39">
              <w:rPr>
                <w:rFonts w:ascii="Times New Roman" w:hAnsi="Times New Roman"/>
                <w:sz w:val="20"/>
                <w:szCs w:val="20"/>
              </w:rPr>
              <w:t>0005</w:t>
            </w:r>
          </w:p>
        </w:tc>
        <w:tc>
          <w:tcPr>
            <w:tcW w:w="7649" w:type="dxa"/>
          </w:tcPr>
          <w:p w:rsidRPr="00D43D39" w:rsidR="003433C6" w:rsidP="00513F58" w:rsidRDefault="003433C6" w14:paraId="5B3A11E3" w14:textId="77777777">
            <w:pPr>
              <w:spacing w:before="120" w:after="120" w:line="276" w:lineRule="auto"/>
              <w:rPr>
                <w:rFonts w:ascii="Times New Roman" w:hAnsi="Times New Roman"/>
                <w:b/>
                <w:bCs/>
                <w:sz w:val="20"/>
                <w:szCs w:val="20"/>
              </w:rPr>
            </w:pPr>
            <w:r w:rsidRPr="00D43D39">
              <w:rPr>
                <w:rFonts w:ascii="Times New Roman" w:hAnsi="Times New Roman"/>
                <w:b/>
                <w:bCs/>
                <w:sz w:val="20"/>
                <w:szCs w:val="20"/>
              </w:rPr>
              <w:t xml:space="preserve">Service </w:t>
            </w:r>
            <w:r w:rsidRPr="00D43D39" w:rsidDel="00106D64">
              <w:rPr>
                <w:rFonts w:ascii="Times New Roman" w:hAnsi="Times New Roman"/>
                <w:b/>
                <w:bCs/>
                <w:sz w:val="20"/>
                <w:szCs w:val="20"/>
              </w:rPr>
              <w:t>I</w:t>
            </w:r>
            <w:r w:rsidRPr="00D43D39">
              <w:rPr>
                <w:rFonts w:ascii="Times New Roman" w:hAnsi="Times New Roman"/>
                <w:b/>
                <w:bCs/>
                <w:sz w:val="20"/>
                <w:szCs w:val="20"/>
              </w:rPr>
              <w:t xml:space="preserve">dentifier </w:t>
            </w:r>
          </w:p>
          <w:p w:rsidRPr="00D43D39" w:rsidR="003433C6" w:rsidP="00513F58" w:rsidRDefault="00937E62" w14:paraId="5DCD0C80" w14:textId="50B332F6">
            <w:pPr>
              <w:spacing w:before="120" w:after="120" w:line="276" w:lineRule="auto"/>
              <w:rPr>
                <w:rFonts w:ascii="Times New Roman" w:hAnsi="Times New Roman"/>
                <w:sz w:val="20"/>
                <w:szCs w:val="20"/>
              </w:rPr>
            </w:pPr>
            <w:r>
              <w:rPr>
                <w:rFonts w:ascii="Times New Roman" w:hAnsi="Times New Roman"/>
                <w:sz w:val="20"/>
                <w:szCs w:val="20"/>
              </w:rPr>
              <w:t>U</w:t>
            </w:r>
            <w:r w:rsidRPr="00D43D39" w:rsidR="003433C6">
              <w:rPr>
                <w:rFonts w:ascii="Times New Roman" w:hAnsi="Times New Roman"/>
                <w:sz w:val="20"/>
                <w:szCs w:val="20"/>
              </w:rPr>
              <w:t>se the Service identifier as reported in Z 08.01 (SERV 1).</w:t>
            </w:r>
          </w:p>
          <w:p w:rsidRPr="005F5507" w:rsidR="003433C6" w:rsidP="00513F58" w:rsidRDefault="003433C6" w14:paraId="36C3A15E" w14:textId="644E6161">
            <w:pPr>
              <w:spacing w:before="120" w:after="120" w:line="276" w:lineRule="auto"/>
              <w:rPr>
                <w:rFonts w:ascii="Times New Roman" w:hAnsi="Times New Roman"/>
                <w:iCs/>
                <w:sz w:val="20"/>
                <w:szCs w:val="20"/>
              </w:rPr>
            </w:pPr>
            <w:r w:rsidRPr="00D43D39">
              <w:rPr>
                <w:rFonts w:ascii="Times New Roman" w:hAnsi="Times New Roman"/>
                <w:sz w:val="20"/>
                <w:szCs w:val="20"/>
              </w:rPr>
              <w:t>The service identifier refer</w:t>
            </w:r>
            <w:r w:rsidR="002526C2">
              <w:rPr>
                <w:rFonts w:ascii="Times New Roman" w:hAnsi="Times New Roman"/>
                <w:sz w:val="20"/>
                <w:szCs w:val="20"/>
              </w:rPr>
              <w:t>s</w:t>
            </w:r>
            <w:r w:rsidRPr="00D43D39">
              <w:rPr>
                <w:rFonts w:ascii="Times New Roman" w:hAnsi="Times New Roman"/>
                <w:sz w:val="20"/>
                <w:szCs w:val="20"/>
              </w:rPr>
              <w:t xml:space="preserve"> to the service reported under c0020.</w:t>
            </w:r>
          </w:p>
        </w:tc>
      </w:tr>
      <w:tr w:rsidRPr="00D43D39" w:rsidR="003433C6" w:rsidTr="005F5507" w14:paraId="4D98AFBF" w14:textId="77777777">
        <w:trPr>
          <w:trHeight w:val="450"/>
        </w:trPr>
        <w:tc>
          <w:tcPr>
            <w:tcW w:w="1418" w:type="dxa"/>
          </w:tcPr>
          <w:p w:rsidRPr="00D43D39" w:rsidR="003433C6" w:rsidP="00513F58" w:rsidRDefault="003433C6" w14:paraId="4BE4E2B8" w14:textId="77777777">
            <w:pPr>
              <w:spacing w:before="120" w:after="120" w:line="276" w:lineRule="auto"/>
              <w:rPr>
                <w:rFonts w:ascii="Times New Roman" w:hAnsi="Times New Roman"/>
                <w:sz w:val="20"/>
                <w:szCs w:val="20"/>
              </w:rPr>
            </w:pPr>
            <w:r w:rsidRPr="00D43D39">
              <w:rPr>
                <w:rFonts w:ascii="Times New Roman" w:hAnsi="Times New Roman"/>
                <w:sz w:val="20"/>
                <w:szCs w:val="20"/>
              </w:rPr>
              <w:t>0010</w:t>
            </w:r>
          </w:p>
        </w:tc>
        <w:tc>
          <w:tcPr>
            <w:tcW w:w="7649" w:type="dxa"/>
          </w:tcPr>
          <w:p w:rsidRPr="00D43D39" w:rsidR="003433C6" w:rsidP="00513F58" w:rsidRDefault="003433C6" w14:paraId="26DA857C" w14:textId="77777777">
            <w:pPr>
              <w:autoSpaceDE w:val="0"/>
              <w:autoSpaceDN w:val="0"/>
              <w:adjustRightInd w:val="0"/>
              <w:rPr>
                <w:rFonts w:ascii="Times New Roman" w:hAnsi="Times New Roman" w:eastAsia="MS Mincho"/>
                <w:b/>
                <w:bCs/>
                <w:sz w:val="20"/>
                <w:szCs w:val="20"/>
                <w:lang w:eastAsia="en-GB"/>
              </w:rPr>
            </w:pPr>
            <w:r w:rsidRPr="00D43D39">
              <w:rPr>
                <w:rFonts w:ascii="Times New Roman" w:hAnsi="Times New Roman"/>
                <w:b/>
                <w:bCs/>
                <w:sz w:val="20"/>
                <w:szCs w:val="20"/>
              </w:rPr>
              <w:t>Service type</w:t>
            </w:r>
            <w:r w:rsidRPr="00D43D39">
              <w:rPr>
                <w:rFonts w:ascii="Times New Roman" w:hAnsi="Times New Roman" w:eastAsia="MS Mincho"/>
                <w:b/>
                <w:bCs/>
                <w:sz w:val="20"/>
                <w:szCs w:val="20"/>
                <w:lang w:eastAsia="en-GB"/>
              </w:rPr>
              <w:t xml:space="preserve"> </w:t>
            </w:r>
          </w:p>
          <w:p w:rsidRPr="00D43D39" w:rsidR="003433C6" w:rsidP="00513F58" w:rsidRDefault="003433C6" w14:paraId="283FBB51"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The service type shall be one of the service types listed below. </w:t>
            </w:r>
          </w:p>
          <w:p w:rsidRPr="00D43D39" w:rsidR="003433C6" w:rsidP="00513F58" w:rsidRDefault="003433C6" w14:paraId="3001E107" w14:textId="77777777">
            <w:pPr>
              <w:spacing w:before="120" w:after="120" w:line="276" w:lineRule="auto"/>
              <w:rPr>
                <w:rFonts w:ascii="Times New Roman" w:hAnsi="Times New Roman"/>
                <w:sz w:val="20"/>
                <w:szCs w:val="20"/>
              </w:rPr>
            </w:pPr>
            <w:r w:rsidRPr="00D43D39">
              <w:rPr>
                <w:rFonts w:ascii="Times New Roman" w:hAnsi="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p>
          <w:p w:rsidRPr="00D43D39" w:rsidR="003433C6" w:rsidP="00513F58" w:rsidRDefault="003433C6" w14:paraId="532291C6"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1. Human resources support </w:t>
            </w:r>
          </w:p>
          <w:p w:rsidRPr="00D43D39" w:rsidR="003433C6" w:rsidP="00513F58" w:rsidRDefault="003433C6" w14:paraId="703F36A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1.1 staff administration, including administration of contracts and remuneration </w:t>
            </w:r>
          </w:p>
          <w:p w:rsidRPr="00D43D39" w:rsidR="003433C6" w:rsidP="00513F58" w:rsidRDefault="003433C6" w14:paraId="4420FA8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1.2 internal communication</w:t>
            </w:r>
          </w:p>
          <w:p w:rsidRPr="00D43D39" w:rsidR="003433C6" w:rsidP="00513F58" w:rsidRDefault="003433C6" w14:paraId="40375D0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1.3 external communication</w:t>
            </w:r>
          </w:p>
          <w:p w:rsidRPr="00D43D39" w:rsidR="003433C6" w:rsidDel="00106D64" w:rsidP="00513F58" w:rsidRDefault="003433C6" w14:paraId="26F82BBC"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1.4 other</w:t>
            </w:r>
          </w:p>
          <w:p w:rsidRPr="00D43D39" w:rsidR="003433C6" w:rsidP="00513F58" w:rsidRDefault="003433C6" w14:paraId="19B29780" w14:textId="77777777">
            <w:pPr>
              <w:autoSpaceDE w:val="0"/>
              <w:autoSpaceDN w:val="0"/>
              <w:adjustRightInd w:val="0"/>
              <w:ind w:left="708"/>
              <w:rPr>
                <w:rFonts w:ascii="Times New Roman" w:hAnsi="Times New Roman" w:eastAsia="MS Mincho"/>
                <w:sz w:val="20"/>
                <w:szCs w:val="20"/>
                <w:lang w:eastAsia="en-GB"/>
              </w:rPr>
            </w:pPr>
          </w:p>
          <w:p w:rsidRPr="00D43D39" w:rsidR="003433C6" w:rsidP="00513F58" w:rsidRDefault="003433C6" w14:paraId="736AD8EC"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 Information technology </w:t>
            </w:r>
          </w:p>
          <w:p w:rsidRPr="00D43D39" w:rsidR="003433C6" w:rsidP="00513F58" w:rsidRDefault="003433C6" w14:paraId="6510C440"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2.1 IT and communication hardware </w:t>
            </w:r>
          </w:p>
          <w:p w:rsidRPr="00D43D39" w:rsidR="003433C6" w:rsidP="00513F58" w:rsidRDefault="003433C6" w14:paraId="4F45C87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2.2 data storage and processing </w:t>
            </w:r>
          </w:p>
          <w:p w:rsidRPr="00D43D39" w:rsidR="003433C6" w:rsidP="00513F58" w:rsidRDefault="003433C6" w14:paraId="4327F7FC"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2.3 other IT infrastructure, workstations, telecommunications, servers, data centres and related services </w:t>
            </w:r>
          </w:p>
          <w:p w:rsidRPr="00D43D39" w:rsidR="003433C6" w:rsidP="00513F58" w:rsidRDefault="003433C6" w14:paraId="6F61635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2.4 administration of software licenses and application software </w:t>
            </w:r>
          </w:p>
          <w:p w:rsidRPr="00D43D39" w:rsidR="003433C6" w:rsidP="00513F58" w:rsidRDefault="003433C6" w14:paraId="062C4CC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2.5 access to external providers, in particular data and infrastructure providers </w:t>
            </w:r>
          </w:p>
          <w:p w:rsidRPr="00D43D39" w:rsidR="003433C6" w:rsidP="00513F58" w:rsidRDefault="003433C6" w14:paraId="6C896DA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2.6 application maintenance, including software application maintenance and related data flows </w:t>
            </w:r>
          </w:p>
          <w:p w:rsidRPr="00D43D39" w:rsidR="003433C6" w:rsidP="00513F58" w:rsidRDefault="003433C6" w14:paraId="6F400B2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2.7 report generation, internal information flows and data bases </w:t>
            </w:r>
          </w:p>
          <w:p w:rsidRPr="00D43D39" w:rsidR="003433C6" w:rsidP="00513F58" w:rsidRDefault="003433C6" w14:paraId="06F8208D"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2.8 user support </w:t>
            </w:r>
          </w:p>
          <w:p w:rsidRPr="00D43D39" w:rsidR="003433C6" w:rsidP="00513F58" w:rsidRDefault="003433C6" w14:paraId="780564C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2.9 emergency and disaster recovery</w:t>
            </w:r>
          </w:p>
          <w:p w:rsidRPr="00D43D39" w:rsidR="003433C6" w:rsidDel="00106D64" w:rsidP="00513F58" w:rsidRDefault="003433C6" w14:paraId="01F9641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2.10 other</w:t>
            </w:r>
          </w:p>
          <w:p w:rsidRPr="00D43D39" w:rsidR="003433C6" w:rsidP="00513F58" w:rsidRDefault="003433C6" w14:paraId="5782A3BF"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49D0AFDA"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3. Transaction processing, including legal transactional issues, in particular anti-money laundering </w:t>
            </w:r>
          </w:p>
          <w:p w:rsidRPr="00D43D39" w:rsidR="003433C6" w:rsidP="00513F58" w:rsidRDefault="003433C6" w14:paraId="65F72A64"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56222341"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 Real estate and facility provision or management and associated facilities </w:t>
            </w:r>
          </w:p>
          <w:p w:rsidRPr="00D43D39" w:rsidR="003433C6" w:rsidP="00513F58" w:rsidRDefault="003433C6" w14:paraId="76AF682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4.1 office premises and storage </w:t>
            </w:r>
          </w:p>
          <w:p w:rsidRPr="00D43D39" w:rsidR="003433C6" w:rsidP="00513F58" w:rsidRDefault="003433C6" w14:paraId="423B7D7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4.2 internal facilities management </w:t>
            </w:r>
          </w:p>
          <w:p w:rsidRPr="00D43D39" w:rsidR="003433C6" w:rsidP="00513F58" w:rsidRDefault="003433C6" w14:paraId="7F48AA8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4.3 security and access control </w:t>
            </w:r>
          </w:p>
          <w:p w:rsidRPr="00D43D39" w:rsidR="003433C6" w:rsidP="00513F58" w:rsidRDefault="003433C6" w14:paraId="21C2B94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4.4 real estate portfolio management </w:t>
            </w:r>
          </w:p>
          <w:p w:rsidRPr="00D43D39" w:rsidR="003433C6" w:rsidP="00513F58" w:rsidRDefault="003433C6" w14:paraId="464B00DB" w14:textId="202DC286">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4.5 other, </w:t>
            </w:r>
            <w:r w:rsidR="00937E62">
              <w:rPr>
                <w:rFonts w:ascii="Times New Roman" w:hAnsi="Times New Roman" w:eastAsia="MS Mincho"/>
                <w:sz w:val="20"/>
                <w:szCs w:val="20"/>
                <w:lang w:eastAsia="en-GB"/>
              </w:rPr>
              <w:t>(</w:t>
            </w:r>
            <w:r w:rsidRPr="00D43D39">
              <w:rPr>
                <w:rFonts w:ascii="Times New Roman" w:hAnsi="Times New Roman" w:eastAsia="MS Mincho"/>
                <w:sz w:val="20"/>
                <w:szCs w:val="20"/>
                <w:lang w:eastAsia="en-GB"/>
              </w:rPr>
              <w:t>specify</w:t>
            </w:r>
            <w:r w:rsidR="00937E62">
              <w:rPr>
                <w:rFonts w:ascii="Times New Roman" w:hAnsi="Times New Roman" w:eastAsia="MS Mincho"/>
                <w:sz w:val="20"/>
                <w:szCs w:val="20"/>
                <w:lang w:eastAsia="en-GB"/>
              </w:rPr>
              <w:t>)</w:t>
            </w:r>
            <w:r w:rsidRPr="00D43D39">
              <w:rPr>
                <w:rFonts w:ascii="Times New Roman" w:hAnsi="Times New Roman" w:eastAsia="MS Mincho"/>
                <w:sz w:val="20"/>
                <w:szCs w:val="20"/>
                <w:lang w:eastAsia="en-GB"/>
              </w:rPr>
              <w:t xml:space="preserve"> </w:t>
            </w:r>
          </w:p>
          <w:p w:rsidRPr="00D43D39" w:rsidR="003433C6" w:rsidP="00513F58" w:rsidRDefault="003433C6" w14:paraId="466CBB82"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54623DEC"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 Legal services and compliance functions </w:t>
            </w:r>
          </w:p>
          <w:p w:rsidRPr="00D43D39" w:rsidR="003433C6" w:rsidP="00513F58" w:rsidRDefault="003433C6" w14:paraId="57EE5C7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5.1 corporate legal support </w:t>
            </w:r>
          </w:p>
          <w:p w:rsidRPr="00D43D39" w:rsidR="003433C6" w:rsidP="00513F58" w:rsidRDefault="003433C6" w14:paraId="6E5DA02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5.2 business and transactional legal services </w:t>
            </w:r>
          </w:p>
          <w:p w:rsidRPr="00D43D39" w:rsidR="003433C6" w:rsidP="00513F58" w:rsidRDefault="003433C6" w14:paraId="18D7274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5.3 compliance support </w:t>
            </w:r>
          </w:p>
          <w:p w:rsidRPr="00D43D39" w:rsidR="003433C6" w:rsidDel="00106D64" w:rsidP="00513F58" w:rsidRDefault="003433C6" w14:paraId="110BBB79"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5.4 other</w:t>
            </w:r>
          </w:p>
          <w:p w:rsidRPr="00D43D39" w:rsidR="003433C6" w:rsidP="00513F58" w:rsidRDefault="003433C6" w14:paraId="0A23C629" w14:textId="77777777">
            <w:pPr>
              <w:autoSpaceDE w:val="0"/>
              <w:autoSpaceDN w:val="0"/>
              <w:adjustRightInd w:val="0"/>
              <w:ind w:left="708"/>
              <w:rPr>
                <w:rFonts w:ascii="Times New Roman" w:hAnsi="Times New Roman" w:eastAsia="MS Mincho"/>
                <w:sz w:val="20"/>
                <w:szCs w:val="20"/>
                <w:lang w:eastAsia="en-GB"/>
              </w:rPr>
            </w:pPr>
          </w:p>
          <w:p w:rsidRPr="00D43D39" w:rsidR="003433C6" w:rsidP="00513F58" w:rsidRDefault="003433C6" w14:paraId="1975C506"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 Treasury-related services </w:t>
            </w:r>
          </w:p>
          <w:p w:rsidRPr="00D43D39" w:rsidR="003433C6" w:rsidP="00513F58" w:rsidRDefault="003433C6" w14:paraId="56143E8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6.1 coordination, administration and management of the treasury activity </w:t>
            </w:r>
          </w:p>
          <w:p w:rsidRPr="00D43D39" w:rsidR="003433C6" w:rsidP="00513F58" w:rsidRDefault="003433C6" w14:paraId="61AEFE6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6.2 coordination, administration and management of entity refinancing, including collateral management </w:t>
            </w:r>
          </w:p>
          <w:p w:rsidRPr="00D43D39" w:rsidR="003433C6" w:rsidP="00513F58" w:rsidRDefault="003433C6" w14:paraId="1163AFC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6.3 reporting function, in particular with respect to regulatory liquidity ratios </w:t>
            </w:r>
          </w:p>
          <w:p w:rsidRPr="00D43D39" w:rsidR="003433C6" w:rsidP="00513F58" w:rsidRDefault="003433C6" w14:paraId="385C569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6.4 coordination, administration and management of medium and long-term funding programs, and refinancing of group entities </w:t>
            </w:r>
          </w:p>
          <w:p w:rsidRPr="00D43D39" w:rsidR="003433C6" w:rsidDel="00106D64" w:rsidP="00513F58" w:rsidRDefault="003433C6" w14:paraId="4973AAA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6.5 coordination, administration and management of refinancing, in particular short-term issues</w:t>
            </w:r>
          </w:p>
          <w:p w:rsidRPr="00D43D39" w:rsidR="003433C6" w:rsidP="00513F58" w:rsidRDefault="003433C6" w14:paraId="756614BD"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6.6 other</w:t>
            </w:r>
          </w:p>
          <w:p w:rsidRPr="00D43D39" w:rsidR="003433C6" w:rsidP="00513F58" w:rsidRDefault="003433C6" w14:paraId="68369B95"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11FB85F6"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 Trading/asset management </w:t>
            </w:r>
          </w:p>
          <w:p w:rsidRPr="00D43D39" w:rsidR="003433C6" w:rsidP="00513F58" w:rsidRDefault="003433C6" w14:paraId="794EF83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7.1 operations processing: trade capture, design, realisation, servicing of trading products </w:t>
            </w:r>
          </w:p>
          <w:p w:rsidRPr="00D43D39" w:rsidR="003433C6" w:rsidP="00513F58" w:rsidRDefault="003433C6" w14:paraId="65966678"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7.2 confirmation, settlement, payment </w:t>
            </w:r>
          </w:p>
          <w:p w:rsidRPr="00D43D39" w:rsidR="003433C6" w:rsidP="00513F58" w:rsidRDefault="003433C6" w14:paraId="55E604D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7.3 position and counterparty management, with respect to data reporting and counterparty relationships </w:t>
            </w:r>
          </w:p>
          <w:p w:rsidRPr="00D43D39" w:rsidR="003433C6" w:rsidP="00513F58" w:rsidRDefault="003433C6" w14:paraId="7454F150"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7.4 position management (risk and reconciliation) </w:t>
            </w:r>
          </w:p>
          <w:p w:rsidRPr="00D43D39" w:rsidR="003433C6" w:rsidDel="00106D64" w:rsidP="00513F58" w:rsidRDefault="003433C6" w14:paraId="79BA8D4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7.5 other</w:t>
            </w:r>
          </w:p>
          <w:p w:rsidRPr="00D43D39" w:rsidR="003433C6" w:rsidP="00513F58" w:rsidRDefault="003433C6" w14:paraId="04CA1F48" w14:textId="77777777">
            <w:pPr>
              <w:autoSpaceDE w:val="0"/>
              <w:autoSpaceDN w:val="0"/>
              <w:adjustRightInd w:val="0"/>
              <w:ind w:left="708"/>
              <w:rPr>
                <w:rFonts w:ascii="Times New Roman" w:hAnsi="Times New Roman" w:eastAsia="MS Mincho"/>
                <w:sz w:val="20"/>
                <w:szCs w:val="20"/>
                <w:lang w:eastAsia="en-GB"/>
              </w:rPr>
            </w:pPr>
          </w:p>
          <w:p w:rsidRPr="00D43D39" w:rsidR="003433C6" w:rsidP="00513F58" w:rsidRDefault="003433C6" w14:paraId="591EBBD6"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8. Risk management and valuation </w:t>
            </w:r>
          </w:p>
          <w:p w:rsidRPr="00D43D39" w:rsidR="003433C6" w:rsidP="00513F58" w:rsidRDefault="003433C6" w14:paraId="0B18E0C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8.1 central or business line or risk type-related risk management</w:t>
            </w:r>
          </w:p>
          <w:p w:rsidRPr="00D43D39" w:rsidR="003433C6" w:rsidP="00513F58" w:rsidRDefault="003433C6" w14:paraId="5474ED1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8.2 risk report generation </w:t>
            </w:r>
          </w:p>
          <w:p w:rsidRPr="00D43D39" w:rsidR="003433C6" w:rsidDel="00106D64" w:rsidP="00513F58" w:rsidRDefault="003433C6" w14:paraId="24B781C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8.3 other</w:t>
            </w:r>
          </w:p>
          <w:p w:rsidRPr="00D43D39" w:rsidR="003433C6" w:rsidP="00513F58" w:rsidRDefault="003433C6" w14:paraId="2EFAE957" w14:textId="77777777">
            <w:pPr>
              <w:autoSpaceDE w:val="0"/>
              <w:autoSpaceDN w:val="0"/>
              <w:adjustRightInd w:val="0"/>
              <w:rPr>
                <w:rFonts w:ascii="Times New Roman" w:hAnsi="Times New Roman" w:eastAsia="MS Mincho"/>
                <w:sz w:val="20"/>
                <w:szCs w:val="20"/>
                <w:lang w:eastAsia="en-GB"/>
              </w:rPr>
            </w:pPr>
          </w:p>
          <w:p w:rsidRPr="00D43D39" w:rsidR="003433C6" w:rsidP="00513F58" w:rsidRDefault="003433C6" w14:paraId="6AD688F7"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 Accounting </w:t>
            </w:r>
          </w:p>
          <w:p w:rsidRPr="00D43D39" w:rsidR="003433C6" w:rsidP="00513F58" w:rsidRDefault="003433C6" w14:paraId="43516E2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9.1 statutory and regulatory reporting </w:t>
            </w:r>
          </w:p>
          <w:p w:rsidRPr="00D43D39" w:rsidR="003433C6" w:rsidP="00513F58" w:rsidRDefault="003433C6" w14:paraId="25FCBDB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9.2 valuation, in particular of market positions </w:t>
            </w:r>
          </w:p>
          <w:p w:rsidRPr="00D43D39" w:rsidR="003433C6" w:rsidDel="00106D64" w:rsidP="00513F58" w:rsidRDefault="003433C6" w14:paraId="6C06071D"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9.3 management reporting </w:t>
            </w:r>
          </w:p>
          <w:p w:rsidRPr="00D43D39" w:rsidR="003433C6" w:rsidP="00513F58" w:rsidRDefault="003433C6" w14:paraId="3E4BDF3E" w14:textId="77777777">
            <w:pPr>
              <w:autoSpaceDE w:val="0"/>
              <w:autoSpaceDN w:val="0"/>
              <w:adjustRightInd w:val="0"/>
              <w:ind w:left="708"/>
              <w:rPr>
                <w:rFonts w:ascii="Times New Roman" w:hAnsi="Times New Roman" w:eastAsia="MS Mincho"/>
                <w:sz w:val="20"/>
                <w:szCs w:val="20"/>
                <w:lang w:eastAsia="en-GB"/>
              </w:rPr>
            </w:pPr>
            <w:r w:rsidRPr="00D43D39" w:rsidDel="00106D64">
              <w:rPr>
                <w:rFonts w:ascii="Times New Roman" w:hAnsi="Times New Roman" w:eastAsia="MS Mincho"/>
                <w:sz w:val="20"/>
                <w:szCs w:val="20"/>
                <w:lang w:eastAsia="en-GB"/>
              </w:rPr>
              <w:t>9.4 other</w:t>
            </w:r>
          </w:p>
          <w:p w:rsidRPr="00D43D39" w:rsidR="003433C6" w:rsidP="00513F58" w:rsidRDefault="003433C6" w14:paraId="7FC0232A" w14:textId="77777777">
            <w:pPr>
              <w:autoSpaceDE w:val="0"/>
              <w:autoSpaceDN w:val="0"/>
              <w:adjustRightInd w:val="0"/>
              <w:ind w:left="708"/>
              <w:rPr>
                <w:rFonts w:ascii="Times New Roman" w:hAnsi="Times New Roman" w:eastAsia="MS Mincho"/>
                <w:sz w:val="20"/>
                <w:szCs w:val="20"/>
                <w:lang w:eastAsia="en-GB"/>
              </w:rPr>
            </w:pPr>
          </w:p>
          <w:p w:rsidRPr="00D43D39" w:rsidR="003433C6" w:rsidP="00513F58" w:rsidRDefault="003433C6" w14:paraId="0911F3B4" w14:textId="77777777">
            <w:pPr>
              <w:autoSpaceDE w:val="0"/>
              <w:autoSpaceDN w:val="0"/>
              <w:adjustRightInd w:val="0"/>
              <w:rPr>
                <w:rFonts w:ascii="Times New Roman" w:hAnsi="Times New Roman" w:eastAsia="MS Mincho"/>
                <w:sz w:val="24"/>
                <w:szCs w:val="20"/>
                <w:lang w:eastAsia="en-GB"/>
              </w:rPr>
            </w:pPr>
            <w:r w:rsidRPr="00D43D39">
              <w:rPr>
                <w:rFonts w:ascii="Times New Roman" w:hAnsi="Times New Roman" w:eastAsia="MS Mincho"/>
                <w:sz w:val="20"/>
                <w:szCs w:val="20"/>
                <w:lang w:eastAsia="en-GB"/>
              </w:rPr>
              <w:t>10. Cash handling</w:t>
            </w:r>
            <w:r w:rsidRPr="00D43D39">
              <w:rPr>
                <w:rFonts w:ascii="Times New Roman" w:hAnsi="Times New Roman" w:eastAsia="MS Mincho"/>
                <w:sz w:val="24"/>
                <w:szCs w:val="20"/>
                <w:lang w:eastAsia="en-GB"/>
              </w:rPr>
              <w:t xml:space="preserve"> </w:t>
            </w:r>
          </w:p>
          <w:p w:rsidRPr="00D43D39" w:rsidR="003433C6" w:rsidP="00513F58" w:rsidRDefault="003433C6" w14:paraId="10BEF42B" w14:textId="77777777">
            <w:pPr>
              <w:autoSpaceDE w:val="0"/>
              <w:autoSpaceDN w:val="0"/>
              <w:adjustRightInd w:val="0"/>
              <w:rPr>
                <w:rFonts w:ascii="Times New Roman" w:hAnsi="Times New Roman" w:eastAsia="MS Mincho"/>
                <w:sz w:val="24"/>
                <w:szCs w:val="20"/>
                <w:lang w:eastAsia="en-GB"/>
              </w:rPr>
            </w:pPr>
          </w:p>
          <w:p w:rsidRPr="00D43D39" w:rsidR="003433C6" w:rsidDel="00106D64" w:rsidP="00513F58" w:rsidRDefault="003433C6" w14:paraId="08A9DCCF" w14:textId="77777777">
            <w:pPr>
              <w:autoSpaceDE w:val="0"/>
              <w:autoSpaceDN w:val="0"/>
              <w:adjustRightInd w:val="0"/>
              <w:rPr>
                <w:rFonts w:ascii="Times New Roman" w:hAnsi="Times New Roman" w:eastAsia="MS Mincho"/>
                <w:sz w:val="20"/>
                <w:lang w:eastAsia="en-GB"/>
              </w:rPr>
            </w:pPr>
            <w:r w:rsidRPr="00D43D39">
              <w:rPr>
                <w:rFonts w:ascii="Times New Roman" w:hAnsi="Times New Roman" w:eastAsia="MS Mincho"/>
                <w:sz w:val="20"/>
                <w:szCs w:val="20"/>
                <w:lang w:eastAsia="en-GB"/>
              </w:rPr>
              <w:t>11. Other</w:t>
            </w:r>
          </w:p>
          <w:p w:rsidRPr="00D43D39" w:rsidR="003433C6" w:rsidP="00513F58" w:rsidRDefault="003433C6" w14:paraId="778893BD" w14:textId="77777777">
            <w:pPr>
              <w:spacing w:before="120" w:after="120" w:line="276" w:lineRule="auto"/>
              <w:rPr>
                <w:rFonts w:ascii="Times New Roman" w:hAnsi="Times New Roman"/>
                <w:sz w:val="20"/>
                <w:szCs w:val="20"/>
              </w:rPr>
            </w:pPr>
            <w:r w:rsidRPr="00D43D39">
              <w:rPr>
                <w:rFonts w:ascii="Times New Roman" w:hAnsi="Times New Roman"/>
                <w:b/>
                <w:i/>
                <w:sz w:val="20"/>
                <w:szCs w:val="20"/>
              </w:rPr>
              <w:t xml:space="preserve"> </w:t>
            </w:r>
          </w:p>
        </w:tc>
      </w:tr>
      <w:tr w:rsidRPr="00D43D39" w:rsidR="003433C6" w:rsidTr="005F5507" w14:paraId="213ECA20" w14:textId="77777777">
        <w:trPr>
          <w:trHeight w:val="450"/>
        </w:trPr>
        <w:tc>
          <w:tcPr>
            <w:tcW w:w="1418" w:type="dxa"/>
          </w:tcPr>
          <w:p w:rsidRPr="00D43D39" w:rsidR="003433C6" w:rsidP="00513F58" w:rsidRDefault="003433C6" w14:paraId="59B7CD27" w14:textId="77777777">
            <w:pPr>
              <w:spacing w:before="120" w:after="120" w:line="276" w:lineRule="auto"/>
              <w:rPr>
                <w:rFonts w:ascii="Times New Roman" w:hAnsi="Times New Roman"/>
                <w:sz w:val="20"/>
                <w:szCs w:val="20"/>
              </w:rPr>
            </w:pPr>
            <w:r w:rsidRPr="00D43D39">
              <w:rPr>
                <w:rFonts w:ascii="Times New Roman" w:hAnsi="Times New Roman"/>
                <w:sz w:val="20"/>
                <w:szCs w:val="20"/>
              </w:rPr>
              <w:t>0020</w:t>
            </w:r>
          </w:p>
        </w:tc>
        <w:tc>
          <w:tcPr>
            <w:tcW w:w="7649" w:type="dxa"/>
          </w:tcPr>
          <w:p w:rsidRPr="00D43D39" w:rsidR="003433C6" w:rsidP="00513F58" w:rsidRDefault="003433C6" w14:paraId="7B4639B1" w14:textId="77777777">
            <w:pPr>
              <w:spacing w:line="276" w:lineRule="auto"/>
              <w:jc w:val="both"/>
              <w:rPr>
                <w:rFonts w:ascii="Times New Roman" w:hAnsi="Times New Roman"/>
                <w:sz w:val="20"/>
              </w:rPr>
            </w:pPr>
            <w:r w:rsidRPr="00D43D39">
              <w:rPr>
                <w:rFonts w:ascii="Times New Roman" w:hAnsi="Times New Roman"/>
                <w:b/>
                <w:bCs/>
                <w:sz w:val="20"/>
                <w:szCs w:val="20"/>
              </w:rPr>
              <w:t>Unique service title as per bank taxonomy</w:t>
            </w:r>
            <w:r w:rsidRPr="00D43D39">
              <w:rPr>
                <w:rFonts w:ascii="Times New Roman" w:hAnsi="Times New Roman"/>
                <w:b/>
                <w:bCs/>
                <w:sz w:val="20"/>
              </w:rPr>
              <w:t xml:space="preserve"> </w:t>
            </w:r>
          </w:p>
          <w:p w:rsidRPr="00D43D39" w:rsidR="003433C6" w:rsidP="00513F58" w:rsidRDefault="003433C6" w14:paraId="5020240D" w14:textId="77777777">
            <w:pPr>
              <w:spacing w:line="276" w:lineRule="auto"/>
              <w:jc w:val="both"/>
              <w:rPr>
                <w:rFonts w:ascii="Times New Roman" w:hAnsi="Times New Roman"/>
                <w:sz w:val="20"/>
              </w:rPr>
            </w:pPr>
            <w:r w:rsidRPr="00D43D39">
              <w:rPr>
                <w:rFonts w:ascii="Times New Roman" w:hAnsi="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p>
          <w:p w:rsidRPr="00D43D39" w:rsidR="003433C6" w:rsidP="00513F58" w:rsidRDefault="003433C6" w14:paraId="7C13DE29" w14:textId="77777777">
            <w:pPr>
              <w:spacing w:before="120" w:after="120" w:line="276" w:lineRule="auto"/>
              <w:rPr>
                <w:rFonts w:ascii="Times New Roman" w:hAnsi="Times New Roman"/>
                <w:sz w:val="20"/>
                <w:szCs w:val="20"/>
              </w:rPr>
            </w:pPr>
          </w:p>
        </w:tc>
      </w:tr>
      <w:tr w:rsidRPr="00D43D39" w:rsidR="003433C6" w:rsidTr="005F5507" w14:paraId="213D432B" w14:textId="77777777">
        <w:trPr>
          <w:trHeight w:val="450"/>
        </w:trPr>
        <w:tc>
          <w:tcPr>
            <w:tcW w:w="1418" w:type="dxa"/>
          </w:tcPr>
          <w:p w:rsidRPr="00D43D39" w:rsidR="003433C6" w:rsidP="00513F58" w:rsidRDefault="003433C6" w14:paraId="4E5A7C3C" w14:textId="77777777">
            <w:pPr>
              <w:spacing w:before="120" w:after="120" w:line="276" w:lineRule="auto"/>
              <w:rPr>
                <w:rFonts w:ascii="Times New Roman" w:hAnsi="Times New Roman"/>
                <w:b/>
                <w:sz w:val="20"/>
                <w:szCs w:val="20"/>
              </w:rPr>
            </w:pPr>
            <w:r w:rsidRPr="00D43D39">
              <w:rPr>
                <w:rFonts w:ascii="Times New Roman" w:hAnsi="Times New Roman"/>
                <w:sz w:val="20"/>
                <w:szCs w:val="20"/>
              </w:rPr>
              <w:t>0030</w:t>
            </w:r>
          </w:p>
        </w:tc>
        <w:tc>
          <w:tcPr>
            <w:tcW w:w="7649" w:type="dxa"/>
          </w:tcPr>
          <w:p w:rsidRPr="00D43D39" w:rsidR="003433C6" w:rsidP="00513F58" w:rsidRDefault="003433C6" w14:paraId="005CE92F" w14:textId="77777777">
            <w:pPr>
              <w:spacing w:before="120" w:after="120" w:line="276" w:lineRule="auto"/>
              <w:rPr>
                <w:rFonts w:ascii="Times New Roman" w:hAnsi="Times New Roman"/>
                <w:b/>
                <w:bCs/>
                <w:sz w:val="20"/>
              </w:rPr>
            </w:pPr>
            <w:r w:rsidRPr="00D43D39">
              <w:rPr>
                <w:rFonts w:ascii="Times New Roman" w:hAnsi="Times New Roman"/>
                <w:b/>
                <w:bCs/>
                <w:sz w:val="20"/>
                <w:szCs w:val="20"/>
              </w:rPr>
              <w:t>Role ID</w:t>
            </w:r>
            <w:r w:rsidRPr="00D43D39">
              <w:rPr>
                <w:rFonts w:ascii="Times New Roman" w:hAnsi="Times New Roman"/>
                <w:b/>
                <w:bCs/>
                <w:sz w:val="20"/>
              </w:rPr>
              <w:t xml:space="preserve"> </w:t>
            </w:r>
          </w:p>
          <w:p w:rsidRPr="00D43D39" w:rsidR="003433C6" w:rsidP="00513F58" w:rsidRDefault="003433C6" w14:paraId="076A6C52" w14:textId="037FC992">
            <w:pPr>
              <w:spacing w:before="120" w:after="120" w:line="276" w:lineRule="auto"/>
              <w:rPr>
                <w:rFonts w:ascii="Times New Roman" w:hAnsi="Times New Roman"/>
                <w:sz w:val="20"/>
              </w:rPr>
            </w:pPr>
            <w:r w:rsidRPr="00D43D39">
              <w:rPr>
                <w:rFonts w:ascii="Times New Roman" w:hAnsi="Times New Roman"/>
                <w:sz w:val="20"/>
              </w:rPr>
              <w:t>The role identifier refer</w:t>
            </w:r>
            <w:r w:rsidR="002526C2">
              <w:rPr>
                <w:rFonts w:ascii="Times New Roman" w:hAnsi="Times New Roman"/>
                <w:sz w:val="20"/>
              </w:rPr>
              <w:t>s</w:t>
            </w:r>
            <w:r w:rsidRPr="00D43D39">
              <w:rPr>
                <w:rFonts w:ascii="Times New Roman" w:hAnsi="Times New Roman"/>
                <w:sz w:val="20"/>
              </w:rPr>
              <w:t xml:space="preserve"> to the role reported under c0040.</w:t>
            </w:r>
          </w:p>
          <w:p w:rsidRPr="00D43D39" w:rsidR="003433C6" w:rsidP="00513F58" w:rsidRDefault="003433C6" w14:paraId="18CA3AC4" w14:textId="77777777">
            <w:pPr>
              <w:spacing w:before="120" w:after="120" w:line="276" w:lineRule="auto"/>
              <w:rPr>
                <w:rFonts w:ascii="Times New Roman" w:hAnsi="Times New Roman"/>
                <w:sz w:val="20"/>
                <w:szCs w:val="20"/>
              </w:rPr>
            </w:pPr>
          </w:p>
        </w:tc>
      </w:tr>
      <w:tr w:rsidRPr="00D43D39" w:rsidR="003433C6" w:rsidTr="005F5507" w14:paraId="184CD48D" w14:textId="77777777">
        <w:trPr>
          <w:trHeight w:val="450"/>
        </w:trPr>
        <w:tc>
          <w:tcPr>
            <w:tcW w:w="1418" w:type="dxa"/>
          </w:tcPr>
          <w:p w:rsidRPr="00D43D39" w:rsidR="003433C6" w:rsidP="00513F58" w:rsidRDefault="003433C6" w14:paraId="1AE6B7BE" w14:textId="77777777">
            <w:pPr>
              <w:spacing w:before="120" w:after="120" w:line="276" w:lineRule="auto"/>
              <w:rPr>
                <w:rFonts w:ascii="Times New Roman" w:hAnsi="Times New Roman"/>
                <w:sz w:val="20"/>
                <w:szCs w:val="20"/>
              </w:rPr>
            </w:pPr>
            <w:r w:rsidRPr="00D43D39">
              <w:rPr>
                <w:rFonts w:ascii="Times New Roman" w:hAnsi="Times New Roman"/>
                <w:sz w:val="20"/>
                <w:szCs w:val="20"/>
              </w:rPr>
              <w:t>0040</w:t>
            </w:r>
          </w:p>
        </w:tc>
        <w:tc>
          <w:tcPr>
            <w:tcW w:w="7649" w:type="dxa"/>
          </w:tcPr>
          <w:p w:rsidRPr="00D43D39" w:rsidR="003433C6" w:rsidP="00513F58" w:rsidRDefault="003433C6" w14:paraId="2023A8C6" w14:textId="77777777">
            <w:pPr>
              <w:spacing w:before="120" w:after="120" w:line="276" w:lineRule="auto"/>
              <w:rPr>
                <w:rFonts w:ascii="Times New Roman" w:hAnsi="Times New Roman"/>
                <w:b/>
                <w:bCs/>
                <w:sz w:val="20"/>
                <w:szCs w:val="20"/>
              </w:rPr>
            </w:pPr>
            <w:r w:rsidRPr="00D43D39">
              <w:rPr>
                <w:rFonts w:ascii="Times New Roman" w:hAnsi="Times New Roman"/>
                <w:b/>
                <w:bCs/>
                <w:sz w:val="20"/>
                <w:szCs w:val="20"/>
              </w:rPr>
              <w:t>Role Name</w:t>
            </w:r>
          </w:p>
          <w:p w:rsidRPr="00D43D39" w:rsidR="003433C6" w:rsidP="00513F58" w:rsidRDefault="003433C6" w14:paraId="130E88FA" w14:textId="77777777">
            <w:pPr>
              <w:spacing w:line="276" w:lineRule="auto"/>
              <w:jc w:val="both"/>
              <w:rPr>
                <w:rFonts w:ascii="Times New Roman" w:hAnsi="Times New Roman"/>
                <w:sz w:val="20"/>
              </w:rPr>
            </w:pPr>
            <w:r w:rsidRPr="00D43D39">
              <w:rPr>
                <w:rFonts w:ascii="Times New Roman" w:hAnsi="Times New Roman"/>
                <w:sz w:val="20"/>
              </w:rPr>
              <w:t>The internal name used for the specific role.</w:t>
            </w:r>
          </w:p>
          <w:p w:rsidRPr="00D43D39" w:rsidR="003433C6" w:rsidP="00513F58" w:rsidRDefault="003433C6" w14:paraId="2FA99884" w14:textId="77777777">
            <w:pPr>
              <w:spacing w:before="120" w:after="120" w:line="276" w:lineRule="auto"/>
              <w:rPr>
                <w:rFonts w:ascii="Times New Roman" w:hAnsi="Times New Roman"/>
                <w:sz w:val="20"/>
                <w:szCs w:val="20"/>
              </w:rPr>
            </w:pPr>
          </w:p>
        </w:tc>
      </w:tr>
      <w:tr w:rsidRPr="00D43D39" w:rsidR="003433C6" w:rsidTr="005F5507" w14:paraId="1BA365EA" w14:textId="77777777">
        <w:trPr>
          <w:trHeight w:val="450"/>
        </w:trPr>
        <w:tc>
          <w:tcPr>
            <w:tcW w:w="1418" w:type="dxa"/>
          </w:tcPr>
          <w:p w:rsidRPr="00D43D39" w:rsidR="003433C6" w:rsidP="00513F58" w:rsidRDefault="003433C6" w14:paraId="752A77E9" w14:textId="77777777">
            <w:pPr>
              <w:spacing w:before="120" w:after="120" w:line="276" w:lineRule="auto"/>
              <w:rPr>
                <w:rFonts w:ascii="Times New Roman" w:hAnsi="Times New Roman"/>
                <w:sz w:val="20"/>
                <w:szCs w:val="20"/>
              </w:rPr>
            </w:pPr>
            <w:r w:rsidRPr="00D43D39">
              <w:rPr>
                <w:rFonts w:ascii="Times New Roman" w:hAnsi="Times New Roman"/>
                <w:sz w:val="20"/>
                <w:szCs w:val="20"/>
              </w:rPr>
              <w:t>0050</w:t>
            </w:r>
          </w:p>
        </w:tc>
        <w:tc>
          <w:tcPr>
            <w:tcW w:w="7649" w:type="dxa"/>
          </w:tcPr>
          <w:p w:rsidRPr="00D43D39" w:rsidR="003433C6" w:rsidP="00513F58" w:rsidRDefault="003433C6" w14:paraId="7947265E" w14:textId="77777777">
            <w:pPr>
              <w:spacing w:before="120" w:after="120" w:line="276" w:lineRule="auto"/>
              <w:rPr>
                <w:rFonts w:ascii="Times New Roman" w:hAnsi="Times New Roman"/>
                <w:b/>
                <w:bCs/>
                <w:sz w:val="20"/>
                <w:szCs w:val="20"/>
              </w:rPr>
            </w:pPr>
            <w:r w:rsidRPr="00D43D39">
              <w:rPr>
                <w:rFonts w:ascii="Times New Roman" w:hAnsi="Times New Roman"/>
                <w:b/>
                <w:bCs/>
                <w:sz w:val="20"/>
                <w:szCs w:val="20"/>
              </w:rPr>
              <w:t>Department</w:t>
            </w:r>
          </w:p>
          <w:p w:rsidRPr="00D43D39" w:rsidR="003433C6" w:rsidP="00513F58" w:rsidRDefault="003433C6" w14:paraId="3997E6C0" w14:textId="77777777">
            <w:pPr>
              <w:spacing w:line="276" w:lineRule="auto"/>
              <w:jc w:val="both"/>
              <w:rPr>
                <w:rFonts w:ascii="Times New Roman" w:hAnsi="Times New Roman"/>
                <w:sz w:val="20"/>
              </w:rPr>
            </w:pPr>
            <w:r w:rsidRPr="00D43D39">
              <w:rPr>
                <w:rFonts w:ascii="Times New Roman" w:hAnsi="Times New Roman"/>
                <w:sz w:val="20"/>
              </w:rPr>
              <w:t>The internal name used for the specific department where the role name under c0040 belongs.</w:t>
            </w:r>
          </w:p>
          <w:p w:rsidRPr="00D43D39" w:rsidR="003433C6" w:rsidP="00513F58" w:rsidRDefault="003433C6" w14:paraId="137C1E4F" w14:textId="77777777">
            <w:pPr>
              <w:spacing w:line="276" w:lineRule="auto"/>
              <w:jc w:val="both"/>
              <w:rPr>
                <w:rFonts w:ascii="Times New Roman" w:hAnsi="Times New Roman"/>
                <w:iCs/>
                <w:sz w:val="20"/>
              </w:rPr>
            </w:pPr>
          </w:p>
        </w:tc>
      </w:tr>
      <w:tr w:rsidRPr="00D43D39" w:rsidR="003433C6" w:rsidTr="005F5507" w14:paraId="0FAACC59" w14:textId="77777777">
        <w:trPr>
          <w:trHeight w:val="450"/>
        </w:trPr>
        <w:tc>
          <w:tcPr>
            <w:tcW w:w="1418" w:type="dxa"/>
          </w:tcPr>
          <w:p w:rsidRPr="00D43D39" w:rsidR="003433C6" w:rsidP="00513F58" w:rsidRDefault="003433C6" w14:paraId="41DD2E2F" w14:textId="77777777">
            <w:pPr>
              <w:spacing w:before="120" w:after="120" w:line="276" w:lineRule="auto"/>
              <w:rPr>
                <w:rFonts w:ascii="Times New Roman" w:hAnsi="Times New Roman"/>
                <w:sz w:val="20"/>
                <w:szCs w:val="20"/>
              </w:rPr>
            </w:pPr>
            <w:r w:rsidRPr="00D43D39">
              <w:rPr>
                <w:rFonts w:ascii="Times New Roman" w:hAnsi="Times New Roman"/>
                <w:sz w:val="20"/>
                <w:szCs w:val="20"/>
              </w:rPr>
              <w:t>0060</w:t>
            </w:r>
          </w:p>
        </w:tc>
        <w:tc>
          <w:tcPr>
            <w:tcW w:w="7649" w:type="dxa"/>
          </w:tcPr>
          <w:p w:rsidRPr="00D43D39" w:rsidR="003433C6" w:rsidP="00513F58" w:rsidRDefault="003433C6" w14:paraId="5D41A8B3" w14:textId="77777777">
            <w:pPr>
              <w:spacing w:before="120" w:after="120" w:line="276" w:lineRule="auto"/>
              <w:rPr>
                <w:rFonts w:ascii="Times New Roman" w:hAnsi="Times New Roman"/>
                <w:b/>
                <w:bCs/>
                <w:sz w:val="20"/>
                <w:szCs w:val="20"/>
              </w:rPr>
            </w:pPr>
            <w:r w:rsidRPr="00D43D39">
              <w:rPr>
                <w:rFonts w:ascii="Times New Roman" w:hAnsi="Times New Roman"/>
                <w:b/>
                <w:bCs/>
                <w:sz w:val="20"/>
                <w:szCs w:val="20"/>
              </w:rPr>
              <w:t>Criticality</w:t>
            </w:r>
          </w:p>
          <w:p w:rsidRPr="00D43D39" w:rsidR="003433C6" w:rsidP="00513F58" w:rsidRDefault="003433C6" w14:paraId="3AF1BCE2" w14:textId="77777777">
            <w:pPr>
              <w:spacing w:line="276" w:lineRule="auto"/>
              <w:jc w:val="both"/>
              <w:rPr>
                <w:rFonts w:ascii="Times New Roman" w:hAnsi="Times New Roman"/>
                <w:iCs/>
                <w:sz w:val="20"/>
              </w:rPr>
            </w:pPr>
            <w:r w:rsidRPr="00D43D39">
              <w:rPr>
                <w:rFonts w:ascii="Times New Roman" w:hAnsi="Times New Roman"/>
                <w:iCs/>
                <w:sz w:val="20"/>
              </w:rPr>
              <w:t>Report one of the following values:</w:t>
            </w:r>
          </w:p>
          <w:p w:rsidRPr="00D43D39" w:rsidR="003433C6" w:rsidP="00513F58" w:rsidRDefault="003433C6" w14:paraId="66E80C7B" w14:textId="77777777">
            <w:pPr>
              <w:pStyle w:val="ListParagraph"/>
              <w:numPr>
                <w:ilvl w:val="0"/>
                <w:numId w:val="236"/>
              </w:numPr>
              <w:spacing w:line="276" w:lineRule="auto"/>
              <w:contextualSpacing/>
              <w:jc w:val="both"/>
              <w:rPr>
                <w:rFonts w:ascii="Times New Roman" w:hAnsi="Times New Roman"/>
                <w:iCs/>
                <w:sz w:val="20"/>
              </w:rPr>
            </w:pPr>
            <w:r w:rsidRPr="00D43D39">
              <w:rPr>
                <w:rFonts w:ascii="Times New Roman" w:hAnsi="Times New Roman"/>
                <w:iCs/>
                <w:sz w:val="20"/>
              </w:rPr>
              <w:t>Critical: if the service is necessary for the performance of one or more critical functions, whose discontinuity would seriously impede or prevent the performance of those critical functions.</w:t>
            </w:r>
          </w:p>
          <w:p w:rsidRPr="00D43D39" w:rsidR="003433C6" w:rsidP="00513F58" w:rsidRDefault="003433C6" w14:paraId="6F33B77A" w14:textId="77777777">
            <w:pPr>
              <w:pStyle w:val="ListParagraph"/>
              <w:numPr>
                <w:ilvl w:val="0"/>
                <w:numId w:val="236"/>
              </w:numPr>
              <w:spacing w:line="276" w:lineRule="auto"/>
              <w:contextualSpacing/>
              <w:jc w:val="both"/>
              <w:rPr>
                <w:rFonts w:ascii="Times New Roman" w:hAnsi="Times New Roman"/>
                <w:iCs/>
                <w:sz w:val="20"/>
              </w:rPr>
            </w:pPr>
            <w:r w:rsidRPr="00D43D39">
              <w:rPr>
                <w:rFonts w:ascii="Times New Roman" w:hAnsi="Times New Roman"/>
                <w:iCs/>
                <w:sz w:val="20"/>
              </w:rPr>
              <w:t>Essential: if the service is associated with core business lines, whose continuity is necessary for the effective execution of the resolution strategy and any consequent restructuring.</w:t>
            </w:r>
          </w:p>
          <w:p w:rsidRPr="005F5507" w:rsidR="003433C6" w:rsidP="005F5507" w:rsidRDefault="003433C6" w14:paraId="1F684E80" w14:textId="1953725B">
            <w:pPr>
              <w:pStyle w:val="ListParagraph"/>
              <w:numPr>
                <w:ilvl w:val="0"/>
                <w:numId w:val="236"/>
              </w:numPr>
              <w:spacing w:line="276" w:lineRule="auto"/>
              <w:contextualSpacing/>
              <w:jc w:val="both"/>
              <w:rPr>
                <w:rFonts w:ascii="Times New Roman" w:hAnsi="Times New Roman"/>
                <w:iCs/>
                <w:sz w:val="20"/>
              </w:rPr>
            </w:pPr>
            <w:r w:rsidRPr="00D43D39">
              <w:rPr>
                <w:rFonts w:ascii="Times New Roman" w:hAnsi="Times New Roman"/>
                <w:iCs/>
                <w:sz w:val="20"/>
              </w:rPr>
              <w:t>Both</w:t>
            </w:r>
          </w:p>
          <w:p w:rsidRPr="00D43D39" w:rsidR="003433C6" w:rsidP="00513F58" w:rsidRDefault="003433C6" w14:paraId="7F984562" w14:textId="77777777">
            <w:pPr>
              <w:spacing w:before="120" w:after="120" w:line="276" w:lineRule="auto"/>
              <w:rPr>
                <w:rFonts w:ascii="Times New Roman" w:hAnsi="Times New Roman"/>
                <w:sz w:val="20"/>
                <w:szCs w:val="20"/>
              </w:rPr>
            </w:pPr>
          </w:p>
        </w:tc>
      </w:tr>
    </w:tbl>
    <w:p w:rsidRPr="005F5507" w:rsidR="00BC55D2" w:rsidP="00BC55D2" w:rsidRDefault="00BC55D2" w14:paraId="7BC27680" w14:textId="77777777">
      <w:pPr>
        <w:rPr>
          <w:rFonts w:ascii="Times New Roman" w:hAnsi="Times New Roman" w:cs="Times New Roman"/>
        </w:rPr>
      </w:pPr>
    </w:p>
    <w:p w:rsidRPr="005F5507" w:rsidR="00DE5943" w:rsidP="00DE5943" w:rsidRDefault="00B84DC4" w14:paraId="7C87CE3E" w14:textId="0741A5EC">
      <w:pPr>
        <w:pStyle w:val="Instructionsberschrift2"/>
        <w:numPr>
          <w:ilvl w:val="1"/>
          <w:numId w:val="49"/>
        </w:numPr>
        <w:ind w:left="357" w:hanging="357"/>
        <w:rPr>
          <w:rFonts w:ascii="Times New Roman" w:hAnsi="Times New Roman" w:eastAsia="Calibri" w:cs="Times New Roman"/>
          <w:szCs w:val="20"/>
        </w:rPr>
      </w:pPr>
      <w:bookmarkStart w:name="_Toc172732245" w:id="120"/>
      <w:r w:rsidRPr="00D43D39">
        <w:rPr>
          <w:rFonts w:ascii="Times New Roman" w:hAnsi="Times New Roman" w:cs="Times New Roman"/>
        </w:rPr>
        <w:t>Z 08.04 — Critical services – mapping to critical functions (SERV 4)</w:t>
      </w:r>
      <w:bookmarkEnd w:id="120"/>
    </w:p>
    <w:p w:rsidRPr="005F5507" w:rsidR="00DE5943" w:rsidP="00DE5943" w:rsidRDefault="00DE5943" w14:paraId="7E9BED21" w14:textId="77777777">
      <w:pPr>
        <w:pStyle w:val="Instructionsberschrift2"/>
        <w:ind w:left="357"/>
        <w:rPr>
          <w:rFonts w:ascii="Times New Roman" w:hAnsi="Times New Roman" w:eastAsia="MS Mincho" w:cs="Times New Roman"/>
          <w:szCs w:val="20"/>
        </w:rPr>
      </w:pPr>
      <w:bookmarkStart w:name="_Toc164263859" w:id="121"/>
      <w:bookmarkStart w:name="_Toc172732246" w:id="122"/>
      <w:r w:rsidRPr="005F5507">
        <w:rPr>
          <w:rFonts w:ascii="Times New Roman" w:hAnsi="Times New Roman" w:eastAsia="MS Mincho" w:cs="Times New Roman"/>
          <w:szCs w:val="20"/>
        </w:rPr>
        <w:t>General instructions</w:t>
      </w:r>
      <w:bookmarkEnd w:id="121"/>
      <w:bookmarkEnd w:id="122"/>
    </w:p>
    <w:p w:rsidRPr="00D43D39" w:rsidR="00DE5943" w:rsidP="00DE5943" w:rsidRDefault="00DE5943" w14:paraId="3EE50892" w14:textId="77777777">
      <w:pPr>
        <w:spacing w:line="276" w:lineRule="auto"/>
        <w:jc w:val="both"/>
        <w:rPr>
          <w:rFonts w:ascii="Times New Roman" w:hAnsi="Times New Roman" w:eastAsia="Calibri" w:cs="Times New Roman"/>
          <w:sz w:val="20"/>
          <w:szCs w:val="20"/>
        </w:rPr>
      </w:pPr>
    </w:p>
    <w:p w:rsidRPr="00D43D39" w:rsidR="00DE5943" w:rsidP="005F5507" w:rsidRDefault="00DE5943" w14:paraId="73868CFF" w14:textId="77777777">
      <w:pPr>
        <w:pStyle w:val="ListParagraph"/>
        <w:numPr>
          <w:ilvl w:val="0"/>
          <w:numId w:val="267"/>
        </w:numPr>
        <w:ind w:left="1418"/>
        <w:contextualSpacing/>
        <w:jc w:val="both"/>
        <w:rPr>
          <w:rFonts w:ascii="Times New Roman" w:hAnsi="Times New Roman" w:eastAsia="MS Mincho"/>
          <w:sz w:val="20"/>
          <w:szCs w:val="20"/>
        </w:rPr>
      </w:pPr>
      <w:r w:rsidRPr="00D43D39">
        <w:rPr>
          <w:rFonts w:ascii="Times New Roman" w:hAnsi="Times New Roman" w:eastAsia="MS Mincho"/>
          <w:sz w:val="20"/>
          <w:szCs w:val="20"/>
        </w:rPr>
        <w:t>The information to be included in this template shall be reported once for the entire group, list critical services received by any entity in the group, and link them to the critical functions provided by the group.</w:t>
      </w:r>
    </w:p>
    <w:p w:rsidRPr="00D43D39" w:rsidR="00DE5943" w:rsidP="005F5507" w:rsidRDefault="00DE5943" w14:paraId="0BDC092D" w14:textId="77777777">
      <w:pPr>
        <w:pStyle w:val="ListParagraph"/>
        <w:numPr>
          <w:ilvl w:val="0"/>
          <w:numId w:val="267"/>
        </w:numPr>
        <w:ind w:left="1418"/>
        <w:contextualSpacing/>
        <w:jc w:val="both"/>
        <w:rPr>
          <w:rFonts w:ascii="Times New Roman" w:hAnsi="Times New Roman" w:eastAsia="MS Mincho"/>
          <w:sz w:val="20"/>
          <w:szCs w:val="20"/>
        </w:rPr>
      </w:pPr>
      <w:r w:rsidRPr="00D43D39">
        <w:rPr>
          <w:rFonts w:ascii="Times New Roman" w:hAnsi="Times New Roman" w:eastAsia="MS Mincho"/>
          <w:sz w:val="20"/>
          <w:szCs w:val="20"/>
        </w:rPr>
        <w:t>The values reported in columns 0010, 0020, 0030 and 0040 of this template form a primary key, which have to be unique for each row of the template.</w:t>
      </w:r>
    </w:p>
    <w:p w:rsidRPr="005F5507" w:rsidR="00DE5943" w:rsidP="00DE5943" w:rsidRDefault="00DE5943" w14:paraId="1358C49D" w14:textId="77777777">
      <w:pPr>
        <w:rPr>
          <w:rFonts w:ascii="Times New Roman" w:hAnsi="Times New Roman" w:cs="Times New Roman"/>
        </w:rPr>
      </w:pPr>
    </w:p>
    <w:tbl>
      <w:tblPr>
        <w:tblStyle w:val="TableGrid12"/>
        <w:tblW w:w="8926" w:type="dxa"/>
        <w:tblLook w:val="04A0" w:firstRow="1" w:lastRow="0" w:firstColumn="1" w:lastColumn="0" w:noHBand="0" w:noVBand="1"/>
      </w:tblPr>
      <w:tblGrid>
        <w:gridCol w:w="1418"/>
        <w:gridCol w:w="7508"/>
      </w:tblGrid>
      <w:tr w:rsidRPr="00D43D39" w:rsidR="00DE5943" w:rsidTr="005F5507" w14:paraId="78804B07" w14:textId="77777777">
        <w:trPr>
          <w:trHeight w:val="445"/>
          <w:tblHeader/>
        </w:trPr>
        <w:tc>
          <w:tcPr>
            <w:tcW w:w="1418" w:type="dxa"/>
            <w:shd w:val="clear" w:color="auto" w:fill="E7E6E6"/>
          </w:tcPr>
          <w:p w:rsidRPr="00D43D39" w:rsidR="00DE5943" w:rsidP="00493247" w:rsidRDefault="00DE5943" w14:paraId="4F7B7687" w14:textId="77777777">
            <w:pPr>
              <w:spacing w:before="120" w:after="120" w:line="276" w:lineRule="auto"/>
              <w:rPr>
                <w:rFonts w:ascii="Times New Roman" w:hAnsi="Times New Roman"/>
                <w:b/>
                <w:sz w:val="20"/>
                <w:szCs w:val="20"/>
              </w:rPr>
            </w:pPr>
            <w:r w:rsidRPr="00D43D39">
              <w:rPr>
                <w:rFonts w:ascii="Times New Roman" w:hAnsi="Times New Roman"/>
                <w:b/>
                <w:sz w:val="20"/>
                <w:szCs w:val="20"/>
              </w:rPr>
              <w:t>Columns</w:t>
            </w:r>
          </w:p>
        </w:tc>
        <w:tc>
          <w:tcPr>
            <w:tcW w:w="7508" w:type="dxa"/>
            <w:shd w:val="clear" w:color="auto" w:fill="E7E6E6"/>
          </w:tcPr>
          <w:p w:rsidRPr="00D43D39" w:rsidR="00DE5943" w:rsidP="00493247" w:rsidRDefault="00DE5943" w14:paraId="4E7EFB6C" w14:textId="77777777">
            <w:pPr>
              <w:spacing w:before="120" w:after="120" w:line="276" w:lineRule="auto"/>
              <w:rPr>
                <w:rFonts w:ascii="Times New Roman" w:hAnsi="Times New Roman"/>
                <w:b/>
                <w:sz w:val="20"/>
                <w:szCs w:val="20"/>
              </w:rPr>
            </w:pPr>
            <w:r w:rsidRPr="00D43D39">
              <w:rPr>
                <w:rFonts w:ascii="Times New Roman" w:hAnsi="Times New Roman"/>
                <w:b/>
                <w:sz w:val="20"/>
                <w:szCs w:val="20"/>
              </w:rPr>
              <w:t>Instructions</w:t>
            </w:r>
          </w:p>
        </w:tc>
      </w:tr>
      <w:tr w:rsidRPr="00D43D39" w:rsidR="00DE5943" w:rsidTr="00493247" w14:paraId="03CAAC05" w14:textId="77777777">
        <w:trPr>
          <w:trHeight w:val="450"/>
        </w:trPr>
        <w:tc>
          <w:tcPr>
            <w:tcW w:w="1418" w:type="dxa"/>
            <w:shd w:val="clear" w:color="auto" w:fill="FFFFFF"/>
          </w:tcPr>
          <w:p w:rsidRPr="00D43D39" w:rsidR="00DE5943" w:rsidP="00493247" w:rsidRDefault="00DE5943" w14:paraId="6CCB41DA" w14:textId="77777777">
            <w:pPr>
              <w:spacing w:before="120" w:after="120" w:line="276" w:lineRule="auto"/>
              <w:rPr>
                <w:rFonts w:ascii="Times New Roman" w:hAnsi="Times New Roman"/>
                <w:sz w:val="20"/>
                <w:szCs w:val="20"/>
              </w:rPr>
            </w:pPr>
            <w:r w:rsidRPr="00D43D39">
              <w:rPr>
                <w:rFonts w:ascii="Times New Roman" w:hAnsi="Times New Roman"/>
                <w:sz w:val="20"/>
                <w:szCs w:val="20"/>
              </w:rPr>
              <w:t>0005</w:t>
            </w:r>
          </w:p>
        </w:tc>
        <w:tc>
          <w:tcPr>
            <w:tcW w:w="7508" w:type="dxa"/>
            <w:shd w:val="clear" w:color="auto" w:fill="FFFFFF"/>
          </w:tcPr>
          <w:p w:rsidRPr="00D43D39" w:rsidR="00DE5943" w:rsidP="00493247" w:rsidRDefault="00DE5943" w14:paraId="4CAA4134" w14:textId="77777777">
            <w:pPr>
              <w:spacing w:before="120" w:after="120" w:line="276" w:lineRule="auto"/>
              <w:rPr>
                <w:rFonts w:ascii="Times New Roman" w:hAnsi="Times New Roman"/>
                <w:sz w:val="20"/>
                <w:szCs w:val="20"/>
              </w:rPr>
            </w:pPr>
            <w:r w:rsidRPr="00D43D39">
              <w:rPr>
                <w:rFonts w:ascii="Times New Roman" w:hAnsi="Times New Roman"/>
                <w:b/>
                <w:bCs/>
                <w:sz w:val="20"/>
                <w:szCs w:val="20"/>
              </w:rPr>
              <w:t xml:space="preserve">Service </w:t>
            </w:r>
            <w:r w:rsidRPr="00D43D39" w:rsidDel="00106D64">
              <w:rPr>
                <w:rFonts w:ascii="Times New Roman" w:hAnsi="Times New Roman"/>
                <w:b/>
                <w:bCs/>
                <w:sz w:val="20"/>
                <w:szCs w:val="20"/>
              </w:rPr>
              <w:t>I</w:t>
            </w:r>
            <w:r w:rsidRPr="00D43D39">
              <w:rPr>
                <w:rFonts w:ascii="Times New Roman" w:hAnsi="Times New Roman"/>
                <w:b/>
                <w:bCs/>
                <w:sz w:val="20"/>
                <w:szCs w:val="20"/>
              </w:rPr>
              <w:t xml:space="preserve">dentifier </w:t>
            </w:r>
          </w:p>
          <w:p w:rsidRPr="00D43D39" w:rsidR="00DE5943" w:rsidP="00493247" w:rsidRDefault="00937E62" w14:paraId="3A944F38" w14:textId="49DFD5D9">
            <w:pPr>
              <w:spacing w:before="120" w:after="120" w:line="276" w:lineRule="auto"/>
              <w:rPr>
                <w:rFonts w:ascii="Times New Roman" w:hAnsi="Times New Roman"/>
                <w:sz w:val="20"/>
                <w:szCs w:val="20"/>
              </w:rPr>
            </w:pPr>
            <w:r>
              <w:rPr>
                <w:rFonts w:ascii="Times New Roman" w:hAnsi="Times New Roman"/>
                <w:sz w:val="20"/>
                <w:szCs w:val="20"/>
              </w:rPr>
              <w:t>Use</w:t>
            </w:r>
            <w:r w:rsidRPr="00D43D39" w:rsidR="00DE5943">
              <w:rPr>
                <w:rFonts w:ascii="Times New Roman" w:hAnsi="Times New Roman"/>
                <w:sz w:val="20"/>
                <w:szCs w:val="20"/>
              </w:rPr>
              <w:t xml:space="preserve"> the Service identifier as reported in Z 08.01 (SERV 1).</w:t>
            </w:r>
          </w:p>
          <w:p w:rsidRPr="00D43D39" w:rsidR="00DE5943" w:rsidP="00493247" w:rsidRDefault="00DE5943" w14:paraId="66AFDD53" w14:textId="259BD78D">
            <w:pPr>
              <w:spacing w:before="120" w:after="120" w:line="276" w:lineRule="auto"/>
              <w:rPr>
                <w:rFonts w:ascii="Times New Roman" w:hAnsi="Times New Roman"/>
                <w:i/>
                <w:sz w:val="20"/>
                <w:szCs w:val="20"/>
              </w:rPr>
            </w:pPr>
            <w:r w:rsidRPr="00D43D39">
              <w:rPr>
                <w:rFonts w:ascii="Times New Roman" w:hAnsi="Times New Roman"/>
                <w:sz w:val="20"/>
                <w:szCs w:val="20"/>
              </w:rPr>
              <w:t>The service identifier refer</w:t>
            </w:r>
            <w:r w:rsidR="002526C2">
              <w:rPr>
                <w:rFonts w:ascii="Times New Roman" w:hAnsi="Times New Roman"/>
                <w:sz w:val="20"/>
                <w:szCs w:val="20"/>
              </w:rPr>
              <w:t>s</w:t>
            </w:r>
            <w:r w:rsidRPr="00D43D39">
              <w:rPr>
                <w:rFonts w:ascii="Times New Roman" w:hAnsi="Times New Roman"/>
                <w:sz w:val="20"/>
                <w:szCs w:val="20"/>
              </w:rPr>
              <w:t xml:space="preserve"> to the service reported under c0020.</w:t>
            </w:r>
          </w:p>
        </w:tc>
      </w:tr>
      <w:tr w:rsidRPr="00D43D39" w:rsidR="00DE5943" w:rsidTr="00493247" w14:paraId="56B42838" w14:textId="77777777">
        <w:trPr>
          <w:trHeight w:val="450"/>
        </w:trPr>
        <w:tc>
          <w:tcPr>
            <w:tcW w:w="1418" w:type="dxa"/>
            <w:shd w:val="clear" w:color="auto" w:fill="FFFFFF"/>
          </w:tcPr>
          <w:p w:rsidRPr="00D43D39" w:rsidR="00DE5943" w:rsidP="00493247" w:rsidRDefault="00DE5943" w14:paraId="113600C1" w14:textId="77777777">
            <w:pPr>
              <w:spacing w:before="120" w:after="120" w:line="276" w:lineRule="auto"/>
              <w:rPr>
                <w:rFonts w:ascii="Times New Roman" w:hAnsi="Times New Roman"/>
                <w:sz w:val="20"/>
                <w:szCs w:val="20"/>
              </w:rPr>
            </w:pPr>
            <w:r w:rsidRPr="00D43D39">
              <w:rPr>
                <w:rFonts w:ascii="Times New Roman" w:hAnsi="Times New Roman"/>
                <w:sz w:val="20"/>
                <w:szCs w:val="20"/>
              </w:rPr>
              <w:t>0010</w:t>
            </w:r>
          </w:p>
        </w:tc>
        <w:tc>
          <w:tcPr>
            <w:tcW w:w="7508" w:type="dxa"/>
            <w:shd w:val="clear" w:color="auto" w:fill="FFFFFF"/>
          </w:tcPr>
          <w:p w:rsidRPr="00D43D39" w:rsidR="00DE5943" w:rsidP="00493247" w:rsidRDefault="00DE5943" w14:paraId="5FC7A3C9" w14:textId="77777777">
            <w:pPr>
              <w:autoSpaceDE w:val="0"/>
              <w:autoSpaceDN w:val="0"/>
              <w:adjustRightInd w:val="0"/>
              <w:rPr>
                <w:rFonts w:ascii="Times New Roman" w:hAnsi="Times New Roman" w:eastAsia="MS Mincho"/>
                <w:b/>
                <w:bCs/>
                <w:sz w:val="20"/>
                <w:szCs w:val="20"/>
                <w:lang w:eastAsia="en-GB"/>
              </w:rPr>
            </w:pPr>
            <w:r w:rsidRPr="00D43D39">
              <w:rPr>
                <w:rFonts w:ascii="Times New Roman" w:hAnsi="Times New Roman"/>
                <w:b/>
                <w:bCs/>
                <w:sz w:val="20"/>
                <w:szCs w:val="20"/>
              </w:rPr>
              <w:t>Service type</w:t>
            </w:r>
            <w:r w:rsidRPr="00D43D39">
              <w:rPr>
                <w:rFonts w:ascii="Times New Roman" w:hAnsi="Times New Roman" w:eastAsia="MS Mincho"/>
                <w:b/>
                <w:bCs/>
                <w:sz w:val="20"/>
                <w:szCs w:val="20"/>
                <w:lang w:eastAsia="en-GB"/>
              </w:rPr>
              <w:t xml:space="preserve"> </w:t>
            </w:r>
          </w:p>
          <w:p w:rsidRPr="00D43D39" w:rsidR="00DE5943" w:rsidP="00493247" w:rsidRDefault="00DE5943" w14:paraId="08E32E4A"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The service type shall be one of the service types listed below. </w:t>
            </w:r>
          </w:p>
          <w:p w:rsidRPr="00D43D39" w:rsidR="00DE5943" w:rsidP="00493247" w:rsidRDefault="00DE5943" w14:paraId="0E737F50" w14:textId="77777777">
            <w:pPr>
              <w:spacing w:before="120" w:after="120" w:line="276" w:lineRule="auto"/>
              <w:rPr>
                <w:rFonts w:ascii="Times New Roman" w:hAnsi="Times New Roman"/>
                <w:sz w:val="20"/>
                <w:szCs w:val="20"/>
              </w:rPr>
            </w:pPr>
            <w:r w:rsidRPr="00D43D39">
              <w:rPr>
                <w:rFonts w:ascii="Times New Roman" w:hAnsi="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p>
          <w:p w:rsidRPr="00D43D39" w:rsidR="00DE5943" w:rsidP="00493247" w:rsidRDefault="00DE5943" w14:paraId="7FE7DCE7"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1. Human resources support </w:t>
            </w:r>
          </w:p>
          <w:p w:rsidRPr="00D43D39" w:rsidR="00DE5943" w:rsidP="00493247" w:rsidRDefault="00DE5943" w14:paraId="7D1276A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1.1 staff administration, including administration of contracts and remuneration </w:t>
            </w:r>
          </w:p>
          <w:p w:rsidRPr="00D43D39" w:rsidR="00DE5943" w:rsidP="00493247" w:rsidRDefault="00DE5943" w14:paraId="485E3AA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1.2 internal communication</w:t>
            </w:r>
          </w:p>
          <w:p w:rsidRPr="00D43D39" w:rsidR="00DE5943" w:rsidP="00493247" w:rsidRDefault="00DE5943" w14:paraId="61FC369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1.3 external communication</w:t>
            </w:r>
          </w:p>
          <w:p w:rsidRPr="00D43D39" w:rsidR="00DE5943" w:rsidDel="00106D64" w:rsidP="00493247" w:rsidRDefault="00DE5943" w14:paraId="23C6FB40"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1.4 other</w:t>
            </w:r>
          </w:p>
          <w:p w:rsidRPr="00D43D39" w:rsidR="00DE5943" w:rsidP="00493247" w:rsidRDefault="00DE5943" w14:paraId="23A1892A" w14:textId="77777777">
            <w:pPr>
              <w:autoSpaceDE w:val="0"/>
              <w:autoSpaceDN w:val="0"/>
              <w:adjustRightInd w:val="0"/>
              <w:ind w:left="708"/>
              <w:rPr>
                <w:rFonts w:ascii="Times New Roman" w:hAnsi="Times New Roman" w:eastAsia="MS Mincho"/>
                <w:sz w:val="20"/>
                <w:szCs w:val="20"/>
                <w:lang w:eastAsia="en-GB"/>
              </w:rPr>
            </w:pPr>
          </w:p>
          <w:p w:rsidRPr="00D43D39" w:rsidR="00DE5943" w:rsidP="00493247" w:rsidRDefault="00DE5943" w14:paraId="0717CB9B"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 Information technology </w:t>
            </w:r>
          </w:p>
          <w:p w:rsidRPr="00D43D39" w:rsidR="00DE5943" w:rsidP="00493247" w:rsidRDefault="00DE5943" w14:paraId="36EAA76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2.1 IT and communication hardware </w:t>
            </w:r>
          </w:p>
          <w:p w:rsidRPr="00D43D39" w:rsidR="00DE5943" w:rsidP="00493247" w:rsidRDefault="00DE5943" w14:paraId="63247600"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2.2 data storage and processing </w:t>
            </w:r>
          </w:p>
          <w:p w:rsidRPr="00D43D39" w:rsidR="00DE5943" w:rsidP="00493247" w:rsidRDefault="00DE5943" w14:paraId="08CFD39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2.3 other IT infrastructure, workstations, telecommunications, servers, data centres and related services </w:t>
            </w:r>
          </w:p>
          <w:p w:rsidRPr="00D43D39" w:rsidR="00DE5943" w:rsidP="00493247" w:rsidRDefault="00DE5943" w14:paraId="27F414E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2.4 administration of software licenses and application software </w:t>
            </w:r>
          </w:p>
          <w:p w:rsidRPr="00D43D39" w:rsidR="00DE5943" w:rsidP="00493247" w:rsidRDefault="00DE5943" w14:paraId="59D3AB3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2.5 access to external providers, in particular data and infrastructure providers </w:t>
            </w:r>
          </w:p>
          <w:p w:rsidRPr="00D43D39" w:rsidR="00DE5943" w:rsidP="00493247" w:rsidRDefault="00DE5943" w14:paraId="285CB5D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2.6 application maintenance, including software application maintenance and related data flows </w:t>
            </w:r>
          </w:p>
          <w:p w:rsidRPr="00D43D39" w:rsidR="00DE5943" w:rsidP="00493247" w:rsidRDefault="00DE5943" w14:paraId="07B82CC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2.7 report generation, internal information flows and data bases </w:t>
            </w:r>
          </w:p>
          <w:p w:rsidRPr="00D43D39" w:rsidR="00DE5943" w:rsidP="00493247" w:rsidRDefault="00DE5943" w14:paraId="3F99BE6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2.8 user support </w:t>
            </w:r>
          </w:p>
          <w:p w:rsidRPr="00D43D39" w:rsidR="00DE5943" w:rsidP="00493247" w:rsidRDefault="00DE5943" w14:paraId="082B656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2.9 emergency and disaster recovery</w:t>
            </w:r>
          </w:p>
          <w:p w:rsidRPr="00D43D39" w:rsidR="00DE5943" w:rsidDel="00106D64" w:rsidP="00493247" w:rsidRDefault="00DE5943" w14:paraId="03DD8898"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2.10 other</w:t>
            </w:r>
          </w:p>
          <w:p w:rsidRPr="00D43D39" w:rsidR="00DE5943" w:rsidP="00493247" w:rsidRDefault="00DE5943" w14:paraId="64CDEBD5" w14:textId="77777777">
            <w:pPr>
              <w:autoSpaceDE w:val="0"/>
              <w:autoSpaceDN w:val="0"/>
              <w:adjustRightInd w:val="0"/>
              <w:rPr>
                <w:rFonts w:ascii="Times New Roman" w:hAnsi="Times New Roman" w:eastAsia="MS Mincho"/>
                <w:sz w:val="20"/>
                <w:szCs w:val="20"/>
                <w:lang w:eastAsia="en-GB"/>
              </w:rPr>
            </w:pPr>
          </w:p>
          <w:p w:rsidRPr="00D43D39" w:rsidR="00DE5943" w:rsidP="00493247" w:rsidRDefault="00DE5943" w14:paraId="4ADD488F"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3. Transaction processing, including legal transactional issues, in particular anti-money laundering </w:t>
            </w:r>
          </w:p>
          <w:p w:rsidRPr="00D43D39" w:rsidR="00DE5943" w:rsidP="00493247" w:rsidRDefault="00DE5943" w14:paraId="26356B4B" w14:textId="77777777">
            <w:pPr>
              <w:autoSpaceDE w:val="0"/>
              <w:autoSpaceDN w:val="0"/>
              <w:adjustRightInd w:val="0"/>
              <w:rPr>
                <w:rFonts w:ascii="Times New Roman" w:hAnsi="Times New Roman" w:eastAsia="MS Mincho"/>
                <w:sz w:val="20"/>
                <w:szCs w:val="20"/>
                <w:lang w:eastAsia="en-GB"/>
              </w:rPr>
            </w:pPr>
          </w:p>
          <w:p w:rsidRPr="00D43D39" w:rsidR="00DE5943" w:rsidP="00493247" w:rsidRDefault="00DE5943" w14:paraId="6A61F1D0"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 Real estate and facility provision or management and associated facilities </w:t>
            </w:r>
          </w:p>
          <w:p w:rsidRPr="00D43D39" w:rsidR="00DE5943" w:rsidP="00493247" w:rsidRDefault="00DE5943" w14:paraId="4A86A309"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4.1 office premises and storage </w:t>
            </w:r>
          </w:p>
          <w:p w:rsidRPr="00D43D39" w:rsidR="00DE5943" w:rsidP="00493247" w:rsidRDefault="00DE5943" w14:paraId="2A296E6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4.2 internal facilities management </w:t>
            </w:r>
          </w:p>
          <w:p w:rsidRPr="00D43D39" w:rsidR="00DE5943" w:rsidP="00493247" w:rsidRDefault="00DE5943" w14:paraId="127C5E7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4.3 security and access control </w:t>
            </w:r>
          </w:p>
          <w:p w:rsidRPr="00D43D39" w:rsidR="00DE5943" w:rsidP="00493247" w:rsidRDefault="00DE5943" w14:paraId="48411CA0"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4.4 real estate portfolio management </w:t>
            </w:r>
          </w:p>
          <w:p w:rsidRPr="00D43D39" w:rsidR="00DE5943" w:rsidP="00493247" w:rsidRDefault="00DE5943" w14:paraId="04F409B5" w14:textId="1081A7E9">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4.5 other, </w:t>
            </w:r>
            <w:r w:rsidR="00937E62">
              <w:rPr>
                <w:rFonts w:ascii="Times New Roman" w:hAnsi="Times New Roman" w:eastAsia="MS Mincho"/>
                <w:sz w:val="20"/>
                <w:szCs w:val="20"/>
                <w:lang w:eastAsia="en-GB"/>
              </w:rPr>
              <w:t>(</w:t>
            </w:r>
            <w:r w:rsidRPr="00D43D39">
              <w:rPr>
                <w:rFonts w:ascii="Times New Roman" w:hAnsi="Times New Roman" w:eastAsia="MS Mincho"/>
                <w:sz w:val="20"/>
                <w:szCs w:val="20"/>
                <w:lang w:eastAsia="en-GB"/>
              </w:rPr>
              <w:t>specify</w:t>
            </w:r>
            <w:r w:rsidR="00937E62">
              <w:rPr>
                <w:rFonts w:ascii="Times New Roman" w:hAnsi="Times New Roman" w:eastAsia="MS Mincho"/>
                <w:sz w:val="20"/>
                <w:szCs w:val="20"/>
                <w:lang w:eastAsia="en-GB"/>
              </w:rPr>
              <w:t>)</w:t>
            </w:r>
            <w:r w:rsidRPr="00D43D39">
              <w:rPr>
                <w:rFonts w:ascii="Times New Roman" w:hAnsi="Times New Roman" w:eastAsia="MS Mincho"/>
                <w:sz w:val="20"/>
                <w:szCs w:val="20"/>
                <w:lang w:eastAsia="en-GB"/>
              </w:rPr>
              <w:t xml:space="preserve"> </w:t>
            </w:r>
          </w:p>
          <w:p w:rsidRPr="00D43D39" w:rsidR="00DE5943" w:rsidP="00493247" w:rsidRDefault="00DE5943" w14:paraId="21252798" w14:textId="77777777">
            <w:pPr>
              <w:autoSpaceDE w:val="0"/>
              <w:autoSpaceDN w:val="0"/>
              <w:adjustRightInd w:val="0"/>
              <w:rPr>
                <w:rFonts w:ascii="Times New Roman" w:hAnsi="Times New Roman" w:eastAsia="MS Mincho"/>
                <w:sz w:val="20"/>
                <w:szCs w:val="20"/>
                <w:lang w:eastAsia="en-GB"/>
              </w:rPr>
            </w:pPr>
          </w:p>
          <w:p w:rsidRPr="00D43D39" w:rsidR="00DE5943" w:rsidP="00493247" w:rsidRDefault="00DE5943" w14:paraId="296CA698"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 Legal services and compliance functions </w:t>
            </w:r>
          </w:p>
          <w:p w:rsidRPr="00D43D39" w:rsidR="00DE5943" w:rsidP="00493247" w:rsidRDefault="00DE5943" w14:paraId="483FEDC9"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5.1 corporate legal support </w:t>
            </w:r>
          </w:p>
          <w:p w:rsidRPr="00D43D39" w:rsidR="00DE5943" w:rsidP="00493247" w:rsidRDefault="00DE5943" w14:paraId="5792065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5.2 business and transactional legal services </w:t>
            </w:r>
          </w:p>
          <w:p w:rsidRPr="00D43D39" w:rsidR="00DE5943" w:rsidP="00493247" w:rsidRDefault="00DE5943" w14:paraId="18094A8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5.3 compliance support </w:t>
            </w:r>
          </w:p>
          <w:p w:rsidRPr="00D43D39" w:rsidR="00DE5943" w:rsidDel="00106D64" w:rsidP="00493247" w:rsidRDefault="00DE5943" w14:paraId="377C4B7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5.4 other</w:t>
            </w:r>
          </w:p>
          <w:p w:rsidRPr="00D43D39" w:rsidR="00DE5943" w:rsidP="00493247" w:rsidRDefault="00DE5943" w14:paraId="366735AC" w14:textId="77777777">
            <w:pPr>
              <w:autoSpaceDE w:val="0"/>
              <w:autoSpaceDN w:val="0"/>
              <w:adjustRightInd w:val="0"/>
              <w:ind w:left="708"/>
              <w:rPr>
                <w:rFonts w:ascii="Times New Roman" w:hAnsi="Times New Roman" w:eastAsia="MS Mincho"/>
                <w:sz w:val="20"/>
                <w:szCs w:val="20"/>
                <w:lang w:eastAsia="en-GB"/>
              </w:rPr>
            </w:pPr>
          </w:p>
          <w:p w:rsidRPr="00D43D39" w:rsidR="00DE5943" w:rsidP="00493247" w:rsidRDefault="00DE5943" w14:paraId="3082D87C"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 Treasury-related services </w:t>
            </w:r>
          </w:p>
          <w:p w:rsidRPr="00D43D39" w:rsidR="00DE5943" w:rsidP="00493247" w:rsidRDefault="00DE5943" w14:paraId="26B7CE1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6.1 coordination, administration and management of the treasury activity </w:t>
            </w:r>
          </w:p>
          <w:p w:rsidRPr="00D43D39" w:rsidR="00DE5943" w:rsidP="00493247" w:rsidRDefault="00DE5943" w14:paraId="7469EEF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6.2 coordination, administration and management of entity refinancing, including collateral management </w:t>
            </w:r>
          </w:p>
          <w:p w:rsidRPr="00D43D39" w:rsidR="00DE5943" w:rsidP="00493247" w:rsidRDefault="00DE5943" w14:paraId="1F00824C"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6.3 reporting function, in particular with respect to regulatory liquidity ratios </w:t>
            </w:r>
          </w:p>
          <w:p w:rsidRPr="00D43D39" w:rsidR="00DE5943" w:rsidP="00493247" w:rsidRDefault="00DE5943" w14:paraId="7193631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6.4 coordination, administration and management of medium and long-term funding programs, and refinancing of group entities </w:t>
            </w:r>
          </w:p>
          <w:p w:rsidRPr="00D43D39" w:rsidR="00DE5943" w:rsidDel="00106D64" w:rsidP="00493247" w:rsidRDefault="00DE5943" w14:paraId="3E4C6BA0"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6.5 coordination, administration and management of refinancing, in particular short-term issues</w:t>
            </w:r>
          </w:p>
          <w:p w:rsidRPr="00D43D39" w:rsidR="00DE5943" w:rsidP="00493247" w:rsidRDefault="00DE5943" w14:paraId="14C9BB0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6.6 other</w:t>
            </w:r>
          </w:p>
          <w:p w:rsidRPr="00D43D39" w:rsidR="00DE5943" w:rsidP="00493247" w:rsidRDefault="00DE5943" w14:paraId="1A19F170" w14:textId="77777777">
            <w:pPr>
              <w:autoSpaceDE w:val="0"/>
              <w:autoSpaceDN w:val="0"/>
              <w:adjustRightInd w:val="0"/>
              <w:rPr>
                <w:rFonts w:ascii="Times New Roman" w:hAnsi="Times New Roman" w:eastAsia="MS Mincho"/>
                <w:sz w:val="20"/>
                <w:szCs w:val="20"/>
                <w:lang w:eastAsia="en-GB"/>
              </w:rPr>
            </w:pPr>
          </w:p>
          <w:p w:rsidRPr="00D43D39" w:rsidR="00DE5943" w:rsidP="00493247" w:rsidRDefault="00DE5943" w14:paraId="705017FF"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 Trading/asset management </w:t>
            </w:r>
          </w:p>
          <w:p w:rsidRPr="00D43D39" w:rsidR="00DE5943" w:rsidP="00493247" w:rsidRDefault="00DE5943" w14:paraId="4BB5885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7.1 operations processing: trade capture, design, realisation, servicing of trading products </w:t>
            </w:r>
          </w:p>
          <w:p w:rsidRPr="00D43D39" w:rsidR="00DE5943" w:rsidP="00493247" w:rsidRDefault="00DE5943" w14:paraId="0E3BA73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7.2 confirmation, settlement, payment </w:t>
            </w:r>
          </w:p>
          <w:p w:rsidRPr="00D43D39" w:rsidR="00DE5943" w:rsidP="00493247" w:rsidRDefault="00DE5943" w14:paraId="218A419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7.3 position and counterparty management, with respect to data reporting and counterparty relationships </w:t>
            </w:r>
          </w:p>
          <w:p w:rsidRPr="00D43D39" w:rsidR="00DE5943" w:rsidP="00493247" w:rsidRDefault="00DE5943" w14:paraId="5002430C"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7.4 position management (risk and reconciliation) </w:t>
            </w:r>
          </w:p>
          <w:p w:rsidRPr="00D43D39" w:rsidR="00DE5943" w:rsidDel="00106D64" w:rsidP="00493247" w:rsidRDefault="00DE5943" w14:paraId="01D3085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7.5 other</w:t>
            </w:r>
          </w:p>
          <w:p w:rsidRPr="00D43D39" w:rsidR="00DE5943" w:rsidP="00493247" w:rsidRDefault="00DE5943" w14:paraId="17F4ABEF" w14:textId="77777777">
            <w:pPr>
              <w:autoSpaceDE w:val="0"/>
              <w:autoSpaceDN w:val="0"/>
              <w:adjustRightInd w:val="0"/>
              <w:ind w:left="708"/>
              <w:rPr>
                <w:rFonts w:ascii="Times New Roman" w:hAnsi="Times New Roman" w:eastAsia="MS Mincho"/>
                <w:sz w:val="20"/>
                <w:szCs w:val="20"/>
                <w:lang w:eastAsia="en-GB"/>
              </w:rPr>
            </w:pPr>
          </w:p>
          <w:p w:rsidRPr="00D43D39" w:rsidR="00DE5943" w:rsidP="00493247" w:rsidRDefault="00DE5943" w14:paraId="2074A2A1"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8. Risk management and valuation </w:t>
            </w:r>
          </w:p>
          <w:p w:rsidRPr="00D43D39" w:rsidR="00DE5943" w:rsidP="00493247" w:rsidRDefault="00DE5943" w14:paraId="358FCAD0"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8.1 central or business line or risk type-related risk management</w:t>
            </w:r>
          </w:p>
          <w:p w:rsidRPr="00D43D39" w:rsidR="00DE5943" w:rsidP="00493247" w:rsidRDefault="00DE5943" w14:paraId="68645C9C"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8.2 risk report generation </w:t>
            </w:r>
          </w:p>
          <w:p w:rsidRPr="00D43D39" w:rsidR="00DE5943" w:rsidDel="00106D64" w:rsidP="00493247" w:rsidRDefault="00DE5943" w14:paraId="6D41BEB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8.3 other</w:t>
            </w:r>
          </w:p>
          <w:p w:rsidRPr="00D43D39" w:rsidR="00DE5943" w:rsidP="00493247" w:rsidRDefault="00DE5943" w14:paraId="0E3E377E" w14:textId="77777777">
            <w:pPr>
              <w:autoSpaceDE w:val="0"/>
              <w:autoSpaceDN w:val="0"/>
              <w:adjustRightInd w:val="0"/>
              <w:rPr>
                <w:rFonts w:ascii="Times New Roman" w:hAnsi="Times New Roman" w:eastAsia="MS Mincho"/>
                <w:sz w:val="20"/>
                <w:szCs w:val="20"/>
                <w:lang w:eastAsia="en-GB"/>
              </w:rPr>
            </w:pPr>
          </w:p>
          <w:p w:rsidRPr="00D43D39" w:rsidR="00DE5943" w:rsidP="00493247" w:rsidRDefault="00DE5943" w14:paraId="03E39B7E"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 Accounting </w:t>
            </w:r>
          </w:p>
          <w:p w:rsidRPr="00D43D39" w:rsidR="00DE5943" w:rsidP="00493247" w:rsidRDefault="00DE5943" w14:paraId="4DD0E58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9.1 statutory and regulatory reporting </w:t>
            </w:r>
          </w:p>
          <w:p w:rsidRPr="00D43D39" w:rsidR="00DE5943" w:rsidP="00493247" w:rsidRDefault="00DE5943" w14:paraId="62021AB9"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9.2 valuation, in particular of market positions </w:t>
            </w:r>
          </w:p>
          <w:p w:rsidRPr="00D43D39" w:rsidR="00DE5943" w:rsidDel="00106D64" w:rsidP="00493247" w:rsidRDefault="00DE5943" w14:paraId="05C80B4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9.3 management reporting </w:t>
            </w:r>
          </w:p>
          <w:p w:rsidRPr="00D43D39" w:rsidR="00DE5943" w:rsidP="00493247" w:rsidRDefault="00DE5943" w14:paraId="6665044C" w14:textId="77777777">
            <w:pPr>
              <w:autoSpaceDE w:val="0"/>
              <w:autoSpaceDN w:val="0"/>
              <w:adjustRightInd w:val="0"/>
              <w:ind w:left="708"/>
              <w:rPr>
                <w:rFonts w:ascii="Times New Roman" w:hAnsi="Times New Roman" w:eastAsia="MS Mincho"/>
                <w:sz w:val="20"/>
                <w:szCs w:val="20"/>
                <w:lang w:eastAsia="en-GB"/>
              </w:rPr>
            </w:pPr>
            <w:r w:rsidRPr="00D43D39" w:rsidDel="00106D64">
              <w:rPr>
                <w:rFonts w:ascii="Times New Roman" w:hAnsi="Times New Roman" w:eastAsia="MS Mincho"/>
                <w:sz w:val="20"/>
                <w:szCs w:val="20"/>
                <w:lang w:eastAsia="en-GB"/>
              </w:rPr>
              <w:t>9.4 other</w:t>
            </w:r>
          </w:p>
          <w:p w:rsidRPr="00D43D39" w:rsidR="00DE5943" w:rsidP="00493247" w:rsidRDefault="00DE5943" w14:paraId="4C62B438" w14:textId="77777777">
            <w:pPr>
              <w:autoSpaceDE w:val="0"/>
              <w:autoSpaceDN w:val="0"/>
              <w:adjustRightInd w:val="0"/>
              <w:ind w:left="708"/>
              <w:rPr>
                <w:rFonts w:ascii="Times New Roman" w:hAnsi="Times New Roman" w:eastAsia="MS Mincho"/>
                <w:sz w:val="20"/>
                <w:szCs w:val="20"/>
                <w:lang w:eastAsia="en-GB"/>
              </w:rPr>
            </w:pPr>
          </w:p>
          <w:p w:rsidRPr="00D43D39" w:rsidR="00DE5943" w:rsidP="00493247" w:rsidRDefault="00DE5943" w14:paraId="01A8B5AB" w14:textId="77777777">
            <w:pPr>
              <w:autoSpaceDE w:val="0"/>
              <w:autoSpaceDN w:val="0"/>
              <w:adjustRightInd w:val="0"/>
              <w:rPr>
                <w:rFonts w:ascii="Times New Roman" w:hAnsi="Times New Roman" w:eastAsia="MS Mincho"/>
                <w:sz w:val="24"/>
                <w:szCs w:val="20"/>
                <w:lang w:eastAsia="en-GB"/>
              </w:rPr>
            </w:pPr>
            <w:r w:rsidRPr="00D43D39">
              <w:rPr>
                <w:rFonts w:ascii="Times New Roman" w:hAnsi="Times New Roman" w:eastAsia="MS Mincho"/>
                <w:sz w:val="20"/>
                <w:szCs w:val="20"/>
                <w:lang w:eastAsia="en-GB"/>
              </w:rPr>
              <w:t>10. Cash handling</w:t>
            </w:r>
            <w:r w:rsidRPr="00D43D39">
              <w:rPr>
                <w:rFonts w:ascii="Times New Roman" w:hAnsi="Times New Roman" w:eastAsia="MS Mincho"/>
                <w:sz w:val="24"/>
                <w:szCs w:val="20"/>
                <w:lang w:eastAsia="en-GB"/>
              </w:rPr>
              <w:t xml:space="preserve"> </w:t>
            </w:r>
          </w:p>
          <w:p w:rsidRPr="00D43D39" w:rsidR="00DE5943" w:rsidP="00493247" w:rsidRDefault="00DE5943" w14:paraId="404E151F" w14:textId="77777777">
            <w:pPr>
              <w:autoSpaceDE w:val="0"/>
              <w:autoSpaceDN w:val="0"/>
              <w:adjustRightInd w:val="0"/>
              <w:rPr>
                <w:rFonts w:ascii="Times New Roman" w:hAnsi="Times New Roman" w:eastAsia="MS Mincho"/>
                <w:sz w:val="24"/>
                <w:szCs w:val="20"/>
                <w:lang w:eastAsia="en-GB"/>
              </w:rPr>
            </w:pPr>
          </w:p>
          <w:p w:rsidRPr="00D43D39" w:rsidR="00DE5943" w:rsidDel="00106D64" w:rsidP="00493247" w:rsidRDefault="00DE5943" w14:paraId="0E8D225A" w14:textId="77777777">
            <w:pPr>
              <w:autoSpaceDE w:val="0"/>
              <w:autoSpaceDN w:val="0"/>
              <w:adjustRightInd w:val="0"/>
              <w:rPr>
                <w:rFonts w:ascii="Times New Roman" w:hAnsi="Times New Roman" w:eastAsia="MS Mincho"/>
                <w:sz w:val="20"/>
                <w:lang w:eastAsia="en-GB"/>
              </w:rPr>
            </w:pPr>
            <w:r w:rsidRPr="00D43D39">
              <w:rPr>
                <w:rFonts w:ascii="Times New Roman" w:hAnsi="Times New Roman" w:eastAsia="MS Mincho"/>
                <w:sz w:val="20"/>
                <w:szCs w:val="20"/>
                <w:lang w:eastAsia="en-GB"/>
              </w:rPr>
              <w:t>11. Other</w:t>
            </w:r>
          </w:p>
          <w:p w:rsidRPr="00D43D39" w:rsidR="00DE5943" w:rsidP="00493247" w:rsidRDefault="00DE5943" w14:paraId="576B9EB3" w14:textId="77777777">
            <w:pPr>
              <w:spacing w:before="120" w:after="120" w:line="276" w:lineRule="auto"/>
              <w:rPr>
                <w:rFonts w:ascii="Times New Roman" w:hAnsi="Times New Roman"/>
                <w:sz w:val="20"/>
                <w:szCs w:val="20"/>
              </w:rPr>
            </w:pPr>
            <w:r w:rsidRPr="00D43D39">
              <w:rPr>
                <w:rFonts w:ascii="Times New Roman" w:hAnsi="Times New Roman"/>
                <w:b/>
                <w:i/>
                <w:sz w:val="20"/>
                <w:szCs w:val="20"/>
              </w:rPr>
              <w:t xml:space="preserve"> </w:t>
            </w:r>
          </w:p>
        </w:tc>
      </w:tr>
      <w:tr w:rsidRPr="00D43D39" w:rsidR="00DE5943" w:rsidTr="00493247" w14:paraId="2AA8F0DE" w14:textId="77777777">
        <w:trPr>
          <w:trHeight w:val="450"/>
        </w:trPr>
        <w:tc>
          <w:tcPr>
            <w:tcW w:w="1418" w:type="dxa"/>
            <w:shd w:val="clear" w:color="auto" w:fill="FFFFFF"/>
          </w:tcPr>
          <w:p w:rsidRPr="00D43D39" w:rsidR="00DE5943" w:rsidP="00493247" w:rsidRDefault="00DE5943" w14:paraId="5877DB76" w14:textId="77777777">
            <w:pPr>
              <w:spacing w:before="120" w:after="120" w:line="276" w:lineRule="auto"/>
              <w:rPr>
                <w:rFonts w:ascii="Times New Roman" w:hAnsi="Times New Roman"/>
                <w:sz w:val="20"/>
                <w:szCs w:val="20"/>
              </w:rPr>
            </w:pPr>
            <w:r w:rsidRPr="00D43D39">
              <w:rPr>
                <w:rFonts w:ascii="Times New Roman" w:hAnsi="Times New Roman"/>
                <w:sz w:val="20"/>
                <w:szCs w:val="20"/>
              </w:rPr>
              <w:t>0020</w:t>
            </w:r>
          </w:p>
        </w:tc>
        <w:tc>
          <w:tcPr>
            <w:tcW w:w="7508" w:type="dxa"/>
            <w:shd w:val="clear" w:color="auto" w:fill="FFFFFF"/>
          </w:tcPr>
          <w:p w:rsidRPr="00D43D39" w:rsidR="00DE5943" w:rsidP="00493247" w:rsidRDefault="00DE5943" w14:paraId="092B2605" w14:textId="77777777">
            <w:pPr>
              <w:spacing w:line="276" w:lineRule="auto"/>
              <w:jc w:val="both"/>
              <w:rPr>
                <w:rFonts w:ascii="Times New Roman" w:hAnsi="Times New Roman"/>
                <w:sz w:val="20"/>
              </w:rPr>
            </w:pPr>
            <w:r w:rsidRPr="00D43D39">
              <w:rPr>
                <w:rFonts w:ascii="Times New Roman" w:hAnsi="Times New Roman"/>
                <w:b/>
                <w:bCs/>
                <w:sz w:val="20"/>
                <w:szCs w:val="20"/>
              </w:rPr>
              <w:t>Unique service title as per bank taxonomy</w:t>
            </w:r>
            <w:r w:rsidRPr="00D43D39">
              <w:rPr>
                <w:rFonts w:ascii="Times New Roman" w:hAnsi="Times New Roman"/>
                <w:b/>
                <w:bCs/>
                <w:sz w:val="20"/>
              </w:rPr>
              <w:t xml:space="preserve"> </w:t>
            </w:r>
          </w:p>
          <w:p w:rsidRPr="00D43D39" w:rsidR="00DE5943" w:rsidP="00493247" w:rsidRDefault="00DE5943" w14:paraId="575E53B9" w14:textId="77777777">
            <w:pPr>
              <w:spacing w:line="276" w:lineRule="auto"/>
              <w:jc w:val="both"/>
              <w:rPr>
                <w:rFonts w:ascii="Times New Roman" w:hAnsi="Times New Roman"/>
                <w:sz w:val="20"/>
              </w:rPr>
            </w:pPr>
            <w:r w:rsidRPr="00D43D39">
              <w:rPr>
                <w:rFonts w:ascii="Times New Roman" w:hAnsi="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p>
          <w:p w:rsidRPr="00D43D39" w:rsidR="00DE5943" w:rsidP="00493247" w:rsidRDefault="00DE5943" w14:paraId="58BECC1A" w14:textId="77777777">
            <w:pPr>
              <w:spacing w:before="120" w:after="120" w:line="276" w:lineRule="auto"/>
              <w:rPr>
                <w:rFonts w:ascii="Times New Roman" w:hAnsi="Times New Roman"/>
                <w:sz w:val="20"/>
                <w:szCs w:val="20"/>
              </w:rPr>
            </w:pPr>
          </w:p>
        </w:tc>
      </w:tr>
      <w:tr w:rsidRPr="00D43D39" w:rsidR="00DE5943" w:rsidTr="00493247" w14:paraId="6461D8B7" w14:textId="77777777">
        <w:trPr>
          <w:trHeight w:val="450"/>
        </w:trPr>
        <w:tc>
          <w:tcPr>
            <w:tcW w:w="1418" w:type="dxa"/>
            <w:shd w:val="clear" w:color="auto" w:fill="FFFFFF"/>
          </w:tcPr>
          <w:p w:rsidRPr="00D43D39" w:rsidR="00DE5943" w:rsidP="00493247" w:rsidRDefault="00DE5943" w14:paraId="2E2D2BF2" w14:textId="77777777">
            <w:pPr>
              <w:spacing w:before="120" w:after="120" w:line="276" w:lineRule="auto"/>
              <w:rPr>
                <w:rFonts w:ascii="Times New Roman" w:hAnsi="Times New Roman"/>
                <w:sz w:val="20"/>
                <w:szCs w:val="20"/>
              </w:rPr>
            </w:pPr>
            <w:r w:rsidRPr="00D43D39">
              <w:rPr>
                <w:rFonts w:ascii="Times New Roman" w:hAnsi="Times New Roman"/>
                <w:sz w:val="20"/>
                <w:szCs w:val="20"/>
              </w:rPr>
              <w:t>0030-0040</w:t>
            </w:r>
          </w:p>
        </w:tc>
        <w:tc>
          <w:tcPr>
            <w:tcW w:w="7508" w:type="dxa"/>
            <w:shd w:val="clear" w:color="auto" w:fill="FFFFFF"/>
          </w:tcPr>
          <w:p w:rsidRPr="00D43D39" w:rsidR="00DE5943" w:rsidP="00493247" w:rsidRDefault="00DE5943" w14:paraId="15FBBEB4" w14:textId="77777777">
            <w:pPr>
              <w:spacing w:line="276" w:lineRule="auto"/>
              <w:jc w:val="both"/>
              <w:rPr>
                <w:rFonts w:ascii="Times New Roman" w:hAnsi="Times New Roman"/>
                <w:b/>
                <w:bCs/>
                <w:sz w:val="20"/>
              </w:rPr>
            </w:pPr>
            <w:r w:rsidRPr="00D43D39">
              <w:rPr>
                <w:rFonts w:ascii="Times New Roman" w:hAnsi="Times New Roman"/>
                <w:b/>
                <w:bCs/>
                <w:sz w:val="20"/>
                <w:szCs w:val="20"/>
              </w:rPr>
              <w:t>Critical function</w:t>
            </w:r>
            <w:r w:rsidRPr="00D43D39">
              <w:rPr>
                <w:rFonts w:ascii="Times New Roman" w:hAnsi="Times New Roman"/>
                <w:b/>
                <w:bCs/>
                <w:sz w:val="20"/>
              </w:rPr>
              <w:t xml:space="preserve"> </w:t>
            </w:r>
          </w:p>
          <w:p w:rsidRPr="00D43D39" w:rsidR="00DE5943" w:rsidP="00493247" w:rsidRDefault="00DE5943" w14:paraId="75CFC66B" w14:textId="77777777">
            <w:pPr>
              <w:spacing w:line="276" w:lineRule="auto"/>
              <w:jc w:val="both"/>
              <w:rPr>
                <w:rFonts w:ascii="Times New Roman" w:hAnsi="Times New Roman"/>
                <w:sz w:val="20"/>
              </w:rPr>
            </w:pPr>
            <w:r w:rsidRPr="00D43D39">
              <w:rPr>
                <w:rFonts w:ascii="Times New Roman" w:hAnsi="Times New Roman"/>
                <w:sz w:val="20"/>
              </w:rPr>
              <w:t>The critical function the performance of which would suffer a serious impediment or be completely prevented in case of disruption of the critical service. It is one of the functions assessed as critical in template Z 07.01 (FUNC 1).</w:t>
            </w:r>
          </w:p>
          <w:p w:rsidRPr="00D43D39" w:rsidR="00DE5943" w:rsidP="00493247" w:rsidRDefault="00DE5943" w14:paraId="3EFBFE91" w14:textId="77777777">
            <w:pPr>
              <w:spacing w:line="276" w:lineRule="auto"/>
              <w:jc w:val="both"/>
              <w:rPr>
                <w:rFonts w:ascii="Times New Roman" w:hAnsi="Times New Roman"/>
                <w:sz w:val="20"/>
              </w:rPr>
            </w:pPr>
          </w:p>
        </w:tc>
      </w:tr>
      <w:tr w:rsidRPr="00D43D39" w:rsidR="00DE5943" w:rsidTr="00493247" w14:paraId="688DEB73" w14:textId="77777777">
        <w:trPr>
          <w:trHeight w:val="450"/>
        </w:trPr>
        <w:tc>
          <w:tcPr>
            <w:tcW w:w="1418" w:type="dxa"/>
            <w:shd w:val="clear" w:color="auto" w:fill="FFFFFF"/>
          </w:tcPr>
          <w:p w:rsidRPr="00D43D39" w:rsidR="00DE5943" w:rsidP="00493247" w:rsidRDefault="00DE5943" w14:paraId="18C3CEBB" w14:textId="77777777">
            <w:pPr>
              <w:spacing w:before="120" w:after="120" w:line="276" w:lineRule="auto"/>
              <w:rPr>
                <w:rFonts w:ascii="Times New Roman" w:hAnsi="Times New Roman"/>
                <w:sz w:val="20"/>
                <w:szCs w:val="20"/>
              </w:rPr>
            </w:pPr>
            <w:r w:rsidRPr="00D43D39">
              <w:rPr>
                <w:rFonts w:ascii="Times New Roman" w:hAnsi="Times New Roman"/>
                <w:sz w:val="20"/>
              </w:rPr>
              <w:t>0030</w:t>
            </w:r>
          </w:p>
        </w:tc>
        <w:tc>
          <w:tcPr>
            <w:tcW w:w="7508" w:type="dxa"/>
            <w:shd w:val="clear" w:color="auto" w:fill="FFFFFF"/>
          </w:tcPr>
          <w:p w:rsidRPr="00D43D39" w:rsidR="00DE5943" w:rsidP="00493247" w:rsidRDefault="00DE5943" w14:paraId="2ADEA524" w14:textId="77777777">
            <w:pPr>
              <w:spacing w:line="276" w:lineRule="auto"/>
              <w:jc w:val="both"/>
              <w:rPr>
                <w:rFonts w:ascii="Times New Roman" w:hAnsi="Times New Roman"/>
                <w:b/>
                <w:bCs/>
                <w:sz w:val="20"/>
              </w:rPr>
            </w:pPr>
            <w:r w:rsidRPr="00D43D39">
              <w:rPr>
                <w:rFonts w:ascii="Times New Roman" w:hAnsi="Times New Roman"/>
                <w:b/>
                <w:bCs/>
                <w:sz w:val="20"/>
              </w:rPr>
              <w:t>Country</w:t>
            </w:r>
          </w:p>
          <w:p w:rsidRPr="00D43D39" w:rsidR="00DE5943" w:rsidP="00493247" w:rsidRDefault="00DE5943" w14:paraId="3A721B50" w14:textId="77777777">
            <w:pPr>
              <w:spacing w:line="276" w:lineRule="auto"/>
              <w:jc w:val="both"/>
              <w:rPr>
                <w:rFonts w:ascii="Times New Roman" w:hAnsi="Times New Roman"/>
                <w:sz w:val="20"/>
              </w:rPr>
            </w:pPr>
            <w:r w:rsidRPr="00D43D39">
              <w:rPr>
                <w:rFonts w:ascii="Times New Roman" w:hAnsi="Times New Roman"/>
                <w:sz w:val="20"/>
              </w:rPr>
              <w:t>Member state for which the function is critical, as reported in Z 07.01 (FUNC 1)</w:t>
            </w:r>
          </w:p>
          <w:p w:rsidRPr="00D43D39" w:rsidR="00DE5943" w:rsidP="00493247" w:rsidRDefault="00DE5943" w14:paraId="468E9F9C" w14:textId="77777777">
            <w:pPr>
              <w:spacing w:line="276" w:lineRule="auto"/>
              <w:jc w:val="both"/>
              <w:rPr>
                <w:rFonts w:ascii="Times New Roman" w:hAnsi="Times New Roman"/>
                <w:sz w:val="20"/>
              </w:rPr>
            </w:pPr>
          </w:p>
        </w:tc>
      </w:tr>
      <w:tr w:rsidRPr="00D43D39" w:rsidR="00DE5943" w:rsidTr="00493247" w14:paraId="58C0DED4" w14:textId="77777777">
        <w:trPr>
          <w:trHeight w:val="450"/>
        </w:trPr>
        <w:tc>
          <w:tcPr>
            <w:tcW w:w="1418" w:type="dxa"/>
            <w:shd w:val="clear" w:color="auto" w:fill="FFFFFF"/>
          </w:tcPr>
          <w:p w:rsidRPr="00D43D39" w:rsidR="00DE5943" w:rsidP="00493247" w:rsidRDefault="00DE5943" w14:paraId="278E9B6E" w14:textId="77777777">
            <w:pPr>
              <w:spacing w:before="120" w:after="120" w:line="276" w:lineRule="auto"/>
              <w:rPr>
                <w:rFonts w:ascii="Times New Roman" w:hAnsi="Times New Roman"/>
                <w:sz w:val="20"/>
                <w:szCs w:val="20"/>
              </w:rPr>
            </w:pPr>
            <w:r w:rsidRPr="00D43D39">
              <w:rPr>
                <w:rFonts w:ascii="Times New Roman" w:hAnsi="Times New Roman"/>
                <w:sz w:val="20"/>
              </w:rPr>
              <w:t>0040</w:t>
            </w:r>
          </w:p>
        </w:tc>
        <w:tc>
          <w:tcPr>
            <w:tcW w:w="7508" w:type="dxa"/>
            <w:shd w:val="clear" w:color="auto" w:fill="FFFFFF"/>
          </w:tcPr>
          <w:p w:rsidRPr="00D43D39" w:rsidR="00DE5943" w:rsidP="00493247" w:rsidRDefault="00DE5943" w14:paraId="24EDA015" w14:textId="77777777">
            <w:pPr>
              <w:spacing w:line="276" w:lineRule="auto"/>
              <w:jc w:val="both"/>
              <w:rPr>
                <w:rFonts w:ascii="Times New Roman" w:hAnsi="Times New Roman"/>
                <w:b/>
                <w:bCs/>
                <w:sz w:val="20"/>
              </w:rPr>
            </w:pPr>
            <w:r w:rsidRPr="00D43D39">
              <w:rPr>
                <w:rFonts w:ascii="Times New Roman" w:hAnsi="Times New Roman"/>
                <w:b/>
                <w:bCs/>
                <w:sz w:val="20"/>
              </w:rPr>
              <w:t>ID</w:t>
            </w:r>
          </w:p>
          <w:p w:rsidRPr="00D43D39" w:rsidR="00DE5943" w:rsidP="00493247" w:rsidRDefault="00DE5943" w14:paraId="4B23064B" w14:textId="77777777">
            <w:pPr>
              <w:spacing w:line="276" w:lineRule="auto"/>
              <w:jc w:val="both"/>
              <w:rPr>
                <w:rFonts w:ascii="Times New Roman" w:hAnsi="Times New Roman"/>
                <w:sz w:val="20"/>
              </w:rPr>
            </w:pPr>
            <w:r w:rsidRPr="00D43D39">
              <w:rPr>
                <w:rFonts w:ascii="Times New Roman" w:hAnsi="Times New Roman"/>
                <w:sz w:val="20"/>
              </w:rPr>
              <w:t>ID of the critical functions as defined in chapter 2.7.1.4 above and referred to in template Z 07.01 (FUNC 1)</w:t>
            </w:r>
          </w:p>
          <w:p w:rsidRPr="00D43D39" w:rsidR="00DE5943" w:rsidP="00493247" w:rsidRDefault="00DE5943" w14:paraId="19B53BB9" w14:textId="77777777">
            <w:pPr>
              <w:spacing w:line="276" w:lineRule="auto"/>
              <w:jc w:val="both"/>
              <w:rPr>
                <w:rFonts w:ascii="Times New Roman" w:hAnsi="Times New Roman"/>
                <w:sz w:val="20"/>
              </w:rPr>
            </w:pPr>
          </w:p>
        </w:tc>
      </w:tr>
      <w:tr w:rsidRPr="00D43D39" w:rsidR="00DE5943" w:rsidTr="00493247" w14:paraId="1D49A12B" w14:textId="77777777">
        <w:trPr>
          <w:trHeight w:val="450"/>
        </w:trPr>
        <w:tc>
          <w:tcPr>
            <w:tcW w:w="1418" w:type="dxa"/>
            <w:shd w:val="clear" w:color="auto" w:fill="FFFFFF"/>
          </w:tcPr>
          <w:p w:rsidRPr="00D43D39" w:rsidR="00DE5943" w:rsidP="00493247" w:rsidRDefault="00DE5943" w14:paraId="7A3154D0" w14:textId="77777777">
            <w:pPr>
              <w:spacing w:line="276" w:lineRule="auto"/>
              <w:jc w:val="both"/>
              <w:rPr>
                <w:rFonts w:ascii="Times New Roman" w:hAnsi="Times New Roman"/>
                <w:sz w:val="20"/>
              </w:rPr>
            </w:pPr>
            <w:r w:rsidRPr="00D43D39">
              <w:rPr>
                <w:rFonts w:ascii="Times New Roman" w:hAnsi="Times New Roman"/>
                <w:sz w:val="20"/>
              </w:rPr>
              <w:t>0050</w:t>
            </w:r>
          </w:p>
        </w:tc>
        <w:tc>
          <w:tcPr>
            <w:tcW w:w="7508" w:type="dxa"/>
            <w:shd w:val="clear" w:color="auto" w:fill="FFFFFF"/>
          </w:tcPr>
          <w:p w:rsidRPr="00D43D39" w:rsidR="00DE5943" w:rsidP="00493247" w:rsidRDefault="00DE5943" w14:paraId="518F9BAF" w14:textId="77777777">
            <w:pPr>
              <w:pStyle w:val="TableParagraph"/>
              <w:spacing w:before="108"/>
              <w:ind w:left="85"/>
              <w:rPr>
                <w:rFonts w:ascii="Times New Roman" w:hAnsi="Times New Roman"/>
                <w:sz w:val="20"/>
                <w:lang w:val="en-GB"/>
              </w:rPr>
            </w:pPr>
            <w:r w:rsidRPr="00D43D39">
              <w:rPr>
                <w:rFonts w:ascii="Times New Roman" w:hAnsi="Times New Roman"/>
                <w:b/>
                <w:bCs/>
                <w:sz w:val="20"/>
                <w:szCs w:val="20"/>
              </w:rPr>
              <w:t>Relevance for the Critical Function</w:t>
            </w:r>
            <w:r w:rsidRPr="00D43D39">
              <w:rPr>
                <w:rFonts w:ascii="Times New Roman" w:hAnsi="Times New Roman"/>
                <w:b/>
                <w:bCs/>
                <w:sz w:val="20"/>
                <w:lang w:val="en-GB"/>
              </w:rPr>
              <w:t xml:space="preserve"> </w:t>
            </w:r>
          </w:p>
          <w:p w:rsidRPr="00D43D39" w:rsidR="00DE5943" w:rsidP="00493247" w:rsidRDefault="00DE5943" w14:paraId="0D54669D" w14:textId="5B309807">
            <w:pPr>
              <w:pStyle w:val="TableParagraph"/>
              <w:spacing w:before="108"/>
              <w:ind w:left="85"/>
              <w:rPr>
                <w:rFonts w:ascii="Times New Roman" w:hAnsi="Times New Roman"/>
                <w:sz w:val="20"/>
                <w:lang w:val="en-GB"/>
              </w:rPr>
            </w:pPr>
            <w:r w:rsidRPr="00D43D39">
              <w:rPr>
                <w:rFonts w:ascii="Times New Roman" w:hAnsi="Times New Roman"/>
                <w:sz w:val="20"/>
                <w:lang w:val="en-GB"/>
              </w:rPr>
              <w:t xml:space="preserve">The relevance of the service to the critical function. </w:t>
            </w:r>
            <w:r w:rsidR="00937E62">
              <w:rPr>
                <w:rFonts w:ascii="Times New Roman" w:hAnsi="Times New Roman"/>
                <w:sz w:val="20"/>
                <w:lang w:val="en-GB"/>
              </w:rPr>
              <w:t>S</w:t>
            </w:r>
            <w:r w:rsidRPr="00D43D39">
              <w:rPr>
                <w:rFonts w:ascii="Times New Roman" w:hAnsi="Times New Roman"/>
                <w:sz w:val="20"/>
                <w:lang w:val="en-GB"/>
              </w:rPr>
              <w:t>elect one of the four available options:</w:t>
            </w:r>
          </w:p>
          <w:p w:rsidRPr="00D43D39" w:rsidR="00DE5943" w:rsidP="00493247" w:rsidRDefault="00DE5943" w14:paraId="79F146EF" w14:textId="77777777">
            <w:pPr>
              <w:pStyle w:val="TableParagraph"/>
              <w:ind w:left="172"/>
              <w:rPr>
                <w:rFonts w:ascii="Times New Roman" w:hAnsi="Times New Roman"/>
                <w:sz w:val="20"/>
                <w:lang w:val="en-GB"/>
              </w:rPr>
            </w:pPr>
            <w:r w:rsidRPr="00D43D39">
              <w:rPr>
                <w:rFonts w:ascii="Times New Roman" w:hAnsi="Times New Roman"/>
                <w:sz w:val="20"/>
                <w:lang w:val="en-GB"/>
              </w:rPr>
              <w:t>‘High’</w:t>
            </w:r>
          </w:p>
          <w:p w:rsidRPr="00D43D39" w:rsidR="00DE5943" w:rsidP="00493247" w:rsidRDefault="00DE5943" w14:paraId="383B3DFA" w14:textId="77777777">
            <w:pPr>
              <w:pStyle w:val="TableParagraph"/>
              <w:ind w:left="172"/>
              <w:rPr>
                <w:rFonts w:ascii="Times New Roman" w:hAnsi="Times New Roman"/>
                <w:sz w:val="20"/>
                <w:lang w:val="en-GB"/>
              </w:rPr>
            </w:pPr>
            <w:r w:rsidRPr="00D43D39">
              <w:rPr>
                <w:rFonts w:ascii="Times New Roman" w:hAnsi="Times New Roman"/>
                <w:sz w:val="20"/>
                <w:lang w:val="en-GB"/>
              </w:rPr>
              <w:t>‘Medium High’</w:t>
            </w:r>
          </w:p>
          <w:p w:rsidRPr="00D43D39" w:rsidR="00DE5943" w:rsidP="00493247" w:rsidRDefault="00DE5943" w14:paraId="53C58319" w14:textId="77777777">
            <w:pPr>
              <w:pStyle w:val="TableParagraph"/>
              <w:ind w:left="172"/>
              <w:rPr>
                <w:rFonts w:ascii="Times New Roman" w:hAnsi="Times New Roman"/>
                <w:sz w:val="20"/>
                <w:lang w:val="en-GB"/>
              </w:rPr>
            </w:pPr>
            <w:r w:rsidRPr="00D43D39">
              <w:rPr>
                <w:rFonts w:ascii="Times New Roman" w:hAnsi="Times New Roman"/>
                <w:sz w:val="20"/>
                <w:lang w:val="en-GB"/>
              </w:rPr>
              <w:t>‘Medium Low’</w:t>
            </w:r>
          </w:p>
          <w:p w:rsidRPr="00D43D39" w:rsidR="00DE5943" w:rsidP="00493247" w:rsidRDefault="00DE5943" w14:paraId="5B4349C5" w14:textId="77777777">
            <w:pPr>
              <w:pStyle w:val="TableParagraph"/>
              <w:ind w:left="172"/>
              <w:rPr>
                <w:rFonts w:ascii="Times New Roman" w:hAnsi="Times New Roman"/>
                <w:sz w:val="20"/>
                <w:lang w:val="en-GB"/>
              </w:rPr>
            </w:pPr>
            <w:r w:rsidRPr="00D43D39">
              <w:rPr>
                <w:rFonts w:ascii="Times New Roman" w:hAnsi="Times New Roman"/>
                <w:sz w:val="20"/>
                <w:lang w:val="en-GB"/>
              </w:rPr>
              <w:t>‘Low’</w:t>
            </w:r>
          </w:p>
          <w:p w:rsidRPr="00D43D39" w:rsidR="00DE5943" w:rsidP="00493247" w:rsidRDefault="00DE5943" w14:paraId="3F71F5CA" w14:textId="77777777">
            <w:pPr>
              <w:spacing w:line="276" w:lineRule="auto"/>
              <w:jc w:val="both"/>
              <w:rPr>
                <w:rFonts w:ascii="Times New Roman" w:hAnsi="Times New Roman"/>
                <w:sz w:val="20"/>
              </w:rPr>
            </w:pPr>
            <w:r w:rsidRPr="00D43D39">
              <w:rPr>
                <w:rFonts w:ascii="Times New Roman" w:hAnsi="Times New Roman"/>
                <w:sz w:val="20"/>
              </w:rPr>
              <w:t>Considering High (H) if the critical function is seriously hindered or completely prevented by a disruption of the service and Low (L) if there are only minor or inexistent impacts on the critical function.</w:t>
            </w:r>
          </w:p>
          <w:p w:rsidRPr="00D43D39" w:rsidR="00DE5943" w:rsidP="00493247" w:rsidRDefault="00DE5943" w14:paraId="11EF1D74" w14:textId="77777777">
            <w:pPr>
              <w:spacing w:line="276" w:lineRule="auto"/>
              <w:jc w:val="both"/>
              <w:rPr>
                <w:rFonts w:ascii="Times New Roman" w:hAnsi="Times New Roman"/>
                <w:sz w:val="20"/>
              </w:rPr>
            </w:pPr>
          </w:p>
        </w:tc>
      </w:tr>
    </w:tbl>
    <w:p w:rsidRPr="005F5507" w:rsidR="00DE5943" w:rsidP="00DE5943" w:rsidRDefault="00DE5943" w14:paraId="2CB8A0AD" w14:textId="77777777">
      <w:pPr>
        <w:rPr>
          <w:rFonts w:ascii="Times New Roman" w:hAnsi="Times New Roman" w:cs="Times New Roman"/>
        </w:rPr>
      </w:pPr>
    </w:p>
    <w:p w:rsidRPr="00D43D39" w:rsidR="00DE5943" w:rsidP="005F5507" w:rsidRDefault="00DE5943" w14:paraId="7C86FC23" w14:textId="77777777">
      <w:pPr>
        <w:pStyle w:val="Instructionsberschrift2"/>
        <w:rPr>
          <w:rFonts w:ascii="Times New Roman" w:hAnsi="Times New Roman" w:eastAsia="Calibri" w:cs="Times New Roman"/>
          <w:szCs w:val="20"/>
        </w:rPr>
      </w:pPr>
    </w:p>
    <w:p w:rsidRPr="005F5507" w:rsidR="00DE5943" w:rsidP="00DE5943" w:rsidRDefault="00DE5943" w14:paraId="54DEED47" w14:textId="457906BD">
      <w:pPr>
        <w:pStyle w:val="Instructionsberschrift2"/>
        <w:numPr>
          <w:ilvl w:val="1"/>
          <w:numId w:val="49"/>
        </w:numPr>
        <w:ind w:left="357" w:hanging="357"/>
        <w:rPr>
          <w:rFonts w:ascii="Times New Roman" w:hAnsi="Times New Roman" w:eastAsia="Calibri" w:cs="Times New Roman"/>
          <w:szCs w:val="20"/>
        </w:rPr>
      </w:pPr>
      <w:bookmarkStart w:name="_Toc172732247" w:id="123"/>
      <w:r w:rsidRPr="00D43D39">
        <w:rPr>
          <w:rFonts w:ascii="Times New Roman" w:hAnsi="Times New Roman" w:cs="Times New Roman"/>
        </w:rPr>
        <w:t>Z 08.05 — Essential services – mapping to core business lines (SERV 5)</w:t>
      </w:r>
      <w:bookmarkEnd w:id="123"/>
    </w:p>
    <w:p w:rsidRPr="00D43D39" w:rsidR="00DE5943" w:rsidP="00DE5943" w:rsidRDefault="00DE5943" w14:paraId="5949288C" w14:textId="77777777">
      <w:pPr>
        <w:spacing w:line="276" w:lineRule="auto"/>
        <w:jc w:val="both"/>
        <w:rPr>
          <w:rFonts w:ascii="Times New Roman" w:hAnsi="Times New Roman" w:eastAsia="Calibri" w:cs="Times New Roman"/>
          <w:sz w:val="20"/>
          <w:szCs w:val="20"/>
        </w:rPr>
      </w:pPr>
      <w:r w:rsidRPr="005F5507">
        <w:rPr>
          <w:rFonts w:ascii="Times New Roman" w:hAnsi="Times New Roman" w:eastAsia="Calibri" w:cs="Times New Roman"/>
          <w:u w:val="single"/>
        </w:rPr>
        <w:t>Instructions concerning specific positions</w:t>
      </w:r>
    </w:p>
    <w:p w:rsidRPr="00D43D39" w:rsidR="00DE5943" w:rsidP="00DE5943" w:rsidRDefault="00DE5943" w14:paraId="66A5726D" w14:textId="77777777">
      <w:pPr>
        <w:pStyle w:val="Instructionsberschrift3"/>
        <w:numPr>
          <w:ilvl w:val="2"/>
          <w:numId w:val="210"/>
        </w:numPr>
        <w:ind w:left="1418"/>
        <w:contextualSpacing/>
        <w:jc w:val="both"/>
        <w:rPr>
          <w:rFonts w:eastAsia="MS Mincho"/>
          <w:color w:val="auto"/>
          <w:u w:val="none"/>
        </w:rPr>
      </w:pPr>
      <w:r w:rsidRPr="00D43D39">
        <w:rPr>
          <w:rFonts w:eastAsia="MS Mincho"/>
          <w:color w:val="auto"/>
          <w:szCs w:val="24"/>
          <w:u w:val="none"/>
        </w:rPr>
        <w:t>The information to be included in this template shall be reported once for the entire group, list essential services received by any entity in the group, and link them to the core business lines provided by the group</w:t>
      </w:r>
    </w:p>
    <w:p w:rsidRPr="00D43D39" w:rsidR="00DE5943" w:rsidP="00DE5943" w:rsidRDefault="00DE5943" w14:paraId="7423AB31" w14:textId="77777777">
      <w:pPr>
        <w:pStyle w:val="Instructionsberschrift3"/>
        <w:numPr>
          <w:ilvl w:val="2"/>
          <w:numId w:val="210"/>
        </w:numPr>
        <w:ind w:left="1418"/>
        <w:contextualSpacing/>
        <w:jc w:val="both"/>
        <w:rPr>
          <w:rFonts w:eastAsia="MS Mincho"/>
          <w:color w:val="auto"/>
          <w:u w:val="none"/>
        </w:rPr>
      </w:pPr>
      <w:r w:rsidRPr="00D43D39">
        <w:rPr>
          <w:rFonts w:eastAsia="MS Mincho"/>
          <w:color w:val="auto"/>
          <w:szCs w:val="24"/>
          <w:u w:val="none"/>
        </w:rPr>
        <w:t>The values reported in columns 0010, 0020 and 0040 of this template form a primary key, which have to be unique for each row of the template</w:t>
      </w:r>
    </w:p>
    <w:p w:rsidRPr="005F5507" w:rsidR="00DE5943" w:rsidP="00DE5943" w:rsidRDefault="00DE5943" w14:paraId="176B70B6" w14:textId="77777777">
      <w:pPr>
        <w:rPr>
          <w:rFonts w:ascii="Times New Roman" w:hAnsi="Times New Roman" w:cs="Times New Roman"/>
        </w:rPr>
      </w:pPr>
    </w:p>
    <w:tbl>
      <w:tblPr>
        <w:tblStyle w:val="TableGrid13"/>
        <w:tblW w:w="9067" w:type="dxa"/>
        <w:tblLook w:val="04A0" w:firstRow="1" w:lastRow="0" w:firstColumn="1" w:lastColumn="0" w:noHBand="0" w:noVBand="1"/>
      </w:tblPr>
      <w:tblGrid>
        <w:gridCol w:w="1418"/>
        <w:gridCol w:w="7649"/>
      </w:tblGrid>
      <w:tr w:rsidRPr="00D43D39" w:rsidR="00DE5943" w:rsidTr="005F5507" w14:paraId="3B4E6F7B" w14:textId="77777777">
        <w:trPr>
          <w:trHeight w:val="644"/>
          <w:tblHeader/>
        </w:trPr>
        <w:tc>
          <w:tcPr>
            <w:tcW w:w="1418" w:type="dxa"/>
            <w:shd w:val="clear" w:color="auto" w:fill="E7E6E6"/>
          </w:tcPr>
          <w:p w:rsidRPr="00D43D39" w:rsidR="00DE5943" w:rsidP="00F5511E" w:rsidRDefault="00DE5943" w14:paraId="0FCFBDFA" w14:textId="77777777">
            <w:pPr>
              <w:spacing w:before="120" w:after="120" w:line="276" w:lineRule="auto"/>
              <w:rPr>
                <w:rFonts w:ascii="Times New Roman" w:hAnsi="Times New Roman"/>
                <w:b/>
                <w:sz w:val="20"/>
                <w:szCs w:val="20"/>
              </w:rPr>
            </w:pPr>
            <w:r w:rsidRPr="00D43D39">
              <w:rPr>
                <w:rFonts w:ascii="Times New Roman" w:hAnsi="Times New Roman"/>
                <w:b/>
                <w:sz w:val="20"/>
                <w:szCs w:val="20"/>
              </w:rPr>
              <w:t>Columns</w:t>
            </w:r>
          </w:p>
        </w:tc>
        <w:tc>
          <w:tcPr>
            <w:tcW w:w="7649" w:type="dxa"/>
            <w:shd w:val="clear" w:color="auto" w:fill="E7E6E6"/>
          </w:tcPr>
          <w:p w:rsidRPr="00D43D39" w:rsidR="00DE5943" w:rsidP="00F5511E" w:rsidRDefault="00DE5943" w14:paraId="2FB7DAB7" w14:textId="77777777">
            <w:pPr>
              <w:spacing w:before="120" w:after="120" w:line="276" w:lineRule="auto"/>
              <w:rPr>
                <w:rFonts w:ascii="Times New Roman" w:hAnsi="Times New Roman"/>
                <w:b/>
                <w:sz w:val="20"/>
                <w:szCs w:val="20"/>
              </w:rPr>
            </w:pPr>
            <w:r w:rsidRPr="00D43D39">
              <w:rPr>
                <w:rFonts w:ascii="Times New Roman" w:hAnsi="Times New Roman"/>
                <w:b/>
                <w:sz w:val="20"/>
                <w:szCs w:val="20"/>
              </w:rPr>
              <w:t>Instructions</w:t>
            </w:r>
          </w:p>
        </w:tc>
      </w:tr>
      <w:tr w:rsidRPr="00D43D39" w:rsidR="00DE5943" w:rsidTr="00F5511E" w14:paraId="1FF6B9F6" w14:textId="77777777">
        <w:trPr>
          <w:trHeight w:val="450"/>
        </w:trPr>
        <w:tc>
          <w:tcPr>
            <w:tcW w:w="1418" w:type="dxa"/>
            <w:shd w:val="clear" w:color="auto" w:fill="FFFFFF"/>
          </w:tcPr>
          <w:p w:rsidRPr="00D43D39" w:rsidR="00DE5943" w:rsidP="00F5511E" w:rsidRDefault="00DE5943" w14:paraId="4B1782B9" w14:textId="77777777">
            <w:pPr>
              <w:spacing w:before="120" w:after="120" w:line="276" w:lineRule="auto"/>
              <w:rPr>
                <w:rFonts w:ascii="Times New Roman" w:hAnsi="Times New Roman"/>
                <w:sz w:val="20"/>
                <w:szCs w:val="20"/>
              </w:rPr>
            </w:pPr>
            <w:r w:rsidRPr="00D43D39">
              <w:rPr>
                <w:rFonts w:ascii="Times New Roman" w:hAnsi="Times New Roman"/>
                <w:sz w:val="20"/>
                <w:szCs w:val="20"/>
              </w:rPr>
              <w:t>0005</w:t>
            </w:r>
          </w:p>
        </w:tc>
        <w:tc>
          <w:tcPr>
            <w:tcW w:w="7649" w:type="dxa"/>
            <w:shd w:val="clear" w:color="auto" w:fill="FFFFFF"/>
          </w:tcPr>
          <w:p w:rsidRPr="00D43D39" w:rsidR="00DE5943" w:rsidP="00F5511E" w:rsidRDefault="00DE5943" w14:paraId="5FFEC028" w14:textId="77777777">
            <w:pPr>
              <w:spacing w:before="120" w:after="120" w:line="276" w:lineRule="auto"/>
              <w:rPr>
                <w:rFonts w:ascii="Times New Roman" w:hAnsi="Times New Roman"/>
                <w:sz w:val="20"/>
                <w:szCs w:val="20"/>
              </w:rPr>
            </w:pPr>
            <w:r w:rsidRPr="00D43D39">
              <w:rPr>
                <w:rFonts w:ascii="Times New Roman" w:hAnsi="Times New Roman"/>
                <w:b/>
                <w:bCs/>
                <w:sz w:val="20"/>
                <w:szCs w:val="20"/>
              </w:rPr>
              <w:t xml:space="preserve">Service </w:t>
            </w:r>
            <w:r w:rsidRPr="00D43D39" w:rsidDel="00106D64">
              <w:rPr>
                <w:rFonts w:ascii="Times New Roman" w:hAnsi="Times New Roman"/>
                <w:b/>
                <w:bCs/>
                <w:sz w:val="20"/>
                <w:szCs w:val="20"/>
              </w:rPr>
              <w:t>I</w:t>
            </w:r>
            <w:r w:rsidRPr="00D43D39">
              <w:rPr>
                <w:rFonts w:ascii="Times New Roman" w:hAnsi="Times New Roman"/>
                <w:b/>
                <w:bCs/>
                <w:sz w:val="20"/>
                <w:szCs w:val="20"/>
              </w:rPr>
              <w:t xml:space="preserve">dentifier </w:t>
            </w:r>
          </w:p>
          <w:p w:rsidRPr="00D43D39" w:rsidR="00DE5943" w:rsidP="00F5511E" w:rsidRDefault="00937E62" w14:paraId="4B1EAD46" w14:textId="3E7630A3">
            <w:pPr>
              <w:spacing w:before="120" w:after="120" w:line="276" w:lineRule="auto"/>
              <w:rPr>
                <w:rFonts w:ascii="Times New Roman" w:hAnsi="Times New Roman"/>
                <w:sz w:val="20"/>
                <w:szCs w:val="20"/>
              </w:rPr>
            </w:pPr>
            <w:r>
              <w:rPr>
                <w:rFonts w:ascii="Times New Roman" w:hAnsi="Times New Roman"/>
                <w:sz w:val="20"/>
                <w:szCs w:val="20"/>
              </w:rPr>
              <w:t>U</w:t>
            </w:r>
            <w:r w:rsidRPr="00D43D39" w:rsidR="00DE5943">
              <w:rPr>
                <w:rFonts w:ascii="Times New Roman" w:hAnsi="Times New Roman"/>
                <w:sz w:val="20"/>
                <w:szCs w:val="20"/>
              </w:rPr>
              <w:t>se the Service identifier as reported in Z 08.01 (SERV 1).</w:t>
            </w:r>
          </w:p>
          <w:p w:rsidRPr="00D43D39" w:rsidR="00DE5943" w:rsidP="00F5511E" w:rsidRDefault="00DE5943" w14:paraId="72EA4219" w14:textId="7C4DBD2F">
            <w:pPr>
              <w:spacing w:before="120" w:after="120" w:line="276" w:lineRule="auto"/>
              <w:rPr>
                <w:rFonts w:ascii="Times New Roman" w:hAnsi="Times New Roman"/>
                <w:i/>
                <w:sz w:val="20"/>
                <w:szCs w:val="20"/>
              </w:rPr>
            </w:pPr>
            <w:r w:rsidRPr="00D43D39">
              <w:rPr>
                <w:rFonts w:ascii="Times New Roman" w:hAnsi="Times New Roman"/>
                <w:sz w:val="20"/>
                <w:szCs w:val="20"/>
              </w:rPr>
              <w:t>The service identifier refer</w:t>
            </w:r>
            <w:r w:rsidR="002526C2">
              <w:rPr>
                <w:rFonts w:ascii="Times New Roman" w:hAnsi="Times New Roman"/>
                <w:sz w:val="20"/>
                <w:szCs w:val="20"/>
              </w:rPr>
              <w:t>s</w:t>
            </w:r>
            <w:r w:rsidRPr="00D43D39">
              <w:rPr>
                <w:rFonts w:ascii="Times New Roman" w:hAnsi="Times New Roman"/>
                <w:sz w:val="20"/>
                <w:szCs w:val="20"/>
              </w:rPr>
              <w:t xml:space="preserve"> to the service reported under c0020.</w:t>
            </w:r>
          </w:p>
        </w:tc>
      </w:tr>
      <w:tr w:rsidRPr="00D43D39" w:rsidR="00DE5943" w:rsidTr="00F5511E" w14:paraId="7FFF454A" w14:textId="77777777">
        <w:trPr>
          <w:trHeight w:val="450"/>
        </w:trPr>
        <w:tc>
          <w:tcPr>
            <w:tcW w:w="1418" w:type="dxa"/>
            <w:shd w:val="clear" w:color="auto" w:fill="FFFFFF"/>
          </w:tcPr>
          <w:p w:rsidRPr="00D43D39" w:rsidR="00DE5943" w:rsidP="00F5511E" w:rsidRDefault="00DE5943" w14:paraId="5748D607" w14:textId="77777777">
            <w:pPr>
              <w:spacing w:before="120" w:after="120" w:line="276" w:lineRule="auto"/>
              <w:rPr>
                <w:rFonts w:ascii="Times New Roman" w:hAnsi="Times New Roman"/>
                <w:sz w:val="20"/>
                <w:szCs w:val="20"/>
              </w:rPr>
            </w:pPr>
            <w:r w:rsidRPr="00D43D39">
              <w:rPr>
                <w:rFonts w:ascii="Times New Roman" w:hAnsi="Times New Roman"/>
                <w:sz w:val="20"/>
                <w:szCs w:val="20"/>
              </w:rPr>
              <w:t>0010</w:t>
            </w:r>
          </w:p>
        </w:tc>
        <w:tc>
          <w:tcPr>
            <w:tcW w:w="7649" w:type="dxa"/>
            <w:shd w:val="clear" w:color="auto" w:fill="FFFFFF"/>
          </w:tcPr>
          <w:p w:rsidRPr="00D43D39" w:rsidR="00DE5943" w:rsidP="00F5511E" w:rsidRDefault="00DE5943" w14:paraId="2047A535" w14:textId="77777777">
            <w:pPr>
              <w:autoSpaceDE w:val="0"/>
              <w:autoSpaceDN w:val="0"/>
              <w:adjustRightInd w:val="0"/>
              <w:rPr>
                <w:rFonts w:ascii="Times New Roman" w:hAnsi="Times New Roman" w:eastAsia="MS Mincho"/>
                <w:b/>
                <w:bCs/>
                <w:sz w:val="20"/>
                <w:szCs w:val="20"/>
                <w:lang w:eastAsia="en-GB"/>
              </w:rPr>
            </w:pPr>
            <w:r w:rsidRPr="00D43D39">
              <w:rPr>
                <w:rFonts w:ascii="Times New Roman" w:hAnsi="Times New Roman"/>
                <w:b/>
                <w:bCs/>
                <w:sz w:val="20"/>
                <w:szCs w:val="20"/>
              </w:rPr>
              <w:t>Service type</w:t>
            </w:r>
            <w:r w:rsidRPr="00D43D39">
              <w:rPr>
                <w:rFonts w:ascii="Times New Roman" w:hAnsi="Times New Roman" w:eastAsia="MS Mincho"/>
                <w:b/>
                <w:bCs/>
                <w:sz w:val="20"/>
                <w:szCs w:val="20"/>
                <w:lang w:eastAsia="en-GB"/>
              </w:rPr>
              <w:t xml:space="preserve"> </w:t>
            </w:r>
          </w:p>
          <w:p w:rsidRPr="00D43D39" w:rsidR="00DE5943" w:rsidP="00F5511E" w:rsidRDefault="00DE5943" w14:paraId="7799B3D9"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The service type shall be one of the service types listed below. </w:t>
            </w:r>
          </w:p>
          <w:p w:rsidRPr="00D43D39" w:rsidR="00DE5943" w:rsidP="00F5511E" w:rsidRDefault="00DE5943" w14:paraId="5E95849D" w14:textId="77777777">
            <w:pPr>
              <w:spacing w:before="120" w:after="120" w:line="276" w:lineRule="auto"/>
              <w:rPr>
                <w:rFonts w:ascii="Times New Roman" w:hAnsi="Times New Roman"/>
                <w:sz w:val="20"/>
                <w:szCs w:val="20"/>
              </w:rPr>
            </w:pPr>
            <w:r w:rsidRPr="00D43D39">
              <w:rPr>
                <w:rFonts w:ascii="Times New Roman" w:hAnsi="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p>
          <w:p w:rsidRPr="00D43D39" w:rsidR="00DE5943" w:rsidP="00F5511E" w:rsidRDefault="00DE5943" w14:paraId="290D73BF"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1. Human resources support </w:t>
            </w:r>
          </w:p>
          <w:p w:rsidRPr="00D43D39" w:rsidR="00DE5943" w:rsidP="00F5511E" w:rsidRDefault="00DE5943" w14:paraId="041E31C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1.1 staff administration, including administration of contracts and remuneration </w:t>
            </w:r>
          </w:p>
          <w:p w:rsidRPr="00D43D39" w:rsidR="00DE5943" w:rsidP="00F5511E" w:rsidRDefault="00DE5943" w14:paraId="1567FBB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1.2 internal communication</w:t>
            </w:r>
          </w:p>
          <w:p w:rsidRPr="00D43D39" w:rsidR="00DE5943" w:rsidP="00F5511E" w:rsidRDefault="00DE5943" w14:paraId="512FF78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1.3 external communication</w:t>
            </w:r>
          </w:p>
          <w:p w:rsidRPr="00D43D39" w:rsidR="00DE5943" w:rsidDel="00106D64" w:rsidP="00F5511E" w:rsidRDefault="00DE5943" w14:paraId="3837559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1.4 other</w:t>
            </w:r>
          </w:p>
          <w:p w:rsidRPr="00D43D39" w:rsidR="00DE5943" w:rsidP="00F5511E" w:rsidRDefault="00DE5943" w14:paraId="3DDBB5D5" w14:textId="77777777">
            <w:pPr>
              <w:autoSpaceDE w:val="0"/>
              <w:autoSpaceDN w:val="0"/>
              <w:adjustRightInd w:val="0"/>
              <w:ind w:left="708"/>
              <w:rPr>
                <w:rFonts w:ascii="Times New Roman" w:hAnsi="Times New Roman" w:eastAsia="MS Mincho"/>
                <w:sz w:val="20"/>
                <w:szCs w:val="20"/>
                <w:lang w:eastAsia="en-GB"/>
              </w:rPr>
            </w:pPr>
          </w:p>
          <w:p w:rsidRPr="00D43D39" w:rsidR="00DE5943" w:rsidP="00F5511E" w:rsidRDefault="00DE5943" w14:paraId="30DB91C2"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 Information technology </w:t>
            </w:r>
          </w:p>
          <w:p w:rsidRPr="00D43D39" w:rsidR="00DE5943" w:rsidP="00F5511E" w:rsidRDefault="00DE5943" w14:paraId="72739019"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2.1 IT and communication hardware </w:t>
            </w:r>
          </w:p>
          <w:p w:rsidRPr="00D43D39" w:rsidR="00DE5943" w:rsidP="00F5511E" w:rsidRDefault="00DE5943" w14:paraId="566BFA0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2.2 data storage and processing </w:t>
            </w:r>
          </w:p>
          <w:p w:rsidRPr="00D43D39" w:rsidR="00DE5943" w:rsidP="00F5511E" w:rsidRDefault="00DE5943" w14:paraId="0762DA00"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2.3 other IT infrastructure, workstations, telecommunications, servers, data centres and related services </w:t>
            </w:r>
          </w:p>
          <w:p w:rsidRPr="00D43D39" w:rsidR="00DE5943" w:rsidP="00F5511E" w:rsidRDefault="00DE5943" w14:paraId="7651D91C"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2.4 administration of software licenses and application software </w:t>
            </w:r>
          </w:p>
          <w:p w:rsidRPr="00D43D39" w:rsidR="00DE5943" w:rsidP="00F5511E" w:rsidRDefault="00DE5943" w14:paraId="3D03005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2.5 access to external providers, in particular data and infrastructure providers </w:t>
            </w:r>
          </w:p>
          <w:p w:rsidRPr="00D43D39" w:rsidR="00DE5943" w:rsidP="00F5511E" w:rsidRDefault="00DE5943" w14:paraId="37308BC7"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2.6 application maintenance, including software application maintenance and related data flows </w:t>
            </w:r>
          </w:p>
          <w:p w:rsidRPr="00D43D39" w:rsidR="00DE5943" w:rsidP="00F5511E" w:rsidRDefault="00DE5943" w14:paraId="5C6F356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2.7 report generation, internal information flows and data bases </w:t>
            </w:r>
          </w:p>
          <w:p w:rsidRPr="00D43D39" w:rsidR="00DE5943" w:rsidP="00F5511E" w:rsidRDefault="00DE5943" w14:paraId="3160574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2.8 user support </w:t>
            </w:r>
          </w:p>
          <w:p w:rsidRPr="00D43D39" w:rsidR="00DE5943" w:rsidP="00F5511E" w:rsidRDefault="00DE5943" w14:paraId="58022F97"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2.9 emergency and disaster recovery</w:t>
            </w:r>
          </w:p>
          <w:p w:rsidRPr="00D43D39" w:rsidR="00DE5943" w:rsidDel="00106D64" w:rsidP="00F5511E" w:rsidRDefault="00DE5943" w14:paraId="66E88F0B"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2.10 other</w:t>
            </w:r>
          </w:p>
          <w:p w:rsidRPr="00D43D39" w:rsidR="00DE5943" w:rsidP="00F5511E" w:rsidRDefault="00DE5943" w14:paraId="02C47503" w14:textId="77777777">
            <w:pPr>
              <w:autoSpaceDE w:val="0"/>
              <w:autoSpaceDN w:val="0"/>
              <w:adjustRightInd w:val="0"/>
              <w:rPr>
                <w:rFonts w:ascii="Times New Roman" w:hAnsi="Times New Roman" w:eastAsia="MS Mincho"/>
                <w:sz w:val="20"/>
                <w:szCs w:val="20"/>
                <w:lang w:eastAsia="en-GB"/>
              </w:rPr>
            </w:pPr>
          </w:p>
          <w:p w:rsidRPr="00D43D39" w:rsidR="00DE5943" w:rsidP="00F5511E" w:rsidRDefault="00DE5943" w14:paraId="45C9A9AA"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3. Transaction processing, including legal transactional issues, in particular anti-money laundering </w:t>
            </w:r>
          </w:p>
          <w:p w:rsidRPr="00D43D39" w:rsidR="00DE5943" w:rsidP="00F5511E" w:rsidRDefault="00DE5943" w14:paraId="647EB3BA" w14:textId="77777777">
            <w:pPr>
              <w:autoSpaceDE w:val="0"/>
              <w:autoSpaceDN w:val="0"/>
              <w:adjustRightInd w:val="0"/>
              <w:rPr>
                <w:rFonts w:ascii="Times New Roman" w:hAnsi="Times New Roman" w:eastAsia="MS Mincho"/>
                <w:sz w:val="20"/>
                <w:szCs w:val="20"/>
                <w:lang w:eastAsia="en-GB"/>
              </w:rPr>
            </w:pPr>
          </w:p>
          <w:p w:rsidRPr="00D43D39" w:rsidR="00DE5943" w:rsidP="00F5511E" w:rsidRDefault="00DE5943" w14:paraId="6BC1D6A9"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 Real estate and facility provision or management and associated facilities </w:t>
            </w:r>
          </w:p>
          <w:p w:rsidRPr="00D43D39" w:rsidR="00DE5943" w:rsidP="00F5511E" w:rsidRDefault="00DE5943" w14:paraId="06550769"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4.1 office premises and storage </w:t>
            </w:r>
          </w:p>
          <w:p w:rsidRPr="00D43D39" w:rsidR="00DE5943" w:rsidP="00F5511E" w:rsidRDefault="00DE5943" w14:paraId="0709FDEC"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4.2 internal facilities management </w:t>
            </w:r>
          </w:p>
          <w:p w:rsidRPr="00D43D39" w:rsidR="00DE5943" w:rsidP="00F5511E" w:rsidRDefault="00DE5943" w14:paraId="255EF1B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4.3 security and access control </w:t>
            </w:r>
          </w:p>
          <w:p w:rsidRPr="00D43D39" w:rsidR="00DE5943" w:rsidP="00F5511E" w:rsidRDefault="00DE5943" w14:paraId="466CE9E7"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4.4 real estate portfolio management </w:t>
            </w:r>
          </w:p>
          <w:p w:rsidRPr="00D43D39" w:rsidR="00DE5943" w:rsidP="00F5511E" w:rsidRDefault="00DE5943" w14:paraId="5B5621A0" w14:textId="327500F5">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4.5 other, </w:t>
            </w:r>
            <w:r w:rsidR="00937E62">
              <w:rPr>
                <w:rFonts w:ascii="Times New Roman" w:hAnsi="Times New Roman" w:eastAsia="MS Mincho"/>
                <w:sz w:val="20"/>
                <w:szCs w:val="20"/>
                <w:lang w:eastAsia="en-GB"/>
              </w:rPr>
              <w:t>(</w:t>
            </w:r>
            <w:r w:rsidRPr="00D43D39">
              <w:rPr>
                <w:rFonts w:ascii="Times New Roman" w:hAnsi="Times New Roman" w:eastAsia="MS Mincho"/>
                <w:sz w:val="20"/>
                <w:szCs w:val="20"/>
                <w:lang w:eastAsia="en-GB"/>
              </w:rPr>
              <w:t>specify</w:t>
            </w:r>
            <w:r w:rsidR="00937E62">
              <w:rPr>
                <w:rFonts w:ascii="Times New Roman" w:hAnsi="Times New Roman" w:eastAsia="MS Mincho"/>
                <w:sz w:val="20"/>
                <w:szCs w:val="20"/>
                <w:lang w:eastAsia="en-GB"/>
              </w:rPr>
              <w:t>)</w:t>
            </w:r>
            <w:r w:rsidRPr="00D43D39">
              <w:rPr>
                <w:rFonts w:ascii="Times New Roman" w:hAnsi="Times New Roman" w:eastAsia="MS Mincho"/>
                <w:sz w:val="20"/>
                <w:szCs w:val="20"/>
                <w:lang w:eastAsia="en-GB"/>
              </w:rPr>
              <w:t xml:space="preserve"> </w:t>
            </w:r>
          </w:p>
          <w:p w:rsidRPr="00D43D39" w:rsidR="00DE5943" w:rsidP="00F5511E" w:rsidRDefault="00DE5943" w14:paraId="1254E7BF" w14:textId="77777777">
            <w:pPr>
              <w:autoSpaceDE w:val="0"/>
              <w:autoSpaceDN w:val="0"/>
              <w:adjustRightInd w:val="0"/>
              <w:rPr>
                <w:rFonts w:ascii="Times New Roman" w:hAnsi="Times New Roman" w:eastAsia="MS Mincho"/>
                <w:sz w:val="20"/>
                <w:szCs w:val="20"/>
                <w:lang w:eastAsia="en-GB"/>
              </w:rPr>
            </w:pPr>
          </w:p>
          <w:p w:rsidRPr="00D43D39" w:rsidR="00DE5943" w:rsidP="00F5511E" w:rsidRDefault="00DE5943" w14:paraId="5E4B3E16"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 Legal services and compliance functions </w:t>
            </w:r>
          </w:p>
          <w:p w:rsidRPr="00D43D39" w:rsidR="00DE5943" w:rsidP="00F5511E" w:rsidRDefault="00DE5943" w14:paraId="0799B89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5.1 corporate legal support </w:t>
            </w:r>
          </w:p>
          <w:p w:rsidRPr="00D43D39" w:rsidR="00DE5943" w:rsidP="00F5511E" w:rsidRDefault="00DE5943" w14:paraId="2F4A861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5.2 business and transactional legal services </w:t>
            </w:r>
          </w:p>
          <w:p w:rsidRPr="00D43D39" w:rsidR="00DE5943" w:rsidP="00F5511E" w:rsidRDefault="00DE5943" w14:paraId="5906098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5.3 compliance support </w:t>
            </w:r>
          </w:p>
          <w:p w:rsidRPr="00D43D39" w:rsidR="00DE5943" w:rsidDel="00106D64" w:rsidP="00F5511E" w:rsidRDefault="00DE5943" w14:paraId="57A8413B"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5.4 other</w:t>
            </w:r>
          </w:p>
          <w:p w:rsidRPr="00D43D39" w:rsidR="00DE5943" w:rsidP="00F5511E" w:rsidRDefault="00DE5943" w14:paraId="6CDB4F52" w14:textId="77777777">
            <w:pPr>
              <w:autoSpaceDE w:val="0"/>
              <w:autoSpaceDN w:val="0"/>
              <w:adjustRightInd w:val="0"/>
              <w:ind w:left="708"/>
              <w:rPr>
                <w:rFonts w:ascii="Times New Roman" w:hAnsi="Times New Roman" w:eastAsia="MS Mincho"/>
                <w:sz w:val="20"/>
                <w:szCs w:val="20"/>
                <w:lang w:eastAsia="en-GB"/>
              </w:rPr>
            </w:pPr>
          </w:p>
          <w:p w:rsidRPr="00D43D39" w:rsidR="00DE5943" w:rsidP="00F5511E" w:rsidRDefault="00DE5943" w14:paraId="347EE34B"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 Treasury-related services </w:t>
            </w:r>
          </w:p>
          <w:p w:rsidRPr="00D43D39" w:rsidR="00DE5943" w:rsidP="00F5511E" w:rsidRDefault="00DE5943" w14:paraId="02E27A4F"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6.1 coordination, administration and management of the treasury activity </w:t>
            </w:r>
          </w:p>
          <w:p w:rsidRPr="00D43D39" w:rsidR="00DE5943" w:rsidP="00F5511E" w:rsidRDefault="00DE5943" w14:paraId="457AD5CE"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6.2 coordination, administration and management of entity refinancing, including collateral management </w:t>
            </w:r>
          </w:p>
          <w:p w:rsidRPr="00D43D39" w:rsidR="00DE5943" w:rsidP="00F5511E" w:rsidRDefault="00DE5943" w14:paraId="1469270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6.3 reporting function, in particular with respect to regulatory liquidity ratios </w:t>
            </w:r>
          </w:p>
          <w:p w:rsidRPr="00D43D39" w:rsidR="00DE5943" w:rsidP="00F5511E" w:rsidRDefault="00DE5943" w14:paraId="210A9381"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6.4 coordination, administration and management of medium and long-term funding programs, and refinancing of group entities </w:t>
            </w:r>
          </w:p>
          <w:p w:rsidRPr="00D43D39" w:rsidR="00DE5943" w:rsidDel="00106D64" w:rsidP="00F5511E" w:rsidRDefault="00DE5943" w14:paraId="2DC9878B"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6.5 coordination, administration and management of refinancing, in particular short-term issues</w:t>
            </w:r>
          </w:p>
          <w:p w:rsidRPr="00D43D39" w:rsidR="00DE5943" w:rsidP="00F5511E" w:rsidRDefault="00DE5943" w14:paraId="2761A48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6.6 other</w:t>
            </w:r>
          </w:p>
          <w:p w:rsidRPr="00D43D39" w:rsidR="00DE5943" w:rsidP="00F5511E" w:rsidRDefault="00DE5943" w14:paraId="67F0CDDD" w14:textId="77777777">
            <w:pPr>
              <w:autoSpaceDE w:val="0"/>
              <w:autoSpaceDN w:val="0"/>
              <w:adjustRightInd w:val="0"/>
              <w:rPr>
                <w:rFonts w:ascii="Times New Roman" w:hAnsi="Times New Roman" w:eastAsia="MS Mincho"/>
                <w:sz w:val="20"/>
                <w:szCs w:val="20"/>
                <w:lang w:eastAsia="en-GB"/>
              </w:rPr>
            </w:pPr>
          </w:p>
          <w:p w:rsidRPr="00D43D39" w:rsidR="00DE5943" w:rsidP="00F5511E" w:rsidRDefault="00DE5943" w14:paraId="1C1691CC"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 Trading/asset management </w:t>
            </w:r>
          </w:p>
          <w:p w:rsidRPr="00D43D39" w:rsidR="00DE5943" w:rsidP="00F5511E" w:rsidRDefault="00DE5943" w14:paraId="28E3F1E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7.1 operations processing: trade capture, design, realisation, servicing of trading products </w:t>
            </w:r>
          </w:p>
          <w:p w:rsidRPr="00D43D39" w:rsidR="00DE5943" w:rsidP="00F5511E" w:rsidRDefault="00DE5943" w14:paraId="4BC4575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7.2 confirmation, settlement, payment </w:t>
            </w:r>
          </w:p>
          <w:p w:rsidRPr="00D43D39" w:rsidR="00DE5943" w:rsidP="00F5511E" w:rsidRDefault="00DE5943" w14:paraId="465709A2"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7.3 position and counterparty management, with respect to data reporting and counterparty relationships </w:t>
            </w:r>
          </w:p>
          <w:p w:rsidRPr="00D43D39" w:rsidR="00DE5943" w:rsidP="00F5511E" w:rsidRDefault="00DE5943" w14:paraId="141956B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7.4 position management (risk and reconciliation) </w:t>
            </w:r>
          </w:p>
          <w:p w:rsidRPr="00D43D39" w:rsidR="00DE5943" w:rsidDel="00106D64" w:rsidP="00F5511E" w:rsidRDefault="00DE5943" w14:paraId="2B2022D7"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7.5 other</w:t>
            </w:r>
          </w:p>
          <w:p w:rsidRPr="00D43D39" w:rsidR="00DE5943" w:rsidP="00F5511E" w:rsidRDefault="00DE5943" w14:paraId="0AE557B8" w14:textId="77777777">
            <w:pPr>
              <w:autoSpaceDE w:val="0"/>
              <w:autoSpaceDN w:val="0"/>
              <w:adjustRightInd w:val="0"/>
              <w:ind w:left="708"/>
              <w:rPr>
                <w:rFonts w:ascii="Times New Roman" w:hAnsi="Times New Roman" w:eastAsia="MS Mincho"/>
                <w:sz w:val="20"/>
                <w:szCs w:val="20"/>
                <w:lang w:eastAsia="en-GB"/>
              </w:rPr>
            </w:pPr>
          </w:p>
          <w:p w:rsidRPr="00D43D39" w:rsidR="00DE5943" w:rsidP="00F5511E" w:rsidRDefault="00DE5943" w14:paraId="1B62D782"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8. Risk management and valuation </w:t>
            </w:r>
          </w:p>
          <w:p w:rsidRPr="00D43D39" w:rsidR="00DE5943" w:rsidP="00F5511E" w:rsidRDefault="00DE5943" w14:paraId="39F24967"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8.1 central or business line or risk type-related risk management</w:t>
            </w:r>
          </w:p>
          <w:p w:rsidRPr="00D43D39" w:rsidR="00DE5943" w:rsidP="00F5511E" w:rsidRDefault="00DE5943" w14:paraId="1EF6D095"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8.2 risk report generation </w:t>
            </w:r>
          </w:p>
          <w:p w:rsidRPr="00D43D39" w:rsidR="00DE5943" w:rsidDel="00106D64" w:rsidP="00F5511E" w:rsidRDefault="00DE5943" w14:paraId="7DACA7A3"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8.3 other</w:t>
            </w:r>
          </w:p>
          <w:p w:rsidRPr="00D43D39" w:rsidR="00DE5943" w:rsidP="00F5511E" w:rsidRDefault="00DE5943" w14:paraId="63A80B4E" w14:textId="77777777">
            <w:pPr>
              <w:autoSpaceDE w:val="0"/>
              <w:autoSpaceDN w:val="0"/>
              <w:adjustRightInd w:val="0"/>
              <w:rPr>
                <w:rFonts w:ascii="Times New Roman" w:hAnsi="Times New Roman" w:eastAsia="MS Mincho"/>
                <w:sz w:val="20"/>
                <w:szCs w:val="20"/>
                <w:lang w:eastAsia="en-GB"/>
              </w:rPr>
            </w:pPr>
          </w:p>
          <w:p w:rsidRPr="00D43D39" w:rsidR="00DE5943" w:rsidP="00F5511E" w:rsidRDefault="00DE5943" w14:paraId="40C6892D" w14:textId="77777777">
            <w:pPr>
              <w:autoSpaceDE w:val="0"/>
              <w:autoSpaceDN w:val="0"/>
              <w:adjustRightInd w:val="0"/>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 Accounting </w:t>
            </w:r>
          </w:p>
          <w:p w:rsidRPr="00D43D39" w:rsidR="00DE5943" w:rsidP="00F5511E" w:rsidRDefault="00DE5943" w14:paraId="1B895506"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9.1 statutory and regulatory reporting </w:t>
            </w:r>
          </w:p>
          <w:p w:rsidRPr="00D43D39" w:rsidR="00DE5943" w:rsidP="00F5511E" w:rsidRDefault="00DE5943" w14:paraId="7E8F7A34"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9.2 valuation, in particular of market positions </w:t>
            </w:r>
          </w:p>
          <w:p w:rsidRPr="00D43D39" w:rsidR="00DE5943" w:rsidDel="00106D64" w:rsidP="00F5511E" w:rsidRDefault="00DE5943" w14:paraId="6150117A" w14:textId="77777777">
            <w:pPr>
              <w:autoSpaceDE w:val="0"/>
              <w:autoSpaceDN w:val="0"/>
              <w:adjustRightInd w:val="0"/>
              <w:ind w:left="708"/>
              <w:rPr>
                <w:rFonts w:ascii="Times New Roman" w:hAnsi="Times New Roman" w:eastAsia="MS Mincho"/>
                <w:sz w:val="20"/>
                <w:szCs w:val="20"/>
                <w:lang w:eastAsia="en-GB"/>
              </w:rPr>
            </w:pPr>
            <w:r w:rsidRPr="00D43D39">
              <w:rPr>
                <w:rFonts w:ascii="Times New Roman" w:hAnsi="Times New Roman" w:eastAsia="MS Mincho"/>
                <w:sz w:val="20"/>
                <w:szCs w:val="20"/>
                <w:lang w:eastAsia="en-GB"/>
              </w:rPr>
              <w:t xml:space="preserve">9.3 management reporting </w:t>
            </w:r>
          </w:p>
          <w:p w:rsidRPr="00D43D39" w:rsidR="00DE5943" w:rsidP="00F5511E" w:rsidRDefault="00DE5943" w14:paraId="57BB676F" w14:textId="77777777">
            <w:pPr>
              <w:autoSpaceDE w:val="0"/>
              <w:autoSpaceDN w:val="0"/>
              <w:adjustRightInd w:val="0"/>
              <w:ind w:left="708"/>
              <w:rPr>
                <w:rFonts w:ascii="Times New Roman" w:hAnsi="Times New Roman" w:eastAsia="MS Mincho"/>
                <w:sz w:val="20"/>
                <w:szCs w:val="20"/>
                <w:lang w:eastAsia="en-GB"/>
              </w:rPr>
            </w:pPr>
            <w:r w:rsidRPr="00D43D39" w:rsidDel="00106D64">
              <w:rPr>
                <w:rFonts w:ascii="Times New Roman" w:hAnsi="Times New Roman" w:eastAsia="MS Mincho"/>
                <w:sz w:val="20"/>
                <w:szCs w:val="20"/>
                <w:lang w:eastAsia="en-GB"/>
              </w:rPr>
              <w:t>9.4 other</w:t>
            </w:r>
          </w:p>
          <w:p w:rsidRPr="00D43D39" w:rsidR="00DE5943" w:rsidP="00F5511E" w:rsidRDefault="00DE5943" w14:paraId="4B7BFFAA" w14:textId="77777777">
            <w:pPr>
              <w:autoSpaceDE w:val="0"/>
              <w:autoSpaceDN w:val="0"/>
              <w:adjustRightInd w:val="0"/>
              <w:ind w:left="708"/>
              <w:rPr>
                <w:rFonts w:ascii="Times New Roman" w:hAnsi="Times New Roman" w:eastAsia="MS Mincho"/>
                <w:sz w:val="20"/>
                <w:szCs w:val="20"/>
                <w:lang w:eastAsia="en-GB"/>
              </w:rPr>
            </w:pPr>
          </w:p>
          <w:p w:rsidRPr="00D43D39" w:rsidR="00DE5943" w:rsidP="00F5511E" w:rsidRDefault="00DE5943" w14:paraId="6F0BFDA3" w14:textId="77777777">
            <w:pPr>
              <w:autoSpaceDE w:val="0"/>
              <w:autoSpaceDN w:val="0"/>
              <w:adjustRightInd w:val="0"/>
              <w:rPr>
                <w:rFonts w:ascii="Times New Roman" w:hAnsi="Times New Roman" w:eastAsia="MS Mincho"/>
                <w:sz w:val="24"/>
                <w:szCs w:val="20"/>
                <w:lang w:eastAsia="en-GB"/>
              </w:rPr>
            </w:pPr>
            <w:r w:rsidRPr="00D43D39">
              <w:rPr>
                <w:rFonts w:ascii="Times New Roman" w:hAnsi="Times New Roman" w:eastAsia="MS Mincho"/>
                <w:sz w:val="20"/>
                <w:szCs w:val="20"/>
                <w:lang w:eastAsia="en-GB"/>
              </w:rPr>
              <w:t>10. Cash handling</w:t>
            </w:r>
            <w:r w:rsidRPr="00D43D39">
              <w:rPr>
                <w:rFonts w:ascii="Times New Roman" w:hAnsi="Times New Roman" w:eastAsia="MS Mincho"/>
                <w:sz w:val="24"/>
                <w:szCs w:val="20"/>
                <w:lang w:eastAsia="en-GB"/>
              </w:rPr>
              <w:t xml:space="preserve"> </w:t>
            </w:r>
          </w:p>
          <w:p w:rsidRPr="00D43D39" w:rsidR="00DE5943" w:rsidP="00F5511E" w:rsidRDefault="00DE5943" w14:paraId="3A0E5119" w14:textId="77777777">
            <w:pPr>
              <w:autoSpaceDE w:val="0"/>
              <w:autoSpaceDN w:val="0"/>
              <w:adjustRightInd w:val="0"/>
              <w:rPr>
                <w:rFonts w:ascii="Times New Roman" w:hAnsi="Times New Roman" w:eastAsia="MS Mincho"/>
                <w:sz w:val="24"/>
                <w:szCs w:val="20"/>
                <w:lang w:eastAsia="en-GB"/>
              </w:rPr>
            </w:pPr>
          </w:p>
          <w:p w:rsidRPr="00D43D39" w:rsidR="00DE5943" w:rsidDel="00106D64" w:rsidP="00F5511E" w:rsidRDefault="00DE5943" w14:paraId="524A01B9" w14:textId="77777777">
            <w:pPr>
              <w:autoSpaceDE w:val="0"/>
              <w:autoSpaceDN w:val="0"/>
              <w:adjustRightInd w:val="0"/>
              <w:rPr>
                <w:rFonts w:ascii="Times New Roman" w:hAnsi="Times New Roman" w:eastAsia="MS Mincho"/>
                <w:sz w:val="20"/>
                <w:lang w:eastAsia="en-GB"/>
              </w:rPr>
            </w:pPr>
            <w:r w:rsidRPr="00D43D39">
              <w:rPr>
                <w:rFonts w:ascii="Times New Roman" w:hAnsi="Times New Roman" w:eastAsia="MS Mincho"/>
                <w:sz w:val="20"/>
                <w:szCs w:val="20"/>
                <w:lang w:eastAsia="en-GB"/>
              </w:rPr>
              <w:t>11. Other</w:t>
            </w:r>
          </w:p>
          <w:p w:rsidRPr="00D43D39" w:rsidR="00DE5943" w:rsidP="00F5511E" w:rsidRDefault="00DE5943" w14:paraId="7C3107A5" w14:textId="77777777">
            <w:pPr>
              <w:spacing w:before="120" w:after="120" w:line="276" w:lineRule="auto"/>
              <w:rPr>
                <w:rFonts w:ascii="Times New Roman" w:hAnsi="Times New Roman"/>
                <w:sz w:val="20"/>
                <w:szCs w:val="20"/>
              </w:rPr>
            </w:pPr>
          </w:p>
        </w:tc>
      </w:tr>
      <w:tr w:rsidRPr="00D43D39" w:rsidR="00DE5943" w:rsidTr="00F5511E" w14:paraId="409F1B7B" w14:textId="77777777">
        <w:trPr>
          <w:trHeight w:val="450"/>
        </w:trPr>
        <w:tc>
          <w:tcPr>
            <w:tcW w:w="1418" w:type="dxa"/>
            <w:shd w:val="clear" w:color="auto" w:fill="FFFFFF"/>
          </w:tcPr>
          <w:p w:rsidRPr="00D43D39" w:rsidR="00DE5943" w:rsidP="00F5511E" w:rsidRDefault="00DE5943" w14:paraId="7F122DED" w14:textId="77777777">
            <w:pPr>
              <w:spacing w:before="120" w:after="120" w:line="276" w:lineRule="auto"/>
              <w:rPr>
                <w:rFonts w:ascii="Times New Roman" w:hAnsi="Times New Roman"/>
                <w:sz w:val="20"/>
                <w:szCs w:val="20"/>
              </w:rPr>
            </w:pPr>
            <w:r w:rsidRPr="00D43D39">
              <w:rPr>
                <w:rFonts w:ascii="Times New Roman" w:hAnsi="Times New Roman"/>
                <w:sz w:val="20"/>
                <w:szCs w:val="20"/>
              </w:rPr>
              <w:t>0020</w:t>
            </w:r>
          </w:p>
        </w:tc>
        <w:tc>
          <w:tcPr>
            <w:tcW w:w="7649" w:type="dxa"/>
            <w:shd w:val="clear" w:color="auto" w:fill="FFFFFF"/>
          </w:tcPr>
          <w:p w:rsidRPr="00D43D39" w:rsidR="00DE5943" w:rsidP="00F5511E" w:rsidRDefault="00DE5943" w14:paraId="7778DBA6" w14:textId="77777777">
            <w:pPr>
              <w:spacing w:line="276" w:lineRule="auto"/>
              <w:jc w:val="both"/>
              <w:rPr>
                <w:rFonts w:ascii="Times New Roman" w:hAnsi="Times New Roman"/>
                <w:sz w:val="20"/>
              </w:rPr>
            </w:pPr>
            <w:r w:rsidRPr="00D43D39">
              <w:rPr>
                <w:rFonts w:ascii="Times New Roman" w:hAnsi="Times New Roman"/>
                <w:b/>
                <w:bCs/>
                <w:sz w:val="20"/>
                <w:szCs w:val="20"/>
              </w:rPr>
              <w:t>Unique service title as per bank taxonomy</w:t>
            </w:r>
            <w:r w:rsidRPr="00D43D39">
              <w:rPr>
                <w:rFonts w:ascii="Times New Roman" w:hAnsi="Times New Roman"/>
                <w:b/>
                <w:bCs/>
                <w:sz w:val="20"/>
              </w:rPr>
              <w:t xml:space="preserve"> </w:t>
            </w:r>
          </w:p>
          <w:p w:rsidRPr="00D43D39" w:rsidR="00DE5943" w:rsidP="00F5511E" w:rsidRDefault="00DE5943" w14:paraId="728F6790" w14:textId="77777777">
            <w:pPr>
              <w:spacing w:line="276" w:lineRule="auto"/>
              <w:jc w:val="both"/>
              <w:rPr>
                <w:rFonts w:ascii="Times New Roman" w:hAnsi="Times New Roman"/>
                <w:sz w:val="20"/>
              </w:rPr>
            </w:pPr>
            <w:r w:rsidRPr="00D43D39">
              <w:rPr>
                <w:rFonts w:ascii="Times New Roman" w:hAnsi="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p>
          <w:p w:rsidRPr="00D43D39" w:rsidR="00DE5943" w:rsidP="00F5511E" w:rsidRDefault="00DE5943" w14:paraId="0284EDB0" w14:textId="77777777">
            <w:pPr>
              <w:spacing w:before="120" w:after="120" w:line="276" w:lineRule="auto"/>
              <w:rPr>
                <w:rFonts w:ascii="Times New Roman" w:hAnsi="Times New Roman"/>
                <w:sz w:val="20"/>
                <w:szCs w:val="20"/>
              </w:rPr>
            </w:pPr>
          </w:p>
        </w:tc>
      </w:tr>
      <w:tr w:rsidRPr="00D43D39" w:rsidR="00DE5943" w:rsidTr="00F5511E" w14:paraId="39A1E867" w14:textId="77777777">
        <w:trPr>
          <w:trHeight w:val="450"/>
        </w:trPr>
        <w:tc>
          <w:tcPr>
            <w:tcW w:w="1418" w:type="dxa"/>
            <w:shd w:val="clear" w:color="auto" w:fill="FFFFFF"/>
          </w:tcPr>
          <w:p w:rsidRPr="00D43D39" w:rsidR="00DE5943" w:rsidP="00F5511E" w:rsidRDefault="00DE5943" w14:paraId="32EE0D69" w14:textId="77777777">
            <w:pPr>
              <w:spacing w:before="120" w:after="120" w:line="276" w:lineRule="auto"/>
              <w:rPr>
                <w:rFonts w:ascii="Times New Roman" w:hAnsi="Times New Roman"/>
                <w:sz w:val="20"/>
                <w:szCs w:val="20"/>
              </w:rPr>
            </w:pPr>
            <w:r w:rsidRPr="00D43D39">
              <w:rPr>
                <w:rFonts w:ascii="Times New Roman" w:hAnsi="Times New Roman"/>
                <w:sz w:val="20"/>
              </w:rPr>
              <w:t>0030-0040</w:t>
            </w:r>
          </w:p>
        </w:tc>
        <w:tc>
          <w:tcPr>
            <w:tcW w:w="7649" w:type="dxa"/>
            <w:shd w:val="clear" w:color="auto" w:fill="FFFFFF"/>
          </w:tcPr>
          <w:p w:rsidRPr="00D43D39" w:rsidR="00DE5943" w:rsidP="00F5511E" w:rsidRDefault="00DE5943" w14:paraId="718549D0" w14:textId="77777777">
            <w:pPr>
              <w:spacing w:line="276" w:lineRule="auto"/>
              <w:jc w:val="both"/>
              <w:rPr>
                <w:rFonts w:ascii="Times New Roman" w:hAnsi="Times New Roman"/>
                <w:sz w:val="20"/>
              </w:rPr>
            </w:pPr>
            <w:r w:rsidRPr="00D43D39">
              <w:rPr>
                <w:rFonts w:ascii="Times New Roman" w:hAnsi="Times New Roman"/>
                <w:b/>
                <w:bCs/>
                <w:sz w:val="20"/>
                <w:szCs w:val="20"/>
              </w:rPr>
              <w:t>Core business line</w:t>
            </w:r>
            <w:r w:rsidRPr="00D43D39">
              <w:rPr>
                <w:rFonts w:ascii="Times New Roman" w:hAnsi="Times New Roman"/>
                <w:b/>
                <w:bCs/>
                <w:sz w:val="20"/>
              </w:rPr>
              <w:t xml:space="preserve"> </w:t>
            </w:r>
          </w:p>
          <w:p w:rsidRPr="00D43D39" w:rsidR="00DE5943" w:rsidP="00F5511E" w:rsidRDefault="00DE5943" w14:paraId="216D9425" w14:textId="77777777">
            <w:pPr>
              <w:spacing w:line="276" w:lineRule="auto"/>
              <w:jc w:val="both"/>
              <w:rPr>
                <w:rFonts w:ascii="Times New Roman" w:hAnsi="Times New Roman"/>
                <w:sz w:val="20"/>
              </w:rPr>
            </w:pPr>
            <w:r w:rsidRPr="00D43D39">
              <w:rPr>
                <w:rFonts w:ascii="Times New Roman" w:hAnsi="Times New Roman"/>
                <w:sz w:val="20"/>
              </w:rPr>
              <w:t>Core business line pursuant to Article 2(1)(36) and Article 2(2) of Directive 2014/59/EU.</w:t>
            </w:r>
            <w:r w:rsidRPr="00D43D39">
              <w:rPr>
                <w:rFonts w:ascii="Times New Roman" w:hAnsi="Times New Roman"/>
              </w:rPr>
              <w:t xml:space="preserve"> </w:t>
            </w:r>
          </w:p>
          <w:p w:rsidRPr="00D43D39" w:rsidR="00DE5943" w:rsidP="00F5511E" w:rsidRDefault="00DE5943" w14:paraId="03D9125B" w14:textId="77777777">
            <w:pPr>
              <w:spacing w:line="276" w:lineRule="auto"/>
              <w:jc w:val="both"/>
              <w:rPr>
                <w:rFonts w:ascii="Times New Roman" w:hAnsi="Times New Roman"/>
                <w:sz w:val="20"/>
              </w:rPr>
            </w:pPr>
          </w:p>
        </w:tc>
      </w:tr>
      <w:tr w:rsidRPr="00D43D39" w:rsidR="00DE5943" w:rsidTr="00F5511E" w14:paraId="312CE104" w14:textId="77777777">
        <w:trPr>
          <w:trHeight w:val="450"/>
        </w:trPr>
        <w:tc>
          <w:tcPr>
            <w:tcW w:w="1418" w:type="dxa"/>
            <w:shd w:val="clear" w:color="auto" w:fill="FFFFFF"/>
          </w:tcPr>
          <w:p w:rsidRPr="00D43D39" w:rsidR="00DE5943" w:rsidP="00F5511E" w:rsidRDefault="00DE5943" w14:paraId="135D8BDD" w14:textId="77777777">
            <w:pPr>
              <w:spacing w:before="120" w:after="120" w:line="276" w:lineRule="auto"/>
              <w:rPr>
                <w:rFonts w:ascii="Times New Roman" w:hAnsi="Times New Roman"/>
                <w:sz w:val="20"/>
                <w:szCs w:val="20"/>
              </w:rPr>
            </w:pPr>
            <w:r w:rsidRPr="00D43D39">
              <w:rPr>
                <w:rFonts w:ascii="Times New Roman" w:hAnsi="Times New Roman"/>
                <w:sz w:val="20"/>
              </w:rPr>
              <w:t>0030</w:t>
            </w:r>
          </w:p>
        </w:tc>
        <w:tc>
          <w:tcPr>
            <w:tcW w:w="7649" w:type="dxa"/>
            <w:shd w:val="clear" w:color="auto" w:fill="FFFFFF"/>
          </w:tcPr>
          <w:p w:rsidRPr="00D43D39" w:rsidR="00DE5943" w:rsidP="00F5511E" w:rsidRDefault="00DE5943" w14:paraId="06CB6BF7" w14:textId="77777777">
            <w:pPr>
              <w:spacing w:line="276" w:lineRule="auto"/>
              <w:jc w:val="both"/>
              <w:rPr>
                <w:rFonts w:ascii="Times New Roman" w:hAnsi="Times New Roman"/>
                <w:b/>
                <w:bCs/>
                <w:sz w:val="20"/>
              </w:rPr>
            </w:pPr>
            <w:r w:rsidRPr="00D43D39">
              <w:rPr>
                <w:rFonts w:ascii="Times New Roman" w:hAnsi="Times New Roman"/>
                <w:b/>
                <w:bCs/>
                <w:sz w:val="20"/>
              </w:rPr>
              <w:t>Name</w:t>
            </w:r>
          </w:p>
          <w:p w:rsidRPr="00D43D39" w:rsidR="00DE5943" w:rsidP="00F5511E" w:rsidRDefault="00DE5943" w14:paraId="44F98B91" w14:textId="77777777">
            <w:pPr>
              <w:jc w:val="both"/>
              <w:rPr>
                <w:rFonts w:ascii="Times New Roman" w:hAnsi="Times New Roman"/>
                <w:sz w:val="20"/>
              </w:rPr>
            </w:pPr>
            <w:r w:rsidRPr="00D43D39">
              <w:rPr>
                <w:rFonts w:ascii="Times New Roman" w:hAnsi="Times New Roman"/>
                <w:sz w:val="20"/>
              </w:rPr>
              <w:t>It is one of the core business lines reported in template Z 07.03 0010.</w:t>
            </w:r>
          </w:p>
          <w:p w:rsidRPr="00D43D39" w:rsidR="00DE5943" w:rsidP="00F5511E" w:rsidRDefault="00DE5943" w14:paraId="346C134B" w14:textId="77777777">
            <w:pPr>
              <w:spacing w:line="276" w:lineRule="auto"/>
              <w:jc w:val="both"/>
              <w:rPr>
                <w:rFonts w:ascii="Times New Roman" w:hAnsi="Times New Roman"/>
                <w:sz w:val="20"/>
              </w:rPr>
            </w:pPr>
          </w:p>
        </w:tc>
      </w:tr>
      <w:tr w:rsidRPr="00D43D39" w:rsidR="00DE5943" w:rsidTr="00F5511E" w14:paraId="05A47C78" w14:textId="77777777">
        <w:trPr>
          <w:trHeight w:val="450"/>
        </w:trPr>
        <w:tc>
          <w:tcPr>
            <w:tcW w:w="1418" w:type="dxa"/>
            <w:shd w:val="clear" w:color="auto" w:fill="FFFFFF"/>
          </w:tcPr>
          <w:p w:rsidRPr="00D43D39" w:rsidR="00DE5943" w:rsidP="00F5511E" w:rsidRDefault="00DE5943" w14:paraId="21C115D8" w14:textId="77777777">
            <w:pPr>
              <w:spacing w:before="120" w:after="120" w:line="276" w:lineRule="auto"/>
              <w:rPr>
                <w:rFonts w:ascii="Times New Roman" w:hAnsi="Times New Roman"/>
                <w:sz w:val="20"/>
                <w:szCs w:val="20"/>
              </w:rPr>
            </w:pPr>
            <w:r w:rsidRPr="00D43D39">
              <w:rPr>
                <w:rFonts w:ascii="Times New Roman" w:hAnsi="Times New Roman"/>
                <w:sz w:val="20"/>
              </w:rPr>
              <w:t>0040</w:t>
            </w:r>
          </w:p>
        </w:tc>
        <w:tc>
          <w:tcPr>
            <w:tcW w:w="7649" w:type="dxa"/>
            <w:shd w:val="clear" w:color="auto" w:fill="FFFFFF"/>
          </w:tcPr>
          <w:p w:rsidRPr="00D43D39" w:rsidR="00DE5943" w:rsidP="00F5511E" w:rsidRDefault="00DE5943" w14:paraId="076FCC93" w14:textId="77777777">
            <w:pPr>
              <w:spacing w:line="276" w:lineRule="auto"/>
              <w:jc w:val="both"/>
              <w:rPr>
                <w:rFonts w:ascii="Times New Roman" w:hAnsi="Times New Roman"/>
                <w:b/>
                <w:bCs/>
                <w:sz w:val="20"/>
              </w:rPr>
            </w:pPr>
            <w:r w:rsidRPr="00D43D39">
              <w:rPr>
                <w:rFonts w:ascii="Times New Roman" w:hAnsi="Times New Roman"/>
                <w:b/>
                <w:bCs/>
                <w:sz w:val="20"/>
              </w:rPr>
              <w:t>ID</w:t>
            </w:r>
          </w:p>
          <w:p w:rsidRPr="00D43D39" w:rsidR="00DE5943" w:rsidP="00F5511E" w:rsidRDefault="00DE5943" w14:paraId="6707D35B" w14:textId="77777777">
            <w:pPr>
              <w:spacing w:line="276" w:lineRule="auto"/>
              <w:jc w:val="both"/>
              <w:rPr>
                <w:rFonts w:ascii="Times New Roman" w:hAnsi="Times New Roman"/>
                <w:sz w:val="20"/>
              </w:rPr>
            </w:pPr>
            <w:r w:rsidRPr="00D43D39">
              <w:rPr>
                <w:rFonts w:ascii="Times New Roman" w:hAnsi="Times New Roman"/>
                <w:sz w:val="20"/>
              </w:rPr>
              <w:t xml:space="preserve">ID of the core business lines whose continuity is necessary for the effective implementation execution of the resolution strategy and any consequent restructuring. It is one of the ID reported in template Z 07.03 0020 </w:t>
            </w:r>
          </w:p>
          <w:p w:rsidRPr="00D43D39" w:rsidR="00DE5943" w:rsidP="00F5511E" w:rsidRDefault="00DE5943" w14:paraId="32442D7D" w14:textId="77777777">
            <w:pPr>
              <w:spacing w:line="276" w:lineRule="auto"/>
              <w:jc w:val="both"/>
              <w:rPr>
                <w:rFonts w:ascii="Times New Roman" w:hAnsi="Times New Roman"/>
                <w:sz w:val="20"/>
              </w:rPr>
            </w:pPr>
          </w:p>
          <w:p w:rsidRPr="00D43D39" w:rsidR="00DE5943" w:rsidP="00F5511E" w:rsidRDefault="00DE5943" w14:paraId="7C91EFAB" w14:textId="77777777">
            <w:pPr>
              <w:spacing w:line="276" w:lineRule="auto"/>
              <w:jc w:val="both"/>
              <w:rPr>
                <w:rFonts w:ascii="Times New Roman" w:hAnsi="Times New Roman"/>
                <w:sz w:val="20"/>
              </w:rPr>
            </w:pPr>
          </w:p>
        </w:tc>
      </w:tr>
      <w:tr w:rsidRPr="00D43D39" w:rsidR="00DE5943" w:rsidTr="00F5511E" w14:paraId="6DCB6F79" w14:textId="77777777">
        <w:trPr>
          <w:trHeight w:val="450"/>
        </w:trPr>
        <w:tc>
          <w:tcPr>
            <w:tcW w:w="1418" w:type="dxa"/>
            <w:shd w:val="clear" w:color="auto" w:fill="FFFFFF"/>
          </w:tcPr>
          <w:p w:rsidRPr="00D43D39" w:rsidR="00DE5943" w:rsidP="00F5511E" w:rsidRDefault="00DE5943" w14:paraId="1247B920" w14:textId="77777777">
            <w:pPr>
              <w:spacing w:line="276" w:lineRule="auto"/>
              <w:jc w:val="both"/>
              <w:rPr>
                <w:rFonts w:ascii="Times New Roman" w:hAnsi="Times New Roman"/>
                <w:sz w:val="20"/>
              </w:rPr>
            </w:pPr>
            <w:r w:rsidRPr="00D43D39">
              <w:rPr>
                <w:rFonts w:ascii="Times New Roman" w:hAnsi="Times New Roman"/>
                <w:sz w:val="20"/>
              </w:rPr>
              <w:t>0050</w:t>
            </w:r>
          </w:p>
        </w:tc>
        <w:tc>
          <w:tcPr>
            <w:tcW w:w="7649" w:type="dxa"/>
            <w:shd w:val="clear" w:color="auto" w:fill="FFFFFF"/>
          </w:tcPr>
          <w:p w:rsidRPr="00D43D39" w:rsidR="00DE5943" w:rsidP="00F5511E" w:rsidRDefault="00DE5943" w14:paraId="6495B692" w14:textId="77777777">
            <w:pPr>
              <w:pStyle w:val="TableParagraph"/>
              <w:spacing w:before="108"/>
              <w:ind w:left="85"/>
              <w:rPr>
                <w:rFonts w:ascii="Times New Roman" w:hAnsi="Times New Roman"/>
                <w:sz w:val="20"/>
                <w:lang w:val="en-GB"/>
              </w:rPr>
            </w:pPr>
            <w:r w:rsidRPr="00D43D39">
              <w:rPr>
                <w:rFonts w:ascii="Times New Roman" w:hAnsi="Times New Roman"/>
                <w:b/>
                <w:bCs/>
                <w:sz w:val="20"/>
                <w:szCs w:val="20"/>
              </w:rPr>
              <w:t>Relevance for the Core Business Line</w:t>
            </w:r>
            <w:r w:rsidRPr="00D43D39">
              <w:rPr>
                <w:rFonts w:ascii="Times New Roman" w:hAnsi="Times New Roman"/>
                <w:sz w:val="20"/>
                <w:lang w:val="en-GB"/>
              </w:rPr>
              <w:t xml:space="preserve"> </w:t>
            </w:r>
          </w:p>
          <w:p w:rsidRPr="00D43D39" w:rsidR="00DE5943" w:rsidP="00F5511E" w:rsidRDefault="00DE5943" w14:paraId="5E89F6D9" w14:textId="1DB56C6C">
            <w:pPr>
              <w:pStyle w:val="TableParagraph"/>
              <w:spacing w:before="108"/>
              <w:ind w:left="85"/>
              <w:rPr>
                <w:rFonts w:ascii="Times New Roman" w:hAnsi="Times New Roman"/>
                <w:sz w:val="20"/>
                <w:lang w:val="en-GB"/>
              </w:rPr>
            </w:pPr>
            <w:r w:rsidRPr="00D43D39">
              <w:rPr>
                <w:rFonts w:ascii="Times New Roman" w:hAnsi="Times New Roman"/>
                <w:sz w:val="20"/>
                <w:lang w:val="en-GB"/>
              </w:rPr>
              <w:t xml:space="preserve">The relevance of the service to the core business line. </w:t>
            </w:r>
            <w:r w:rsidR="00486437">
              <w:rPr>
                <w:rFonts w:ascii="Times New Roman" w:hAnsi="Times New Roman"/>
                <w:sz w:val="20"/>
                <w:lang w:val="en-GB"/>
              </w:rPr>
              <w:t>S</w:t>
            </w:r>
            <w:r w:rsidRPr="00D43D39">
              <w:rPr>
                <w:rFonts w:ascii="Times New Roman" w:hAnsi="Times New Roman"/>
                <w:sz w:val="20"/>
                <w:lang w:val="en-GB"/>
              </w:rPr>
              <w:t>elect one of the four available options:</w:t>
            </w:r>
          </w:p>
          <w:p w:rsidRPr="00D43D39" w:rsidR="00DE5943" w:rsidP="00F5511E" w:rsidRDefault="00DE5943" w14:paraId="6DCFCDAD" w14:textId="77777777">
            <w:pPr>
              <w:pStyle w:val="TableParagraph"/>
              <w:ind w:left="172"/>
              <w:rPr>
                <w:rFonts w:ascii="Times New Roman" w:hAnsi="Times New Roman"/>
                <w:sz w:val="20"/>
                <w:lang w:val="en-GB"/>
              </w:rPr>
            </w:pPr>
            <w:r w:rsidRPr="00D43D39">
              <w:rPr>
                <w:rFonts w:ascii="Times New Roman" w:hAnsi="Times New Roman"/>
                <w:sz w:val="20"/>
                <w:lang w:val="en-GB"/>
              </w:rPr>
              <w:t>‘High’</w:t>
            </w:r>
          </w:p>
          <w:p w:rsidRPr="00D43D39" w:rsidR="00DE5943" w:rsidP="00F5511E" w:rsidRDefault="00DE5943" w14:paraId="581266CC" w14:textId="77777777">
            <w:pPr>
              <w:pStyle w:val="TableParagraph"/>
              <w:ind w:left="172"/>
              <w:rPr>
                <w:rFonts w:ascii="Times New Roman" w:hAnsi="Times New Roman"/>
                <w:sz w:val="20"/>
                <w:lang w:val="en-GB"/>
              </w:rPr>
            </w:pPr>
            <w:r w:rsidRPr="00D43D39">
              <w:rPr>
                <w:rFonts w:ascii="Times New Roman" w:hAnsi="Times New Roman"/>
                <w:sz w:val="20"/>
                <w:lang w:val="en-GB"/>
              </w:rPr>
              <w:t>‘Medium High’</w:t>
            </w:r>
          </w:p>
          <w:p w:rsidRPr="00D43D39" w:rsidR="00DE5943" w:rsidP="00F5511E" w:rsidRDefault="00DE5943" w14:paraId="54FE912D" w14:textId="77777777">
            <w:pPr>
              <w:pStyle w:val="TableParagraph"/>
              <w:ind w:left="172"/>
              <w:rPr>
                <w:rFonts w:ascii="Times New Roman" w:hAnsi="Times New Roman"/>
                <w:sz w:val="20"/>
                <w:lang w:val="en-GB"/>
              </w:rPr>
            </w:pPr>
            <w:r w:rsidRPr="00D43D39">
              <w:rPr>
                <w:rFonts w:ascii="Times New Roman" w:hAnsi="Times New Roman"/>
                <w:sz w:val="20"/>
                <w:lang w:val="en-GB"/>
              </w:rPr>
              <w:t>‘Medium Low’</w:t>
            </w:r>
          </w:p>
          <w:p w:rsidRPr="00D43D39" w:rsidR="00DE5943" w:rsidP="00F5511E" w:rsidRDefault="00DE5943" w14:paraId="451448DC" w14:textId="77777777">
            <w:pPr>
              <w:pStyle w:val="TableParagraph"/>
              <w:ind w:left="172"/>
              <w:rPr>
                <w:rFonts w:ascii="Times New Roman" w:hAnsi="Times New Roman"/>
                <w:sz w:val="20"/>
                <w:lang w:val="en-GB"/>
              </w:rPr>
            </w:pPr>
            <w:r w:rsidRPr="00D43D39">
              <w:rPr>
                <w:rFonts w:ascii="Times New Roman" w:hAnsi="Times New Roman"/>
                <w:sz w:val="20"/>
                <w:lang w:val="en-GB"/>
              </w:rPr>
              <w:t>‘Low’</w:t>
            </w:r>
          </w:p>
          <w:p w:rsidRPr="00D43D39" w:rsidR="00DE5943" w:rsidP="00F5511E" w:rsidRDefault="00DE5943" w14:paraId="363BEDC6" w14:textId="77777777">
            <w:pPr>
              <w:spacing w:line="276" w:lineRule="auto"/>
              <w:jc w:val="both"/>
              <w:rPr>
                <w:rFonts w:ascii="Times New Roman" w:hAnsi="Times New Roman"/>
                <w:sz w:val="20"/>
              </w:rPr>
            </w:pPr>
            <w:r w:rsidRPr="00D43D39">
              <w:rPr>
                <w:rFonts w:ascii="Times New Roman" w:hAnsi="Times New Roman"/>
                <w:sz w:val="20"/>
              </w:rPr>
              <w:t>Considering High (H) if the core business line is seriously hindered or completely prevented by a disruption of the service and Low (L) if there are only minor or inexistent impacts on the core business line.</w:t>
            </w:r>
          </w:p>
          <w:p w:rsidRPr="00D43D39" w:rsidR="00DE5943" w:rsidP="00F5511E" w:rsidRDefault="00DE5943" w14:paraId="341D9434" w14:textId="77777777">
            <w:pPr>
              <w:spacing w:line="276" w:lineRule="auto"/>
              <w:jc w:val="both"/>
              <w:rPr>
                <w:rFonts w:ascii="Times New Roman" w:hAnsi="Times New Roman"/>
                <w:sz w:val="20"/>
              </w:rPr>
            </w:pPr>
          </w:p>
        </w:tc>
      </w:tr>
    </w:tbl>
    <w:p w:rsidRPr="005F5507" w:rsidR="00DE5943" w:rsidP="00DE5943" w:rsidRDefault="00DE5943" w14:paraId="308053F8" w14:textId="77777777">
      <w:pPr>
        <w:rPr>
          <w:rFonts w:ascii="Times New Roman" w:hAnsi="Times New Roman" w:cs="Times New Roman"/>
        </w:rPr>
      </w:pPr>
    </w:p>
    <w:p w:rsidRPr="005F5507" w:rsidR="00DE5943" w:rsidP="005F5507" w:rsidRDefault="00DE5943" w14:paraId="4F046BBB" w14:textId="77777777">
      <w:pPr>
        <w:pStyle w:val="Instructionsberschrift2"/>
        <w:rPr>
          <w:rFonts w:ascii="Times New Roman" w:hAnsi="Times New Roman" w:eastAsia="Calibri" w:cs="Times New Roman"/>
          <w:szCs w:val="20"/>
        </w:rPr>
      </w:pPr>
    </w:p>
    <w:p w:rsidR="00DE5943" w:rsidP="00DE5943" w:rsidRDefault="00DE5943" w14:paraId="3249A630" w14:textId="5D719A44">
      <w:pPr>
        <w:pStyle w:val="Instructionsberschrift2"/>
        <w:numPr>
          <w:ilvl w:val="1"/>
          <w:numId w:val="49"/>
        </w:numPr>
        <w:ind w:left="357" w:hanging="357"/>
        <w:rPr>
          <w:rFonts w:ascii="Times New Roman" w:hAnsi="Times New Roman" w:eastAsia="Calibri" w:cs="Times New Roman"/>
          <w:szCs w:val="20"/>
        </w:rPr>
      </w:pPr>
      <w:bookmarkStart w:name="_Toc172732248" w:id="124"/>
      <w:r w:rsidRPr="00D43D39">
        <w:rPr>
          <w:rFonts w:ascii="Times New Roman" w:hAnsi="Times New Roman" w:eastAsia="Calibri" w:cs="Times New Roman"/>
          <w:szCs w:val="20"/>
        </w:rPr>
        <w:t>FMI Services</w:t>
      </w:r>
      <w:bookmarkEnd w:id="124"/>
    </w:p>
    <w:p w:rsidRPr="001D5A33" w:rsidR="000E0526" w:rsidP="005F5507" w:rsidRDefault="000E0526" w14:paraId="5115575C" w14:textId="6E702F28">
      <w:pPr>
        <w:pStyle w:val="Numberedtitlelevel3"/>
        <w:rPr>
          <w:lang w:val="en-GB" w:eastAsia="de-DE"/>
        </w:rPr>
      </w:pPr>
      <w:r w:rsidRPr="001D5A33">
        <w:rPr>
          <w:rFonts w:ascii="Times New Roman" w:hAnsi="Times New Roman" w:cs="Times New Roman"/>
          <w:b w:val="0"/>
          <w:color w:val="000000" w:themeColor="text1"/>
          <w:sz w:val="20"/>
          <w:szCs w:val="20"/>
          <w:u w:val="single"/>
          <w:lang w:val="en-GB"/>
        </w:rPr>
        <w:t>General remarks</w:t>
      </w:r>
    </w:p>
    <w:p w:rsidRPr="001D5A33" w:rsidR="000E0526" w:rsidP="000E0526" w:rsidRDefault="000E0526" w14:paraId="3AC53AD1" w14:textId="0D23B67B">
      <w:pPr>
        <w:pStyle w:val="InstructionsText2"/>
        <w:numPr>
          <w:ilvl w:val="2"/>
          <w:numId w:val="209"/>
        </w:numPr>
        <w:spacing w:before="0"/>
        <w:ind w:left="1276"/>
        <w:rPr>
          <w:rFonts w:ascii="Times New Roman" w:hAnsi="Times New Roman" w:cs="Times New Roman"/>
          <w:sz w:val="20"/>
          <w:szCs w:val="20"/>
          <w:lang w:val="en-GB"/>
        </w:rPr>
      </w:pPr>
      <w:r w:rsidRPr="001D5A33">
        <w:rPr>
          <w:rFonts w:ascii="Times New Roman" w:hAnsi="Times New Roman" w:cs="Times New Roman"/>
          <w:sz w:val="20"/>
          <w:szCs w:val="20"/>
          <w:lang w:val="en-GB"/>
        </w:rPr>
        <w:t>Report all direct and indirect access to FMIs and systems referred to in column 0040 below</w:t>
      </w:r>
      <w:r w:rsidR="006F1486">
        <w:rPr>
          <w:rFonts w:ascii="Times New Roman" w:hAnsi="Times New Roman" w:cs="Times New Roman"/>
          <w:sz w:val="20"/>
          <w:szCs w:val="20"/>
          <w:lang w:val="en-GB"/>
        </w:rPr>
        <w:t>.</w:t>
      </w:r>
      <w:r w:rsidRPr="001D5A33" w:rsidDel="0063069D">
        <w:rPr>
          <w:rFonts w:ascii="Times New Roman" w:hAnsi="Times New Roman" w:cs="Times New Roman"/>
          <w:sz w:val="20"/>
          <w:szCs w:val="20"/>
          <w:lang w:val="en-GB"/>
        </w:rPr>
        <w:t xml:space="preserve"> </w:t>
      </w:r>
      <w:r w:rsidRPr="001D5A33">
        <w:rPr>
          <w:rFonts w:ascii="Times New Roman" w:hAnsi="Times New Roman" w:cs="Times New Roman"/>
          <w:sz w:val="20"/>
          <w:szCs w:val="20"/>
          <w:lang w:val="en-GB"/>
        </w:rPr>
        <w:t>This template shall be reported once for the entire institution or group.</w:t>
      </w:r>
    </w:p>
    <w:p w:rsidRPr="001D5A33" w:rsidR="000E0526" w:rsidP="000E0526" w:rsidRDefault="000E0526" w14:paraId="3B6E27F6" w14:textId="2E1C52E5">
      <w:pPr>
        <w:pStyle w:val="InstructionsText2"/>
        <w:numPr>
          <w:ilvl w:val="2"/>
          <w:numId w:val="209"/>
        </w:numPr>
        <w:spacing w:before="0"/>
        <w:ind w:left="1276"/>
        <w:rPr>
          <w:rFonts w:ascii="Times New Roman" w:hAnsi="Times New Roman" w:cs="Times New Roman"/>
          <w:sz w:val="20"/>
          <w:szCs w:val="20"/>
          <w:lang w:val="en-GB"/>
        </w:rPr>
      </w:pPr>
      <w:r w:rsidRPr="001D5A33">
        <w:rPr>
          <w:rFonts w:ascii="Times New Roman" w:hAnsi="Times New Roman" w:cs="Times New Roman"/>
          <w:sz w:val="20"/>
          <w:szCs w:val="20"/>
          <w:lang w:val="en-GB"/>
        </w:rPr>
        <w:t>One template to be reported for the institution or group. Each relevant legal entity which accesses an FMI, either directly or indirectly</w:t>
      </w:r>
      <w:r w:rsidR="006F1486">
        <w:rPr>
          <w:rFonts w:ascii="Times New Roman" w:hAnsi="Times New Roman" w:cs="Times New Roman"/>
          <w:sz w:val="20"/>
          <w:szCs w:val="20"/>
          <w:lang w:val="en-GB"/>
        </w:rPr>
        <w:t>,</w:t>
      </w:r>
      <w:r w:rsidRPr="001D5A33">
        <w:rPr>
          <w:rFonts w:ascii="Times New Roman" w:hAnsi="Times New Roman" w:cs="Times New Roman"/>
          <w:sz w:val="20"/>
          <w:szCs w:val="20"/>
          <w:lang w:val="en-GB"/>
        </w:rPr>
        <w:t xml:space="preserve"> shall be reported distinctively as User. </w:t>
      </w:r>
      <w:r w:rsidR="002526C2">
        <w:rPr>
          <w:rFonts w:ascii="Times New Roman" w:hAnsi="Times New Roman" w:cs="Times New Roman"/>
          <w:sz w:val="20"/>
          <w:szCs w:val="20"/>
          <w:lang w:val="en-GB"/>
        </w:rPr>
        <w:t>Report b</w:t>
      </w:r>
      <w:r w:rsidRPr="001D5A33">
        <w:rPr>
          <w:rFonts w:ascii="Times New Roman" w:hAnsi="Times New Roman" w:cs="Times New Roman"/>
          <w:sz w:val="20"/>
          <w:szCs w:val="20"/>
          <w:lang w:val="en-GB"/>
        </w:rPr>
        <w:t>oth intragroup and third-party relationship.</w:t>
      </w:r>
    </w:p>
    <w:p w:rsidRPr="001D5A33" w:rsidR="000E0526" w:rsidP="000E0526" w:rsidRDefault="000E0526" w14:paraId="0BFFDF83" w14:textId="14447372">
      <w:pPr>
        <w:pStyle w:val="ListParagraph"/>
        <w:numPr>
          <w:ilvl w:val="2"/>
          <w:numId w:val="209"/>
        </w:numPr>
        <w:ind w:left="1276"/>
        <w:rPr>
          <w:rFonts w:ascii="Times New Roman" w:hAnsi="Times New Roman" w:eastAsia="Times New Roman"/>
          <w:sz w:val="20"/>
          <w:szCs w:val="20"/>
          <w:lang w:eastAsia="de-DE"/>
        </w:rPr>
      </w:pPr>
      <w:r w:rsidRPr="001D5A33">
        <w:rPr>
          <w:rFonts w:ascii="Times New Roman" w:hAnsi="Times New Roman" w:eastAsia="Times New Roman"/>
          <w:sz w:val="20"/>
          <w:szCs w:val="20"/>
          <w:lang w:eastAsia="de-DE"/>
        </w:rPr>
        <w:t xml:space="preserve">The combination of values reported in columns 0020, 0040, </w:t>
      </w:r>
      <w:r w:rsidR="002142FB">
        <w:rPr>
          <w:rFonts w:ascii="Times New Roman" w:hAnsi="Times New Roman" w:eastAsia="Times New Roman"/>
          <w:sz w:val="20"/>
          <w:szCs w:val="20"/>
          <w:lang w:eastAsia="de-DE"/>
        </w:rPr>
        <w:t xml:space="preserve">0050, 0060,  and </w:t>
      </w:r>
      <w:r w:rsidRPr="001D5A33">
        <w:rPr>
          <w:rFonts w:ascii="Times New Roman" w:hAnsi="Times New Roman" w:eastAsia="Times New Roman"/>
          <w:sz w:val="20"/>
          <w:szCs w:val="20"/>
          <w:lang w:eastAsia="de-DE"/>
        </w:rPr>
        <w:t>0100 of this template forms a primary key which has to be unique for each row of the template and is reported as first column of each template.</w:t>
      </w:r>
    </w:p>
    <w:p w:rsidRPr="001D5A33" w:rsidR="000E0526" w:rsidP="000E0526" w:rsidRDefault="000E0526" w14:paraId="722E6194" w14:textId="77777777">
      <w:pPr>
        <w:pStyle w:val="ListParagraph"/>
        <w:ind w:left="1276"/>
        <w:rPr>
          <w:rFonts w:ascii="Times New Roman" w:hAnsi="Times New Roman" w:eastAsia="Times New Roman"/>
          <w:sz w:val="20"/>
          <w:szCs w:val="20"/>
          <w:lang w:eastAsia="de-DE"/>
        </w:rPr>
      </w:pPr>
    </w:p>
    <w:p w:rsidRPr="001D5A33" w:rsidR="000E0526" w:rsidP="000E0526" w:rsidRDefault="000E0526" w14:paraId="7862656C" w14:textId="7ECC80C6">
      <w:pPr>
        <w:pStyle w:val="InstructionsText2"/>
        <w:numPr>
          <w:ilvl w:val="2"/>
          <w:numId w:val="209"/>
        </w:numPr>
        <w:spacing w:before="0"/>
        <w:ind w:left="1276"/>
        <w:rPr>
          <w:rFonts w:ascii="Times New Roman" w:hAnsi="Times New Roman" w:cs="Times New Roman"/>
          <w:sz w:val="20"/>
          <w:szCs w:val="20"/>
          <w:lang w:val="en-GB"/>
        </w:rPr>
      </w:pPr>
      <w:r w:rsidRPr="001D5A33">
        <w:rPr>
          <w:rFonts w:ascii="Times New Roman" w:hAnsi="Times New Roman" w:cs="Times New Roman"/>
          <w:sz w:val="20"/>
          <w:szCs w:val="20"/>
          <w:lang w:val="en-GB"/>
        </w:rPr>
        <w:t xml:space="preserve">If more than one item needs to be reported in free form fields, </w:t>
      </w:r>
      <w:r w:rsidR="002526C2">
        <w:rPr>
          <w:rFonts w:ascii="Times New Roman" w:hAnsi="Times New Roman" w:cs="Times New Roman"/>
          <w:sz w:val="20"/>
          <w:szCs w:val="20"/>
          <w:lang w:val="en-GB"/>
        </w:rPr>
        <w:t xml:space="preserve">separate </w:t>
      </w:r>
      <w:r w:rsidRPr="001D5A33">
        <w:rPr>
          <w:rFonts w:ascii="Times New Roman" w:hAnsi="Times New Roman" w:cs="Times New Roman"/>
          <w:sz w:val="20"/>
          <w:szCs w:val="20"/>
          <w:lang w:val="en-GB"/>
        </w:rPr>
        <w:t>each item by a semi-colon (;)</w:t>
      </w:r>
      <w:r w:rsidR="006F1486">
        <w:rPr>
          <w:rFonts w:ascii="Times New Roman" w:hAnsi="Times New Roman" w:cs="Times New Roman"/>
          <w:sz w:val="20"/>
          <w:szCs w:val="20"/>
          <w:lang w:val="en-GB"/>
        </w:rPr>
        <w:t>.</w:t>
      </w:r>
    </w:p>
    <w:p w:rsidR="000E0526" w:rsidP="005F5507" w:rsidRDefault="000E0526" w14:paraId="6A380575" w14:textId="77777777">
      <w:pPr>
        <w:pStyle w:val="Instructionsberschrift2"/>
        <w:ind w:left="357"/>
        <w:rPr>
          <w:rFonts w:ascii="Times New Roman" w:hAnsi="Times New Roman" w:eastAsia="Calibri" w:cs="Times New Roman"/>
          <w:szCs w:val="20"/>
        </w:rPr>
      </w:pPr>
    </w:p>
    <w:p w:rsidRPr="00AA44ED" w:rsidR="00DE5943" w:rsidP="005F5507" w:rsidRDefault="000E0526" w14:paraId="26CAE932" w14:textId="720EAA3A">
      <w:pPr>
        <w:pStyle w:val="Instructionsberschrift2"/>
        <w:numPr>
          <w:ilvl w:val="1"/>
          <w:numId w:val="49"/>
        </w:numPr>
        <w:ind w:left="357" w:hanging="357"/>
        <w:rPr>
          <w:rFonts w:ascii="Times New Roman" w:hAnsi="Times New Roman"/>
          <w:szCs w:val="20"/>
        </w:rPr>
      </w:pPr>
      <w:bookmarkStart w:name="_Toc172732249" w:id="125"/>
      <w:r w:rsidRPr="00AA44ED">
        <w:rPr>
          <w:rFonts w:ascii="Times New Roman" w:hAnsi="Times New Roman" w:eastAsia="Calibri" w:cs="Times New Roman"/>
          <w:szCs w:val="20"/>
        </w:rPr>
        <w:t>Z 09.01 - FMI Services - Providers and Users (FMI 1)</w:t>
      </w:r>
      <w:bookmarkEnd w:id="125"/>
    </w:p>
    <w:p w:rsidRPr="005D71E0" w:rsidR="00DE5943" w:rsidP="00DE5943" w:rsidRDefault="00DE5943" w14:paraId="18B2B5A8" w14:textId="550633B8">
      <w:pPr>
        <w:rPr>
          <w:rFonts w:ascii="Times New Roman" w:hAnsi="Times New Roman" w:cs="Times New Roman"/>
          <w:sz w:val="20"/>
          <w:szCs w:val="20"/>
          <w:u w:val="single"/>
        </w:rPr>
      </w:pPr>
    </w:p>
    <w:p w:rsidRPr="00D43D39" w:rsidR="00DE5943" w:rsidP="00DE5943" w:rsidRDefault="00DE5943" w14:paraId="082B6134" w14:textId="77777777">
      <w:pPr>
        <w:pStyle w:val="Numberedtitlelevel3"/>
        <w:rPr>
          <w:rFonts w:ascii="Times New Roman" w:hAnsi="Times New Roman" w:cs="Times New Roman"/>
          <w:color w:val="000000" w:themeColor="text1"/>
          <w:szCs w:val="20"/>
        </w:rPr>
      </w:pPr>
      <w:r w:rsidRPr="00D43D39">
        <w:rPr>
          <w:rFonts w:ascii="Times New Roman" w:hAnsi="Times New Roman" w:cs="Times New Roman"/>
          <w:color w:val="000000" w:themeColor="text1"/>
          <w:sz w:val="20"/>
          <w:szCs w:val="20"/>
          <w:u w:val="single"/>
          <w:lang w:val="en-GB"/>
        </w:rPr>
        <w:t>Instructions concerning specific positions</w:t>
      </w:r>
    </w:p>
    <w:tbl>
      <w:tblPr>
        <w:tblW w:w="9015" w:type="dxa"/>
        <w:tblInd w:w="135" w:type="dxa"/>
        <w:tblLayout w:type="fixed"/>
        <w:tblLook w:val="04A0" w:firstRow="1" w:lastRow="0" w:firstColumn="1" w:lastColumn="0" w:noHBand="0" w:noVBand="1"/>
      </w:tblPr>
      <w:tblGrid>
        <w:gridCol w:w="1183"/>
        <w:gridCol w:w="7832"/>
      </w:tblGrid>
      <w:tr w:rsidRPr="00D43D39" w:rsidR="00DE5943" w:rsidTr="005F5507" w14:paraId="4BF525C3" w14:textId="77777777">
        <w:trPr>
          <w:tblHeader/>
        </w:trPr>
        <w:tc>
          <w:tcPr>
            <w:tcW w:w="1183" w:type="dxa"/>
            <w:tcBorders>
              <w:top w:val="single" w:color="1A171C" w:sz="8" w:space="0"/>
              <w:left w:val="nil"/>
              <w:bottom w:val="single" w:color="auto" w:sz="4" w:space="0"/>
              <w:right w:val="single" w:color="1A171C" w:sz="8" w:space="0"/>
            </w:tcBorders>
            <w:shd w:val="clear" w:color="auto" w:fill="D9D9D9" w:themeFill="background1" w:themeFillShade="D9"/>
          </w:tcPr>
          <w:p w:rsidRPr="00D43D39" w:rsidR="00DE5943" w:rsidP="00353203" w:rsidRDefault="00DE5943" w14:paraId="033CC38A"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Columns </w:t>
            </w:r>
          </w:p>
        </w:tc>
        <w:tc>
          <w:tcPr>
            <w:tcW w:w="7832" w:type="dxa"/>
            <w:tcBorders>
              <w:top w:val="single" w:color="1A171C" w:sz="8" w:space="0"/>
              <w:left w:val="single" w:color="1A171C" w:sz="8" w:space="0"/>
              <w:bottom w:val="single" w:color="auto" w:sz="8" w:space="0"/>
              <w:right w:val="nil"/>
            </w:tcBorders>
            <w:shd w:val="clear" w:color="auto" w:fill="D9D9D9" w:themeFill="background1" w:themeFillShade="D9"/>
          </w:tcPr>
          <w:p w:rsidRPr="00D43D39" w:rsidR="00DE5943" w:rsidP="00353203" w:rsidRDefault="00DE5943" w14:paraId="4D2628B9"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Instructions </w:t>
            </w:r>
          </w:p>
        </w:tc>
      </w:tr>
      <w:tr w:rsidRPr="00D43D39" w:rsidR="00DE5943" w:rsidTr="00353203" w14:paraId="015234C3" w14:textId="77777777">
        <w:tc>
          <w:tcPr>
            <w:tcW w:w="1183" w:type="dxa"/>
            <w:tcBorders>
              <w:top w:val="single" w:color="auto" w:sz="4" w:space="0"/>
              <w:bottom w:val="single" w:color="auto" w:sz="4" w:space="0"/>
              <w:right w:val="single" w:color="auto" w:sz="4" w:space="0"/>
            </w:tcBorders>
            <w:vAlign w:val="center"/>
          </w:tcPr>
          <w:p w:rsidRPr="005F5507" w:rsidR="00DE5943" w:rsidP="00353203" w:rsidRDefault="00DE5943" w14:paraId="16B6918B" w14:textId="77777777">
            <w:pPr>
              <w:rPr>
                <w:rFonts w:ascii="Times New Roman" w:hAnsi="Times New Roman" w:cs="Times New Roman"/>
              </w:rPr>
            </w:pPr>
            <w:r w:rsidRPr="00D43D39">
              <w:rPr>
                <w:rFonts w:ascii="Times New Roman" w:hAnsi="Times New Roman" w:eastAsia="Times New Roman" w:cs="Times New Roman"/>
                <w:sz w:val="20"/>
                <w:szCs w:val="20"/>
              </w:rPr>
              <w:t>0010</w:t>
            </w:r>
          </w:p>
        </w:tc>
        <w:tc>
          <w:tcPr>
            <w:tcW w:w="7832" w:type="dxa"/>
            <w:tcBorders>
              <w:top w:val="single" w:color="auto" w:sz="8" w:space="0"/>
              <w:left w:val="single" w:color="auto" w:sz="4" w:space="0"/>
              <w:bottom w:val="single" w:color="auto" w:sz="8" w:space="0"/>
            </w:tcBorders>
            <w:vAlign w:val="bottom"/>
          </w:tcPr>
          <w:p w:rsidRPr="00D43D39" w:rsidR="00DE5943" w:rsidP="00353203" w:rsidRDefault="00DE5943" w14:paraId="74FA43F4" w14:textId="77777777">
            <w:pPr>
              <w:pStyle w:val="TableParagraph"/>
              <w:spacing w:before="108"/>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ID representing combination of user, FMI, system type and intermediary</w:t>
            </w:r>
          </w:p>
          <w:p w:rsidRPr="00D43D39" w:rsidR="00DE5943" w:rsidP="00353203" w:rsidRDefault="00486437" w14:paraId="400DEC44" w14:textId="234025A5">
            <w:pPr>
              <w:rPr>
                <w:rFonts w:ascii="Times New Roman" w:hAnsi="Times New Roman" w:eastAsia="Times New Roman" w:cs="Times New Roman"/>
                <w:sz w:val="20"/>
                <w:szCs w:val="20"/>
              </w:rPr>
            </w:pPr>
            <w:r>
              <w:rPr>
                <w:rFonts w:ascii="Times New Roman" w:hAnsi="Times New Roman" w:eastAsia="Times New Roman" w:cs="Times New Roman"/>
                <w:sz w:val="20"/>
                <w:szCs w:val="20"/>
              </w:rPr>
              <w:t>U</w:t>
            </w:r>
            <w:r w:rsidRPr="00D43D39" w:rsidR="00DE5943">
              <w:rPr>
                <w:rFonts w:ascii="Times New Roman" w:hAnsi="Times New Roman" w:eastAsia="Times New Roman" w:cs="Times New Roman"/>
                <w:sz w:val="20"/>
                <w:szCs w:val="20"/>
              </w:rPr>
              <w:t>se a single identifier per row, which correspond</w:t>
            </w:r>
            <w:r w:rsidR="002526C2">
              <w:rPr>
                <w:rFonts w:ascii="Times New Roman" w:hAnsi="Times New Roman" w:eastAsia="Times New Roman" w:cs="Times New Roman"/>
                <w:sz w:val="20"/>
                <w:szCs w:val="20"/>
              </w:rPr>
              <w:t>s</w:t>
            </w:r>
            <w:r w:rsidRPr="00D43D39" w:rsidR="00DE5943">
              <w:rPr>
                <w:rFonts w:ascii="Times New Roman" w:hAnsi="Times New Roman" w:eastAsia="Times New Roman" w:cs="Times New Roman"/>
                <w:sz w:val="20"/>
                <w:szCs w:val="20"/>
              </w:rPr>
              <w:t xml:space="preserve"> to a unique combination of user, FMI, system type and intermediary. The same ID, corresponding to the same combination, </w:t>
            </w:r>
            <w:r w:rsidR="002526C2">
              <w:rPr>
                <w:rFonts w:ascii="Times New Roman" w:hAnsi="Times New Roman" w:eastAsia="Times New Roman" w:cs="Times New Roman"/>
                <w:sz w:val="20"/>
                <w:szCs w:val="20"/>
              </w:rPr>
              <w:t>must</w:t>
            </w:r>
            <w:r w:rsidRPr="00D43D39" w:rsidR="00DE5943">
              <w:rPr>
                <w:rFonts w:ascii="Times New Roman" w:hAnsi="Times New Roman" w:eastAsia="Times New Roman" w:cs="Times New Roman"/>
                <w:sz w:val="20"/>
                <w:szCs w:val="20"/>
              </w:rPr>
              <w:t xml:space="preserve"> be used across templates. </w:t>
            </w:r>
          </w:p>
          <w:p w:rsidRPr="00D43D39" w:rsidR="00DE5943" w:rsidP="00353203" w:rsidRDefault="00DE5943" w14:paraId="712DB3A8" w14:textId="77777777">
            <w:pPr>
              <w:rPr>
                <w:rFonts w:ascii="Times New Roman" w:hAnsi="Times New Roman" w:eastAsia="Times New Roman" w:cs="Times New Roman"/>
                <w:sz w:val="20"/>
                <w:szCs w:val="20"/>
              </w:rPr>
            </w:pPr>
          </w:p>
        </w:tc>
      </w:tr>
      <w:tr w:rsidRPr="00D43D39" w:rsidR="00DE5943" w:rsidTr="00353203" w14:paraId="66AE316F" w14:textId="77777777">
        <w:tc>
          <w:tcPr>
            <w:tcW w:w="1183" w:type="dxa"/>
            <w:tcBorders>
              <w:top w:val="single" w:color="auto" w:sz="4" w:space="0"/>
              <w:bottom w:val="single" w:color="auto" w:sz="8" w:space="0"/>
              <w:right w:val="single" w:color="auto" w:sz="8" w:space="0"/>
            </w:tcBorders>
            <w:vAlign w:val="center"/>
          </w:tcPr>
          <w:p w:rsidRPr="005F5507" w:rsidR="00DE5943" w:rsidP="00353203" w:rsidRDefault="00DE5943" w14:paraId="49BED2B7" w14:textId="77777777">
            <w:pPr>
              <w:rPr>
                <w:rFonts w:ascii="Times New Roman" w:hAnsi="Times New Roman" w:cs="Times New Roman"/>
              </w:rPr>
            </w:pPr>
            <w:r w:rsidRPr="00D43D39">
              <w:rPr>
                <w:rFonts w:ascii="Times New Roman" w:hAnsi="Times New Roman" w:eastAsia="Times New Roman" w:cs="Times New Roman"/>
                <w:i/>
                <w:iCs/>
                <w:sz w:val="20"/>
                <w:szCs w:val="20"/>
              </w:rPr>
              <w:t>0020-0030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38A680F6" w14:textId="77777777">
            <w:pPr>
              <w:pStyle w:val="TableParagraph"/>
              <w:spacing w:before="108"/>
              <w:ind w:left="85"/>
              <w:jc w:val="both"/>
              <w:rPr>
                <w:rFonts w:ascii="Times New Roman" w:hAnsi="Times New Roman" w:eastAsia="Times New Roman" w:cs="Times New Roman"/>
                <w:color w:val="D13438"/>
                <w:sz w:val="20"/>
                <w:szCs w:val="20"/>
                <w:u w:val="single"/>
              </w:rPr>
            </w:pPr>
            <w:r w:rsidRPr="00D43D39">
              <w:rPr>
                <w:rFonts w:ascii="Times New Roman" w:hAnsi="Times New Roman" w:eastAsia="Times New Roman" w:cs="Times New Roman"/>
                <w:b/>
                <w:i/>
                <w:iCs/>
                <w:sz w:val="20"/>
                <w:szCs w:val="20"/>
              </w:rPr>
              <w:t>User</w:t>
            </w:r>
          </w:p>
        </w:tc>
      </w:tr>
      <w:tr w:rsidRPr="00D43D39" w:rsidR="00DE5943" w:rsidTr="00353203" w14:paraId="0784EC8F" w14:textId="77777777">
        <w:tc>
          <w:tcPr>
            <w:tcW w:w="1183" w:type="dxa"/>
            <w:tcBorders>
              <w:top w:val="single" w:color="auto" w:sz="4" w:space="0"/>
              <w:bottom w:val="single" w:color="auto" w:sz="8" w:space="0"/>
              <w:right w:val="single" w:color="auto" w:sz="8" w:space="0"/>
            </w:tcBorders>
            <w:vAlign w:val="center"/>
          </w:tcPr>
          <w:p w:rsidRPr="00D43D39" w:rsidR="00DE5943" w:rsidP="00353203" w:rsidRDefault="00DE5943" w14:paraId="43AB67E2"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0020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21BD2CE9" w14:textId="77777777">
            <w:pPr>
              <w:pStyle w:val="TableParagraph"/>
              <w:spacing w:before="108" w:after="120"/>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Entity name</w:t>
            </w:r>
          </w:p>
          <w:p w:rsidRPr="00D43D39" w:rsidR="00DE5943" w:rsidP="00353203" w:rsidRDefault="00DE5943" w14:paraId="71709805" w14:textId="77777777">
            <w:pPr>
              <w:pStyle w:val="TableParagraph"/>
              <w:spacing w:before="108"/>
              <w:ind w:left="85"/>
              <w:jc w:val="both"/>
              <w:rPr>
                <w:rFonts w:ascii="Times New Roman" w:hAnsi="Times New Roman" w:eastAsia="Times New Roman" w:cs="Times New Roman"/>
                <w:b/>
                <w:bCs/>
                <w:i/>
                <w:iCs/>
                <w:color w:val="D13438"/>
                <w:sz w:val="20"/>
                <w:szCs w:val="20"/>
                <w:u w:val="single"/>
              </w:rPr>
            </w:pPr>
            <w:r w:rsidRPr="00D43D39">
              <w:rPr>
                <w:rFonts w:ascii="Times New Roman" w:hAnsi="Times New Roman" w:eastAsia="Times New Roman" w:cs="Times New Roman"/>
                <w:sz w:val="20"/>
                <w:szCs w:val="20"/>
              </w:rPr>
              <w:t xml:space="preserve">Name of the Legal Entity using payment, custody, settlement, clearing or trade repository services, as reported in template Z01.01 – Legal entities (ORG 1): official name as it appears in corporate acts, including the indication of the legal form. </w:t>
            </w:r>
          </w:p>
        </w:tc>
      </w:tr>
      <w:tr w:rsidRPr="00D43D39" w:rsidR="00DE5943" w:rsidTr="00353203" w14:paraId="1A22EFB0"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1173DD6E" w14:textId="77777777">
            <w:pPr>
              <w:rPr>
                <w:rFonts w:ascii="Times New Roman" w:hAnsi="Times New Roman" w:cs="Times New Roman"/>
              </w:rPr>
            </w:pPr>
            <w:r w:rsidRPr="00D43D39">
              <w:rPr>
                <w:rFonts w:ascii="Times New Roman" w:hAnsi="Times New Roman" w:eastAsia="Times New Roman" w:cs="Times New Roman"/>
                <w:sz w:val="20"/>
                <w:szCs w:val="20"/>
              </w:rPr>
              <w:t>0030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25027045" w14:textId="77777777">
            <w:pPr>
              <w:pStyle w:val="TableParagraph"/>
              <w:spacing w:before="108"/>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Entity code</w:t>
            </w:r>
          </w:p>
          <w:p w:rsidRPr="008C786C" w:rsidR="00DE5943" w:rsidP="00353203" w:rsidRDefault="00DE5943" w14:paraId="6999E074" w14:textId="77777777">
            <w:pPr>
              <w:pStyle w:val="TableParagraph"/>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20-digit, alpha-numeric LEI Code of the Legal Entity using payment, custody</w:t>
            </w:r>
            <w:r w:rsidRPr="008C786C">
              <w:rPr>
                <w:rFonts w:ascii="Times New Roman" w:hAnsi="Times New Roman" w:eastAsia="Times New Roman" w:cs="Times New Roman"/>
                <w:sz w:val="20"/>
                <w:szCs w:val="20"/>
              </w:rPr>
              <w:t>, settlement, clearing or trade repository services, as reported in template Z01.01 – Legal entities (</w:t>
            </w:r>
            <w:r w:rsidRPr="005F5507">
              <w:rPr>
                <w:rFonts w:ascii="Times New Roman" w:hAnsi="Times New Roman" w:eastAsia="Times New Roman" w:cs="Times New Roman"/>
                <w:sz w:val="20"/>
                <w:szCs w:val="20"/>
              </w:rPr>
              <w:t>ORG 1).</w:t>
            </w:r>
            <w:r w:rsidRPr="008C786C">
              <w:rPr>
                <w:rFonts w:ascii="Times New Roman" w:hAnsi="Times New Roman" w:eastAsia="Times New Roman" w:cs="Times New Roman"/>
                <w:sz w:val="20"/>
                <w:szCs w:val="20"/>
              </w:rPr>
              <w:t xml:space="preserve"> </w:t>
            </w:r>
          </w:p>
          <w:p w:rsidRPr="00D43D39" w:rsidR="00DE5943" w:rsidP="00353203" w:rsidRDefault="00DE5943" w14:paraId="4F44B6BA" w14:textId="53ACD0A6">
            <w:pPr>
              <w:rPr>
                <w:rFonts w:ascii="Times New Roman" w:hAnsi="Times New Roman" w:eastAsia="Times New Roman" w:cs="Times New Roman"/>
                <w:sz w:val="20"/>
                <w:szCs w:val="20"/>
              </w:rPr>
            </w:pPr>
            <w:r w:rsidRPr="008C786C">
              <w:rPr>
                <w:rFonts w:ascii="Times New Roman" w:hAnsi="Times New Roman" w:eastAsia="Times New Roman" w:cs="Times New Roman"/>
                <w:sz w:val="20"/>
                <w:szCs w:val="20"/>
              </w:rPr>
              <w:t>In the absence of a LEI, the ECB Monetary Financial Institutions unique Identifier (MFI ID)</w:t>
            </w:r>
            <w:r w:rsidRPr="00D43D39">
              <w:rPr>
                <w:rFonts w:ascii="Times New Roman" w:hAnsi="Times New Roman" w:eastAsia="Times New Roman" w:cs="Times New Roman"/>
                <w:sz w:val="20"/>
                <w:szCs w:val="20"/>
              </w:rPr>
              <w:t xml:space="preserve"> of the entity for use in RIAD </w:t>
            </w:r>
            <w:r w:rsidR="002526C2">
              <w:rPr>
                <w:rFonts w:ascii="Times New Roman" w:hAnsi="Times New Roman" w:eastAsia="Times New Roman" w:cs="Times New Roman"/>
                <w:sz w:val="20"/>
                <w:szCs w:val="20"/>
              </w:rPr>
              <w:t>must</w:t>
            </w:r>
            <w:r w:rsidRPr="00D43D39">
              <w:rPr>
                <w:rFonts w:ascii="Times New Roman" w:hAnsi="Times New Roman" w:eastAsia="Times New Roman" w:cs="Times New Roman"/>
                <w:sz w:val="20"/>
                <w:szCs w:val="20"/>
              </w:rPr>
              <w:t xml:space="preserve"> be used. </w:t>
            </w:r>
          </w:p>
        </w:tc>
      </w:tr>
      <w:tr w:rsidRPr="00D43D39" w:rsidR="00DE5943" w:rsidTr="00353203" w14:paraId="3545FA59"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4951FEEA" w14:textId="77777777">
            <w:pPr>
              <w:rPr>
                <w:rFonts w:ascii="Times New Roman" w:hAnsi="Times New Roman" w:cs="Times New Roman"/>
              </w:rPr>
            </w:pPr>
            <w:r w:rsidRPr="00D43D39">
              <w:rPr>
                <w:rFonts w:ascii="Times New Roman" w:hAnsi="Times New Roman" w:eastAsia="Times New Roman" w:cs="Times New Roman"/>
                <w:i/>
                <w:iCs/>
                <w:sz w:val="20"/>
                <w:szCs w:val="20"/>
              </w:rPr>
              <w:t>0040-0270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69AD37E3"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b/>
                <w:i/>
                <w:iCs/>
                <w:sz w:val="20"/>
                <w:szCs w:val="20"/>
              </w:rPr>
              <w:t>Provider</w:t>
            </w:r>
          </w:p>
        </w:tc>
      </w:tr>
      <w:tr w:rsidRPr="00D43D39" w:rsidR="00DE5943" w:rsidTr="00353203" w14:paraId="640F938B"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58A1FDF9"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i/>
                <w:iCs/>
                <w:sz w:val="20"/>
                <w:szCs w:val="20"/>
              </w:rPr>
              <w:t>0040-0090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59992AE6"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b/>
                <w:i/>
                <w:iCs/>
                <w:sz w:val="20"/>
                <w:szCs w:val="20"/>
              </w:rPr>
              <w:t>FMI</w:t>
            </w:r>
          </w:p>
        </w:tc>
      </w:tr>
      <w:tr w:rsidRPr="00D43D39" w:rsidR="00DE5943" w:rsidTr="00353203" w14:paraId="6EE7726E"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449C1B1B" w14:textId="77777777">
            <w:pPr>
              <w:rPr>
                <w:rFonts w:ascii="Times New Roman" w:hAnsi="Times New Roman" w:cs="Times New Roman"/>
              </w:rPr>
            </w:pPr>
            <w:r w:rsidRPr="00D43D39">
              <w:rPr>
                <w:rFonts w:ascii="Times New Roman" w:hAnsi="Times New Roman" w:eastAsia="Times New Roman" w:cs="Times New Roman"/>
                <w:sz w:val="20"/>
                <w:szCs w:val="20"/>
              </w:rPr>
              <w:t>0040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33C8ABF5"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System type</w:t>
            </w:r>
          </w:p>
          <w:p w:rsidRPr="00D43D39" w:rsidR="00DE5943" w:rsidP="00353203" w:rsidRDefault="00DE5943" w14:paraId="3479A4FB" w14:textId="49EB51C6">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The type of system providing services to the user. </w:t>
            </w:r>
            <w:r w:rsidR="00486437">
              <w:rPr>
                <w:rFonts w:ascii="Times New Roman" w:hAnsi="Times New Roman" w:eastAsia="Times New Roman" w:cs="Times New Roman"/>
                <w:sz w:val="20"/>
                <w:szCs w:val="20"/>
              </w:rPr>
              <w:t>S</w:t>
            </w:r>
            <w:r w:rsidRPr="00D43D39">
              <w:rPr>
                <w:rFonts w:ascii="Times New Roman" w:hAnsi="Times New Roman" w:eastAsia="Times New Roman" w:cs="Times New Roman"/>
                <w:sz w:val="20"/>
                <w:szCs w:val="20"/>
              </w:rPr>
              <w:t>elect among the following types:</w:t>
            </w:r>
          </w:p>
          <w:p w:rsidRPr="00D43D39" w:rsidR="00DE5943" w:rsidP="00353203" w:rsidRDefault="00DE5943" w14:paraId="39BAF5E5"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‘PS’ - Payment systems </w:t>
            </w:r>
          </w:p>
          <w:p w:rsidRPr="00D43D39" w:rsidR="00DE5943" w:rsidP="00353203" w:rsidRDefault="00DE5943" w14:paraId="54781B52"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‘(I)CSD’ – CSDs and ICSDs</w:t>
            </w:r>
          </w:p>
          <w:p w:rsidRPr="00D43D39" w:rsidR="00DE5943" w:rsidP="00353203" w:rsidRDefault="00DE5943" w14:paraId="1EBCFD6C"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‘SSS’ – Security Settlement System.</w:t>
            </w:r>
          </w:p>
          <w:p w:rsidRPr="00D43D39" w:rsidR="00DE5943" w:rsidP="00353203" w:rsidRDefault="00DE5943" w14:paraId="5352C989"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‘CCP-Securities’ – Central counterparties for securities clearing</w:t>
            </w:r>
            <w:r w:rsidRPr="005F5507">
              <w:rPr>
                <w:rStyle w:val="FootnoteReference"/>
                <w:rFonts w:ascii="Times New Roman" w:hAnsi="Times New Roman" w:eastAsia="Times New Roman" w:cs="Times New Roman"/>
              </w:rPr>
              <w:footnoteReference w:id="27"/>
            </w:r>
            <w:r w:rsidRPr="00D43D39">
              <w:rPr>
                <w:rFonts w:ascii="Times New Roman" w:hAnsi="Times New Roman" w:eastAsia="Times New Roman" w:cs="Times New Roman"/>
                <w:sz w:val="20"/>
                <w:szCs w:val="20"/>
              </w:rPr>
              <w:t>.</w:t>
            </w:r>
          </w:p>
          <w:p w:rsidRPr="00D43D39" w:rsidR="00DE5943" w:rsidP="00353203" w:rsidRDefault="00DE5943" w14:paraId="2A0A7A8B"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‘CCP-Derivatives’ - Central counterparties for derivatives clearing.</w:t>
            </w:r>
          </w:p>
          <w:p w:rsidRPr="00D43D39" w:rsidR="00DE5943" w:rsidP="00353203" w:rsidRDefault="00DE5943" w14:paraId="6F0BDDF1"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‘TR’– Registered trade repositories.</w:t>
            </w:r>
          </w:p>
          <w:p w:rsidRPr="00D43D39" w:rsidR="00DE5943" w:rsidP="00353203" w:rsidRDefault="00DE5943" w14:paraId="354E5047"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‘Trading venue’ – Regulated markets, MTFs and OTFs.</w:t>
            </w:r>
          </w:p>
          <w:p w:rsidRPr="00D43D39" w:rsidR="00DE5943" w:rsidP="00353203" w:rsidRDefault="00DE5943" w14:paraId="186A72A9" w14:textId="635A0AC8">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‘Card Scheme’ - </w:t>
            </w:r>
            <w:r w:rsidR="003D3EA1">
              <w:rPr>
                <w:rFonts w:ascii="Times New Roman" w:hAnsi="Times New Roman" w:eastAsia="Times New Roman" w:cs="Times New Roman"/>
                <w:sz w:val="20"/>
                <w:szCs w:val="20"/>
              </w:rPr>
              <w:t>C</w:t>
            </w:r>
            <w:r w:rsidRPr="00D43D39">
              <w:rPr>
                <w:rFonts w:ascii="Times New Roman" w:hAnsi="Times New Roman" w:eastAsia="Times New Roman" w:cs="Times New Roman"/>
                <w:sz w:val="20"/>
                <w:szCs w:val="20"/>
              </w:rPr>
              <w:t xml:space="preserve">ard </w:t>
            </w:r>
            <w:r w:rsidR="003D3EA1">
              <w:rPr>
                <w:rFonts w:ascii="Times New Roman" w:hAnsi="Times New Roman" w:eastAsia="Times New Roman" w:cs="Times New Roman"/>
                <w:sz w:val="20"/>
                <w:szCs w:val="20"/>
              </w:rPr>
              <w:t>schemes</w:t>
            </w:r>
            <w:r w:rsidRPr="00D43D39">
              <w:rPr>
                <w:rFonts w:ascii="Times New Roman" w:hAnsi="Times New Roman" w:eastAsia="Times New Roman" w:cs="Times New Roman"/>
                <w:sz w:val="20"/>
                <w:szCs w:val="20"/>
              </w:rPr>
              <w:t xml:space="preserve"> used for retail payments. </w:t>
            </w:r>
          </w:p>
          <w:p w:rsidRPr="005F5507" w:rsidR="00DE5943" w:rsidP="00353203" w:rsidRDefault="00DE5943" w14:paraId="46BD8015" w14:textId="77777777">
            <w:pPr>
              <w:pStyle w:val="TableParagraph"/>
              <w:spacing w:before="108"/>
              <w:ind w:left="85"/>
              <w:jc w:val="both"/>
              <w:rPr>
                <w:rFonts w:ascii="Times New Roman" w:hAnsi="Times New Roman" w:cs="Times New Roman"/>
              </w:rPr>
            </w:pPr>
            <w:r w:rsidRPr="00D43D39">
              <w:rPr>
                <w:rFonts w:ascii="Times New Roman" w:hAnsi="Times New Roman" w:eastAsia="Times New Roman" w:cs="Times New Roman"/>
                <w:sz w:val="20"/>
                <w:szCs w:val="20"/>
              </w:rPr>
              <w:t>‘Not applicable’ - For other payment, clearing, settlement or custody services provided by an entity that does not belong to any of the categories above, e.g. correspondent banks and/or custodian banks for which the institution cannot identify the ultimate FMIs. In column 0110 report the the service provided.</w:t>
            </w:r>
          </w:p>
        </w:tc>
      </w:tr>
      <w:tr w:rsidRPr="00D43D39" w:rsidR="00DE5943" w:rsidTr="00353203" w14:paraId="529C21B4"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401DC6C5" w14:textId="77777777">
            <w:pPr>
              <w:rPr>
                <w:rFonts w:ascii="Times New Roman" w:hAnsi="Times New Roman" w:cs="Times New Roman"/>
              </w:rPr>
            </w:pPr>
            <w:r w:rsidRPr="00D43D39">
              <w:rPr>
                <w:rFonts w:ascii="Times New Roman" w:hAnsi="Times New Roman" w:eastAsia="Times New Roman" w:cs="Times New Roman"/>
                <w:sz w:val="20"/>
                <w:szCs w:val="20"/>
              </w:rPr>
              <w:t>0050 - 0060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515F411E"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FMI name</w:t>
            </w:r>
          </w:p>
          <w:p w:rsidRPr="00D43D39" w:rsidR="00DE5943" w:rsidP="00353203" w:rsidRDefault="00DE5943" w14:paraId="4E51F5A9"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Commercial name of the Financial Market Infrastructure. </w:t>
            </w:r>
          </w:p>
          <w:p w:rsidRPr="00D43D39" w:rsidR="00DE5943" w:rsidP="00353203" w:rsidRDefault="00DE5943" w14:paraId="394A4576" w14:textId="77777777">
            <w:pPr>
              <w:pStyle w:val="TableParagraph"/>
              <w:numPr>
                <w:ilvl w:val="0"/>
                <w:numId w:val="246"/>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If present in column 0050, predefined FMI name;</w:t>
            </w:r>
          </w:p>
          <w:p w:rsidRPr="00D43D39" w:rsidR="00DE5943" w:rsidP="00353203" w:rsidRDefault="00DE5943" w14:paraId="71579D60" w14:textId="77777777">
            <w:pPr>
              <w:pStyle w:val="TableParagraph"/>
              <w:numPr>
                <w:ilvl w:val="0"/>
                <w:numId w:val="246"/>
              </w:numPr>
              <w:spacing w:before="108" w:after="120"/>
              <w:ind w:left="442" w:hanging="357"/>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If not present in column 0050, name in free-text column 0060. </w:t>
            </w:r>
          </w:p>
          <w:p w:rsidRPr="005F5507" w:rsidR="00DE5943" w:rsidP="00353203" w:rsidRDefault="00DE5943" w14:paraId="493D6017" w14:textId="77777777">
            <w:pPr>
              <w:rPr>
                <w:rFonts w:ascii="Times New Roman" w:hAnsi="Times New Roman" w:cs="Times New Roman"/>
              </w:rPr>
            </w:pPr>
            <w:r w:rsidRPr="00D43D39">
              <w:rPr>
                <w:rFonts w:ascii="Times New Roman" w:hAnsi="Times New Roman" w:eastAsia="Times New Roman" w:cs="Times New Roman"/>
                <w:sz w:val="20"/>
                <w:szCs w:val="20"/>
              </w:rPr>
              <w:t xml:space="preserve">When ‘Not applicable’ is reported in column 0040, these columns shall be left empty. </w:t>
            </w:r>
          </w:p>
        </w:tc>
      </w:tr>
      <w:tr w:rsidRPr="00D43D39" w:rsidR="00DE5943" w:rsidTr="00353203" w14:paraId="1F9FC361"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4AC5DDF1"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0070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23E04171"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FMI code</w:t>
            </w:r>
          </w:p>
          <w:p w:rsidR="008C786C" w:rsidP="00353203" w:rsidRDefault="00DE5943" w14:paraId="141AD2A6"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The 20-digit, alphanumeric LEI code of the FMI. </w:t>
            </w:r>
          </w:p>
          <w:p w:rsidRPr="00D43D39" w:rsidR="00DE5943" w:rsidP="00353203" w:rsidRDefault="00DE5943" w14:paraId="6D3B4C30" w14:textId="3DC6F110">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Where the FMI has no LEI is not available, use LEI code of the Operator. </w:t>
            </w:r>
          </w:p>
          <w:p w:rsidRPr="00D43D39" w:rsidR="00DE5943" w:rsidP="00353203" w:rsidRDefault="00DE5943" w14:paraId="16E6B9DD"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When ‘Not applicable (FMI system type)’ is reported in column 0040, or when the FMI does not have a code, this column shall contain ‘NA’.</w:t>
            </w:r>
          </w:p>
          <w:p w:rsidRPr="00D43D39" w:rsidR="00DE5943" w:rsidP="00353203" w:rsidRDefault="00DE5943" w14:paraId="2C750078" w14:textId="77777777">
            <w:pPr>
              <w:rPr>
                <w:rFonts w:ascii="Times New Roman" w:hAnsi="Times New Roman" w:eastAsia="Times New Roman" w:cs="Times New Roman"/>
                <w:color w:val="D13438"/>
                <w:sz w:val="20"/>
                <w:szCs w:val="20"/>
                <w:u w:val="single"/>
              </w:rPr>
            </w:pPr>
          </w:p>
        </w:tc>
      </w:tr>
      <w:tr w:rsidRPr="00D43D39" w:rsidR="00DE5943" w:rsidTr="00353203" w14:paraId="1D3F1451"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4F17142A"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0080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436D6460" w14:textId="77777777">
            <w:pPr>
              <w:spacing w:after="120"/>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Operator of the FMI</w:t>
            </w:r>
          </w:p>
          <w:p w:rsidRPr="00D43D39" w:rsidR="00DE5943" w:rsidP="00353203" w:rsidRDefault="00DE5943" w14:paraId="56B09DE6" w14:textId="77777777">
            <w:pPr>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 xml:space="preserve">Name of the operator of the FMI. </w:t>
            </w:r>
          </w:p>
          <w:p w:rsidRPr="005F5507" w:rsidR="00DE5943" w:rsidP="00353203" w:rsidRDefault="00DE5943" w14:paraId="50A67764" w14:textId="77777777">
            <w:pPr>
              <w:rPr>
                <w:rFonts w:ascii="Times New Roman" w:hAnsi="Times New Roman" w:cs="Times New Roman"/>
                <w:color w:val="D13438"/>
                <w:sz w:val="20"/>
                <w:szCs w:val="20"/>
                <w:highlight w:val="yellow"/>
                <w:u w:val="single"/>
              </w:rPr>
            </w:pPr>
          </w:p>
        </w:tc>
      </w:tr>
      <w:tr w:rsidRPr="00D43D39" w:rsidR="00DE5943" w:rsidTr="00353203" w14:paraId="35618BFA"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17FB2ADD"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0090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19A8260C" w14:textId="77777777">
            <w:pPr>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Participation mode</w:t>
            </w:r>
          </w:p>
          <w:p w:rsidRPr="00D43D39" w:rsidR="00DE5943" w:rsidP="00353203" w:rsidRDefault="00DE5943" w14:paraId="62C851F4"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Report one of the following values</w:t>
            </w:r>
            <w:r w:rsidRPr="005F5507">
              <w:rPr>
                <w:rStyle w:val="FootnoteReference"/>
                <w:rFonts w:ascii="Times New Roman" w:hAnsi="Times New Roman" w:eastAsia="Times New Roman" w:cs="Times New Roman"/>
              </w:rPr>
              <w:footnoteReference w:id="28"/>
            </w:r>
            <w:r w:rsidRPr="00D43D39">
              <w:rPr>
                <w:rFonts w:ascii="Times New Roman" w:hAnsi="Times New Roman" w:eastAsia="Times New Roman" w:cs="Times New Roman"/>
                <w:sz w:val="20"/>
                <w:szCs w:val="20"/>
              </w:rPr>
              <w:t>:</w:t>
            </w:r>
          </w:p>
          <w:p w:rsidRPr="00D43D39" w:rsidR="00DE5943" w:rsidP="00353203" w:rsidRDefault="00DE5943" w14:paraId="39FCF54D" w14:textId="77777777">
            <w:pPr>
              <w:pStyle w:val="TableParagraph"/>
              <w:numPr>
                <w:ilvl w:val="0"/>
                <w:numId w:val="181"/>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‘Direct’ in case of Direct participation in/membership of FMI. </w:t>
            </w:r>
          </w:p>
          <w:p w:rsidRPr="00D43D39" w:rsidR="00DE5943" w:rsidP="00353203" w:rsidRDefault="00DE5943" w14:paraId="385B67E2" w14:textId="77777777">
            <w:pPr>
              <w:pStyle w:val="TableParagraph"/>
              <w:numPr>
                <w:ilvl w:val="0"/>
                <w:numId w:val="181"/>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‘Indirect’ in case of indirect participation in/ membership of FMI. </w:t>
            </w:r>
          </w:p>
          <w:p w:rsidRPr="00D43D39" w:rsidR="00DE5943" w:rsidP="00353203" w:rsidRDefault="00DE5943" w14:paraId="25AD2BEF" w14:textId="77777777">
            <w:pPr>
              <w:pStyle w:val="TableParagraph"/>
              <w:numPr>
                <w:ilvl w:val="0"/>
                <w:numId w:val="181"/>
              </w:numPr>
              <w:spacing w:before="108"/>
              <w:jc w:val="both"/>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‘Not applicable (Mode of participation in FMI)’ when ‘Not applicable (FMI system type)’ is reported in column 0040.</w:t>
            </w:r>
          </w:p>
          <w:p w:rsidRPr="00D43D39" w:rsidR="00DE5943" w:rsidP="00353203" w:rsidRDefault="00DE5943" w14:paraId="7F7B39B3" w14:textId="77777777">
            <w:pPr>
              <w:pStyle w:val="TableParagraph"/>
              <w:spacing w:before="108"/>
              <w:ind w:left="85"/>
              <w:jc w:val="both"/>
              <w:rPr>
                <w:rFonts w:ascii="Times New Roman" w:hAnsi="Times New Roman" w:eastAsia="Times New Roman" w:cs="Times New Roman"/>
                <w:b/>
                <w:sz w:val="20"/>
                <w:szCs w:val="20"/>
              </w:rPr>
            </w:pPr>
          </w:p>
        </w:tc>
      </w:tr>
      <w:tr w:rsidRPr="00D43D39" w:rsidR="00DE5943" w:rsidTr="00353203" w14:paraId="335210C8"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7A43CAB6"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i/>
                <w:iCs/>
                <w:sz w:val="20"/>
                <w:szCs w:val="20"/>
              </w:rPr>
              <w:t>0100-0110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15C4A09B"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i/>
                <w:iCs/>
                <w:sz w:val="20"/>
                <w:szCs w:val="20"/>
              </w:rPr>
              <w:t>Intermediary</w:t>
            </w:r>
          </w:p>
        </w:tc>
      </w:tr>
      <w:tr w:rsidRPr="00D43D39" w:rsidR="00DE5943" w:rsidTr="00353203" w14:paraId="6E010741"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6E5AA484"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0100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26665052" w14:textId="77777777">
            <w:pPr>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Intermediary name</w:t>
            </w:r>
          </w:p>
          <w:p w:rsidRPr="00D43D39" w:rsidR="00DE5943" w:rsidP="00353203" w:rsidRDefault="00DE5943" w14:paraId="3E2410B6"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Commercial name of the intermediary with which the User has a contractual relationship, and which providers access to the FMI. To be reported when ‘Indirect’ or ‘Not applicable (Mode of participation in FMI)’ is reported in column 0100 ‘Participation mode’. </w:t>
            </w:r>
          </w:p>
          <w:p w:rsidRPr="00D43D39" w:rsidR="00DE5943" w:rsidP="00353203" w:rsidRDefault="00DE5943" w14:paraId="08A1F56E" w14:textId="59A5232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In case the intermediary is offering indirect access to several FMIs, </w:t>
            </w:r>
            <w:r w:rsidR="00486437">
              <w:rPr>
                <w:rFonts w:ascii="Times New Roman" w:hAnsi="Times New Roman" w:eastAsia="Times New Roman" w:cs="Times New Roman"/>
                <w:sz w:val="20"/>
                <w:szCs w:val="20"/>
              </w:rPr>
              <w:t>f</w:t>
            </w:r>
            <w:r w:rsidRPr="00D43D39">
              <w:rPr>
                <w:rFonts w:ascii="Times New Roman" w:hAnsi="Times New Roman" w:eastAsia="Times New Roman" w:cs="Times New Roman"/>
                <w:sz w:val="20"/>
                <w:szCs w:val="20"/>
              </w:rPr>
              <w:t xml:space="preserve">ill one line per FMI for </w:t>
            </w:r>
            <w:r w:rsidRPr="00D43D39">
              <w:rPr>
                <w:rFonts w:ascii="Times New Roman" w:hAnsi="Times New Roman" w:eastAsia="Times New Roman" w:cs="Times New Roman"/>
                <w:sz w:val="20"/>
                <w:szCs w:val="20"/>
              </w:rPr>
              <w:t>which the intermediary is offering indirect access.</w:t>
            </w:r>
          </w:p>
          <w:p w:rsidRPr="00D43D39" w:rsidR="00DE5943" w:rsidP="00353203" w:rsidRDefault="00DE5943" w14:paraId="4851323C"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When ‘Direct’ is reported in column 0090, this column shall be empty.</w:t>
            </w:r>
          </w:p>
        </w:tc>
      </w:tr>
      <w:tr w:rsidRPr="00D43D39" w:rsidR="00DE5943" w:rsidTr="00353203" w14:paraId="2A8A1718"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38803230"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0110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291232BB" w14:textId="77777777">
            <w:pPr>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Intermediary code</w:t>
            </w:r>
          </w:p>
          <w:p w:rsidR="008C786C" w:rsidP="008C786C" w:rsidRDefault="00DE5943" w14:paraId="75E06D1D"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The 20-digit, alpha-numeric LEI code of the intermediary. </w:t>
            </w:r>
          </w:p>
          <w:p w:rsidR="008C786C" w:rsidP="008C786C" w:rsidRDefault="008C786C" w14:paraId="78FBD9DD" w14:textId="45695B4D">
            <w:pPr>
              <w:pStyle w:val="TableParagraph"/>
              <w:spacing w:before="108"/>
              <w:ind w:left="85"/>
              <w:jc w:val="both"/>
              <w:rPr>
                <w:rFonts w:ascii="Times New Roman" w:hAnsi="Times New Roman" w:eastAsia="Cambria" w:cs="Times New Roman"/>
                <w:color w:val="000000" w:themeColor="text1"/>
                <w:spacing w:val="-2"/>
                <w:w w:val="95"/>
                <w:sz w:val="20"/>
                <w:szCs w:val="20"/>
                <w:lang w:val="en-GB"/>
              </w:rPr>
            </w:pP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hAnsi="Times New Roman" w:eastAsia="Cambria" w:cs="Times New Roman"/>
                <w:color w:val="000000" w:themeColor="text1"/>
                <w:spacing w:val="-2"/>
                <w:w w:val="95"/>
                <w:sz w:val="20"/>
                <w:szCs w:val="20"/>
                <w:lang w:val="en-GB"/>
              </w:rPr>
              <w:t xml:space="preserve"> preferably the LEI code.</w:t>
            </w:r>
          </w:p>
          <w:p w:rsidR="008C786C" w:rsidP="008C786C" w:rsidRDefault="008C786C" w14:paraId="70E1E074" w14:textId="41506B04">
            <w:pPr>
              <w:pStyle w:val="TableParagraph"/>
              <w:spacing w:before="108"/>
              <w:rPr>
                <w:rFonts w:ascii="Times New Roman" w:hAnsi="Times New Roman" w:cs="Times New Roman"/>
                <w:color w:val="000000" w:themeColor="text1"/>
                <w:sz w:val="20"/>
                <w:szCs w:val="20"/>
                <w:lang w:val="en-GB"/>
              </w:rPr>
            </w:pPr>
            <w:r>
              <w:rPr>
                <w:rFonts w:ascii="Times New Roman" w:hAnsi="Times New Roman" w:eastAsia="Cambria" w:cs="Times New Roman"/>
                <w:color w:val="000000" w:themeColor="text1"/>
                <w:spacing w:val="-2"/>
                <w:w w:val="95"/>
                <w:sz w:val="20"/>
                <w:szCs w:val="20"/>
                <w:lang w:val="en-GB"/>
              </w:rPr>
              <w:t xml:space="preserve">  </w:t>
            </w:r>
            <w:r w:rsidR="00987EB3">
              <w:rPr>
                <w:rFonts w:ascii="Times New Roman" w:hAnsi="Times New Roman" w:eastAsia="Cambria" w:cs="Times New Roman"/>
                <w:color w:val="000000" w:themeColor="text1"/>
                <w:spacing w:val="-2"/>
                <w:w w:val="95"/>
                <w:sz w:val="20"/>
                <w:szCs w:val="20"/>
                <w:lang w:val="en-GB"/>
              </w:rPr>
              <w:t>When the LEI is not available, report an MFI ID</w:t>
            </w:r>
            <w:r w:rsidRPr="00BC38B6">
              <w:rPr>
                <w:rFonts w:ascii="Times New Roman" w:hAnsi="Times New Roman" w:eastAsia="Cambria" w:cs="Times New Roman"/>
                <w:color w:val="000000" w:themeColor="text1"/>
                <w:spacing w:val="-2"/>
                <w:w w:val="95"/>
                <w:sz w:val="20"/>
                <w:szCs w:val="20"/>
                <w:lang w:val="en-GB"/>
              </w:rPr>
              <w:t>, or if not available</w:t>
            </w:r>
            <w:r w:rsidR="00B009B9">
              <w:rPr>
                <w:rFonts w:ascii="Times New Roman" w:hAnsi="Times New Roman" w:eastAsia="Cambria" w:cs="Times New Roman"/>
                <w:color w:val="000000" w:themeColor="text1"/>
                <w:spacing w:val="-2"/>
                <w:w w:val="95"/>
                <w:sz w:val="20"/>
                <w:szCs w:val="20"/>
                <w:lang w:val="en-GB"/>
              </w:rPr>
              <w:t>, report</w:t>
            </w:r>
            <w:r w:rsidRPr="00BC38B6">
              <w:rPr>
                <w:rFonts w:ascii="Times New Roman" w:hAnsi="Times New Roman" w:eastAsia="Cambria" w:cs="Times New Roman"/>
                <w:color w:val="000000" w:themeColor="text1"/>
                <w:spacing w:val="-2"/>
                <w:w w:val="95"/>
                <w:sz w:val="20"/>
                <w:szCs w:val="20"/>
                <w:lang w:val="en-GB"/>
              </w:rPr>
              <w:t xml:space="preserve"> a national code</w:t>
            </w:r>
            <w:r>
              <w:rPr>
                <w:rFonts w:ascii="Times New Roman" w:hAnsi="Times New Roman" w:eastAsia="Cambria" w:cs="Times New Roman"/>
                <w:color w:val="000000" w:themeColor="text1"/>
                <w:spacing w:val="-2"/>
                <w:w w:val="95"/>
                <w:sz w:val="20"/>
                <w:szCs w:val="20"/>
                <w:lang w:val="en-GB"/>
              </w:rPr>
              <w:t>.</w:t>
            </w:r>
          </w:p>
          <w:p w:rsidRPr="00D43D39" w:rsidR="00DE5943" w:rsidP="008C786C" w:rsidRDefault="008C786C" w14:paraId="3A30FADD" w14:textId="7968D2BB">
            <w:pPr>
              <w:pStyle w:val="TableParagraph"/>
              <w:spacing w:before="108"/>
              <w:ind w:left="85"/>
              <w:jc w:val="both"/>
              <w:rPr>
                <w:rFonts w:ascii="Times New Roman" w:hAnsi="Times New Roman" w:eastAsia="Times New Roman" w:cs="Times New Roman"/>
                <w:sz w:val="20"/>
                <w:szCs w:val="20"/>
              </w:rPr>
            </w:pPr>
            <w:r w:rsidRPr="00BC38B6">
              <w:rPr>
                <w:rFonts w:ascii="Times New Roman" w:hAnsi="Times New Roman" w:cs="Times New Roman"/>
                <w:bCs/>
                <w:color w:val="000000" w:themeColor="text1"/>
                <w:sz w:val="20"/>
                <w:szCs w:val="20"/>
                <w:lang w:val="en-GB"/>
              </w:rPr>
              <w:t>The identification of entities shall be made in a consistent way across the templates.</w:t>
            </w:r>
            <w:r w:rsidRPr="00D43D39" w:rsidR="00DE5943">
              <w:rPr>
                <w:rFonts w:ascii="Times New Roman" w:hAnsi="Times New Roman" w:eastAsia="Times New Roman" w:cs="Times New Roman"/>
                <w:sz w:val="20"/>
                <w:szCs w:val="20"/>
              </w:rPr>
              <w:t xml:space="preserve"> </w:t>
            </w:r>
          </w:p>
          <w:p w:rsidRPr="00D43D39" w:rsidR="00DE5943" w:rsidP="00353203" w:rsidRDefault="00DE5943" w14:paraId="0414BC57"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When ‘Direct’ is reported in column 0090, this column shall be empty.</w:t>
            </w:r>
          </w:p>
        </w:tc>
      </w:tr>
      <w:tr w:rsidRPr="00D43D39" w:rsidR="00DE5943" w:rsidTr="00353203" w14:paraId="630566ED"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0EA4C41F"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i/>
                <w:iCs/>
                <w:sz w:val="20"/>
                <w:szCs w:val="20"/>
              </w:rPr>
              <w:t>0120-0260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620488EA" w14:textId="77777777">
            <w:pPr>
              <w:rPr>
                <w:rFonts w:ascii="Times New Roman" w:hAnsi="Times New Roman" w:eastAsia="Times New Roman" w:cs="Times New Roman"/>
                <w:color w:val="D13438"/>
                <w:sz w:val="20"/>
                <w:szCs w:val="20"/>
                <w:u w:val="single"/>
              </w:rPr>
            </w:pPr>
            <w:r w:rsidRPr="00D43D39">
              <w:rPr>
                <w:rFonts w:ascii="Times New Roman" w:hAnsi="Times New Roman" w:eastAsia="Times New Roman" w:cs="Times New Roman"/>
                <w:b/>
                <w:i/>
                <w:iCs/>
                <w:sz w:val="20"/>
                <w:szCs w:val="20"/>
              </w:rPr>
              <w:t>Contracts and services</w:t>
            </w:r>
          </w:p>
        </w:tc>
      </w:tr>
      <w:tr w:rsidRPr="00D43D39" w:rsidR="00DE5943" w:rsidTr="00353203" w14:paraId="2C03B7C1"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614A7DD8" w14:textId="77777777">
            <w:pPr>
              <w:rPr>
                <w:rFonts w:ascii="Times New Roman" w:hAnsi="Times New Roman" w:cs="Times New Roman"/>
                <w:sz w:val="20"/>
                <w:szCs w:val="20"/>
              </w:rPr>
            </w:pPr>
            <w:r w:rsidRPr="00D43D39">
              <w:rPr>
                <w:rFonts w:ascii="Times New Roman" w:hAnsi="Times New Roman" w:eastAsia="Times New Roman" w:cs="Times New Roman"/>
                <w:sz w:val="20"/>
                <w:szCs w:val="20"/>
              </w:rPr>
              <w:t>0120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01CAA8F4"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Contract ID</w:t>
            </w:r>
          </w:p>
          <w:p w:rsidRPr="00D43D39" w:rsidR="00DE5943" w:rsidP="00353203" w:rsidRDefault="00DE5943" w14:paraId="56C0582E" w14:textId="77777777">
            <w:pPr>
              <w:pStyle w:val="TableParagraph"/>
              <w:spacing w:before="108"/>
              <w:jc w:val="both"/>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User’s internal identifier of the contract which governs the relationship with the FMI/intermediary which provides the service.</w:t>
            </w:r>
          </w:p>
        </w:tc>
      </w:tr>
      <w:tr w:rsidRPr="00D43D39" w:rsidR="00DE5943" w:rsidTr="00353203" w14:paraId="21F814A8"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25AD25D5" w14:textId="77777777">
            <w:pPr>
              <w:rPr>
                <w:rFonts w:ascii="Times New Roman" w:hAnsi="Times New Roman" w:cs="Times New Roman"/>
                <w:sz w:val="20"/>
                <w:szCs w:val="20"/>
              </w:rPr>
            </w:pPr>
            <w:r w:rsidRPr="00D43D39">
              <w:rPr>
                <w:rFonts w:ascii="Times New Roman" w:hAnsi="Times New Roman" w:eastAsia="Times New Roman" w:cs="Times New Roman"/>
                <w:sz w:val="20"/>
                <w:szCs w:val="20"/>
              </w:rPr>
              <w:t>0130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7E911120" w14:textId="77777777">
            <w:pPr>
              <w:pStyle w:val="TableParagraph"/>
              <w:spacing w:before="108"/>
              <w:ind w:left="85"/>
              <w:jc w:val="both"/>
              <w:rPr>
                <w:rFonts w:ascii="Times New Roman" w:hAnsi="Times New Roman" w:eastAsia="Times New Roman" w:cs="Times New Roman"/>
                <w:b/>
                <w:bCs/>
                <w:sz w:val="20"/>
                <w:szCs w:val="20"/>
              </w:rPr>
            </w:pPr>
            <w:r w:rsidRPr="00D43D39">
              <w:rPr>
                <w:rFonts w:ascii="Times New Roman" w:hAnsi="Times New Roman" w:eastAsia="Times New Roman" w:cs="Times New Roman"/>
                <w:b/>
                <w:bCs/>
                <w:sz w:val="20"/>
                <w:szCs w:val="20"/>
              </w:rPr>
              <w:t>Governing law</w:t>
            </w:r>
          </w:p>
          <w:p w:rsidRPr="00D43D39" w:rsidR="00DE5943" w:rsidP="00353203" w:rsidRDefault="00DE5943" w14:paraId="1E4AF409"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ISO 3166-1 alpha-2 identification of the country whose law governs the contractual relationship with the FMI. </w:t>
            </w:r>
          </w:p>
          <w:p w:rsidRPr="00D43D39" w:rsidR="00DE5943" w:rsidP="00353203" w:rsidRDefault="00DE5943" w14:paraId="3C80B70A" w14:textId="77777777">
            <w:pPr>
              <w:pStyle w:val="TableParagraph"/>
              <w:numPr>
                <w:ilvl w:val="0"/>
                <w:numId w:val="247"/>
              </w:numPr>
              <w:spacing w:before="108"/>
              <w:jc w:val="both"/>
              <w:rPr>
                <w:rFonts w:ascii="Times New Roman" w:hAnsi="Times New Roman" w:eastAsia="Times New Roman" w:cs="Times New Roman"/>
                <w:b/>
                <w:bCs/>
                <w:sz w:val="20"/>
                <w:szCs w:val="20"/>
              </w:rPr>
            </w:pPr>
            <w:r w:rsidRPr="00D43D39">
              <w:rPr>
                <w:rFonts w:ascii="Times New Roman" w:hAnsi="Times New Roman" w:eastAsia="Times New Roman" w:cs="Times New Roman"/>
                <w:sz w:val="20"/>
                <w:szCs w:val="20"/>
              </w:rPr>
              <w:t>For direct accesses, governing law of the contract between the FMI and the User</w:t>
            </w:r>
          </w:p>
          <w:p w:rsidRPr="00D43D39" w:rsidR="00DE5943" w:rsidP="00353203" w:rsidRDefault="00DE5943" w14:paraId="30FAD632"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For indirect accesses, governing law of the contract between the intermediary and the User.</w:t>
            </w:r>
          </w:p>
        </w:tc>
      </w:tr>
      <w:tr w:rsidRPr="00D43D39" w:rsidR="00DE5943" w:rsidTr="00353203" w14:paraId="2C724AB2"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453D385D"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0140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58A81EA0" w14:textId="77777777">
            <w:pPr>
              <w:pStyle w:val="TableParagraph"/>
              <w:spacing w:before="108"/>
              <w:ind w:left="85"/>
              <w:jc w:val="both"/>
              <w:rPr>
                <w:rFonts w:ascii="Times New Roman" w:hAnsi="Times New Roman" w:eastAsia="Times New Roman" w:cs="Times New Roman"/>
                <w:b/>
                <w:bCs/>
                <w:sz w:val="20"/>
                <w:szCs w:val="20"/>
              </w:rPr>
            </w:pPr>
            <w:r w:rsidRPr="00D43D39">
              <w:rPr>
                <w:rFonts w:ascii="Times New Roman" w:hAnsi="Times New Roman" w:eastAsia="Times New Roman" w:cs="Times New Roman"/>
                <w:b/>
                <w:bCs/>
                <w:sz w:val="20"/>
                <w:szCs w:val="20"/>
              </w:rPr>
              <w:t xml:space="preserve">Resolution-resilient contract </w:t>
            </w:r>
          </w:p>
          <w:p w:rsidRPr="00D43D39" w:rsidR="00DE5943" w:rsidP="00353203" w:rsidRDefault="00DE5943" w14:paraId="44ABCDF8"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Report one of the following values:</w:t>
            </w:r>
          </w:p>
          <w:p w:rsidRPr="00D43D39" w:rsidR="00DE5943" w:rsidP="00353203" w:rsidRDefault="00DE5943" w14:paraId="0E0987E0"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‘Y’ – if the reporting entity has assessed the contract as resolution-resilient</w:t>
            </w:r>
            <w:r w:rsidRPr="005F5507">
              <w:rPr>
                <w:rStyle w:val="FootnoteReference"/>
                <w:rFonts w:ascii="Times New Roman" w:hAnsi="Times New Roman" w:eastAsia="Times New Roman" w:cs="Times New Roman"/>
              </w:rPr>
              <w:footnoteReference w:id="29"/>
            </w:r>
            <w:r w:rsidRPr="00D43D39">
              <w:rPr>
                <w:rFonts w:ascii="Times New Roman" w:hAnsi="Times New Roman" w:eastAsia="Times New Roman" w:cs="Times New Roman"/>
                <w:sz w:val="20"/>
                <w:szCs w:val="20"/>
              </w:rPr>
              <w:t xml:space="preserve">. </w:t>
            </w:r>
          </w:p>
          <w:p w:rsidRPr="00D43D39" w:rsidR="00DE5943" w:rsidP="00353203" w:rsidRDefault="00DE5943" w14:paraId="1EAE5B9E"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‘N’ – if the reporting entity has assessed the contract as not resolution-resilient.</w:t>
            </w:r>
          </w:p>
          <w:p w:rsidRPr="00D43D39" w:rsidR="00DE5943" w:rsidP="00353203" w:rsidRDefault="00DE5943" w14:paraId="21FD7B91"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‘Not assessed’ – if the information is not available.</w:t>
            </w:r>
          </w:p>
          <w:p w:rsidRPr="00D43D39" w:rsidR="00DE5943" w:rsidP="00353203" w:rsidRDefault="00DE5943" w14:paraId="147A21E0" w14:textId="77777777">
            <w:pPr>
              <w:pStyle w:val="TableParagraph"/>
              <w:spacing w:before="108"/>
              <w:ind w:left="85"/>
              <w:jc w:val="both"/>
              <w:rPr>
                <w:rFonts w:ascii="Times New Roman" w:hAnsi="Times New Roman" w:eastAsia="Times New Roman" w:cs="Times New Roman"/>
                <w:b/>
                <w:bCs/>
                <w:i/>
                <w:iCs/>
                <w:sz w:val="20"/>
                <w:szCs w:val="20"/>
                <w:u w:val="single"/>
              </w:rPr>
            </w:pPr>
            <w:r w:rsidRPr="00D43D39">
              <w:rPr>
                <w:rFonts w:ascii="Times New Roman" w:hAnsi="Times New Roman" w:eastAsia="Times New Roman" w:cs="Times New Roman"/>
                <w:sz w:val="20"/>
                <w:szCs w:val="20"/>
              </w:rPr>
              <w:t xml:space="preserve">Only report for intermediaries. Report ‘Y’ for all contracts under EEA law.  </w:t>
            </w:r>
          </w:p>
        </w:tc>
      </w:tr>
      <w:tr w:rsidRPr="00D43D39" w:rsidR="00DE5943" w:rsidTr="00353203" w14:paraId="66CDDADC"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37A84A9C" w14:textId="77777777">
            <w:pPr>
              <w:rPr>
                <w:rFonts w:ascii="Times New Roman" w:hAnsi="Times New Roman" w:cs="Times New Roman"/>
                <w:sz w:val="20"/>
                <w:szCs w:val="20"/>
              </w:rPr>
            </w:pPr>
            <w:r w:rsidRPr="00D43D39">
              <w:rPr>
                <w:rFonts w:ascii="Times New Roman" w:hAnsi="Times New Roman" w:eastAsia="Times New Roman" w:cs="Times New Roman"/>
                <w:sz w:val="20"/>
                <w:szCs w:val="20"/>
              </w:rPr>
              <w:t>0150-0200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4E430223"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Currencies relevant for reporting entity</w:t>
            </w:r>
          </w:p>
          <w:p w:rsidRPr="00D43D39" w:rsidR="00DE5943" w:rsidP="00353203" w:rsidRDefault="00DE5943" w14:paraId="7BB5CCC8" w14:textId="0FB8405D">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Currencies in which transactions of the reporting entity are accepted and settled in the system. Only currencies that account for at least 5% of total operations of the reporting institution with the FMI/intermediary </w:t>
            </w:r>
            <w:r w:rsidR="00B009B9">
              <w:rPr>
                <w:rFonts w:ascii="Times New Roman" w:hAnsi="Times New Roman" w:eastAsia="Times New Roman" w:cs="Times New Roman"/>
                <w:sz w:val="20"/>
                <w:szCs w:val="20"/>
              </w:rPr>
              <w:t>are to</w:t>
            </w:r>
            <w:r w:rsidRPr="00D43D39">
              <w:rPr>
                <w:rFonts w:ascii="Times New Roman" w:hAnsi="Times New Roman" w:eastAsia="Times New Roman" w:cs="Times New Roman"/>
                <w:sz w:val="20"/>
                <w:szCs w:val="20"/>
              </w:rPr>
              <w:t xml:space="preserve"> be reported.</w:t>
            </w:r>
          </w:p>
          <w:p w:rsidRPr="00D43D39" w:rsidR="00DE5943" w:rsidP="00353203" w:rsidRDefault="00DE5943" w14:paraId="087E0D38"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Col. 150-200 are not mutually exclusive. For ‘other currencies’ (column 0170): ISO 4217 - 3 letter code of the currency(ies).</w:t>
            </w:r>
          </w:p>
        </w:tc>
      </w:tr>
      <w:tr w:rsidRPr="00D43D39" w:rsidR="00DE5943" w:rsidTr="00353203" w14:paraId="08D11A98"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025208A3" w14:textId="77777777">
            <w:pPr>
              <w:rPr>
                <w:rFonts w:ascii="Times New Roman" w:hAnsi="Times New Roman" w:cs="Times New Roman"/>
                <w:sz w:val="20"/>
                <w:szCs w:val="20"/>
              </w:rPr>
            </w:pPr>
            <w:r w:rsidRPr="00D43D39">
              <w:rPr>
                <w:rFonts w:ascii="Times New Roman" w:hAnsi="Times New Roman" w:eastAsia="Times New Roman" w:cs="Times New Roman"/>
                <w:sz w:val="20"/>
                <w:szCs w:val="20"/>
              </w:rPr>
              <w:t>0210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2021F91C"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Services provided to FMI / intermediary</w:t>
            </w:r>
          </w:p>
          <w:p w:rsidRPr="00D43D39" w:rsidR="00DE5943" w:rsidP="00353203" w:rsidRDefault="00DE5943" w14:paraId="525E5AE0"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Only report when the user provides services to the FMI/intermediary such as  price provider, liquidity provider, cash settlement (specify currency), custody, indirect access to (foreign) CSDs, investment counterparty, other. </w:t>
            </w:r>
          </w:p>
        </w:tc>
      </w:tr>
      <w:tr w:rsidRPr="00D43D39" w:rsidR="00DE5943" w:rsidTr="00353203" w14:paraId="7830D7C2"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58F5FD2D"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0220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6FFE9DE2"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Service provided by FMI/intermediary</w:t>
            </w:r>
          </w:p>
          <w:p w:rsidRPr="00D43D39" w:rsidR="00DE5943" w:rsidP="00353203" w:rsidRDefault="00DE5943" w14:paraId="15FBCE95"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Services that the FMI/intermediary provides to the reporting entity. Report if 0040 is ‘NA’.</w:t>
            </w:r>
          </w:p>
        </w:tc>
      </w:tr>
      <w:tr w:rsidRPr="00D43D39" w:rsidR="00DE5943" w:rsidTr="00353203" w14:paraId="45C337D0"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04D21F12" w14:textId="77777777">
            <w:pPr>
              <w:rPr>
                <w:rFonts w:ascii="Times New Roman" w:hAnsi="Times New Roman" w:cs="Times New Roman"/>
                <w:sz w:val="20"/>
                <w:szCs w:val="20"/>
              </w:rPr>
            </w:pPr>
            <w:r w:rsidRPr="00D43D39">
              <w:rPr>
                <w:rFonts w:ascii="Times New Roman" w:hAnsi="Times New Roman" w:eastAsia="Times New Roman" w:cs="Times New Roman"/>
                <w:i/>
                <w:iCs/>
                <w:sz w:val="20"/>
                <w:szCs w:val="20"/>
              </w:rPr>
              <w:t>0230-0250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0BFEB71B"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b/>
                <w:i/>
                <w:iCs/>
                <w:sz w:val="20"/>
                <w:szCs w:val="20"/>
              </w:rPr>
              <w:t>Service providers</w:t>
            </w:r>
          </w:p>
        </w:tc>
      </w:tr>
      <w:tr w:rsidRPr="00D43D39" w:rsidR="00DE5943" w:rsidTr="00353203" w14:paraId="2358C68C"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6D40F875" w14:textId="77777777">
            <w:pPr>
              <w:rPr>
                <w:rFonts w:ascii="Times New Roman" w:hAnsi="Times New Roman" w:cs="Times New Roman"/>
                <w:sz w:val="20"/>
                <w:szCs w:val="20"/>
              </w:rPr>
            </w:pPr>
            <w:r w:rsidRPr="00D43D39">
              <w:rPr>
                <w:rFonts w:ascii="Times New Roman" w:hAnsi="Times New Roman" w:eastAsia="Times New Roman" w:cs="Times New Roman"/>
                <w:sz w:val="20"/>
                <w:szCs w:val="20"/>
              </w:rPr>
              <w:t>0230 – 0250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70888ECC"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Communication service providers</w:t>
            </w:r>
          </w:p>
          <w:p w:rsidRPr="00D43D39" w:rsidR="00DE5943" w:rsidP="00353203" w:rsidRDefault="00DE5943" w14:paraId="41DB1056"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Providers of communication services used by the institution to access the FMI. Columns 230-250 are not mutually exclusive. </w:t>
            </w:r>
          </w:p>
          <w:p w:rsidRPr="00D43D39" w:rsidR="00DE5943" w:rsidP="00353203" w:rsidRDefault="00DE5943" w14:paraId="0C0E8032"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Under ‘other communication service providers’: commercial name of the provider.</w:t>
            </w:r>
          </w:p>
        </w:tc>
      </w:tr>
      <w:tr w:rsidRPr="00D43D39" w:rsidR="00DE5943" w:rsidTr="00353203" w14:paraId="04083C61"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1FC5AE2C" w14:textId="77777777">
            <w:pPr>
              <w:rPr>
                <w:rFonts w:ascii="Times New Roman" w:hAnsi="Times New Roman" w:cs="Times New Roman"/>
                <w:sz w:val="20"/>
                <w:szCs w:val="20"/>
              </w:rPr>
            </w:pPr>
            <w:r w:rsidRPr="00D43D39">
              <w:rPr>
                <w:rFonts w:ascii="Times New Roman" w:hAnsi="Times New Roman" w:eastAsia="Times New Roman" w:cs="Times New Roman"/>
                <w:i/>
                <w:iCs/>
                <w:sz w:val="20"/>
                <w:szCs w:val="20"/>
              </w:rPr>
              <w:t>0260-0270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7DB78222"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b/>
                <w:i/>
                <w:iCs/>
                <w:sz w:val="20"/>
                <w:szCs w:val="20"/>
              </w:rPr>
              <w:t>Other Service providers enabling access to FMI</w:t>
            </w:r>
          </w:p>
        </w:tc>
      </w:tr>
      <w:tr w:rsidRPr="00D43D39" w:rsidR="00DE5943" w:rsidTr="00353203" w14:paraId="066A219D"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4B01099D" w14:textId="77777777">
            <w:pPr>
              <w:rPr>
                <w:rFonts w:ascii="Times New Roman" w:hAnsi="Times New Roman" w:cs="Times New Roman"/>
                <w:sz w:val="20"/>
                <w:szCs w:val="20"/>
              </w:rPr>
            </w:pPr>
            <w:r w:rsidRPr="00D43D39">
              <w:rPr>
                <w:rFonts w:ascii="Times New Roman" w:hAnsi="Times New Roman" w:eastAsia="Times New Roman" w:cs="Times New Roman"/>
                <w:sz w:val="20"/>
                <w:szCs w:val="20"/>
              </w:rPr>
              <w:t>0260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01DAA49B" w14:textId="77777777">
            <w:pPr>
              <w:pStyle w:val="TableParagraph"/>
              <w:spacing w:before="108"/>
              <w:ind w:left="85"/>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 xml:space="preserve">Name of additional service providers </w:t>
            </w:r>
          </w:p>
          <w:p w:rsidRPr="00D43D39" w:rsidR="00DE5943" w:rsidP="00353203" w:rsidRDefault="00DE5943" w14:paraId="3BE9763F"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 xml:space="preserve">Providers other than the intermediary that which are strictly necessary to the user, if applicable: settlement bank, cash correspondent/nostro agent, liquidity provider.  </w:t>
            </w:r>
            <w:r w:rsidRPr="00D43D39">
              <w:rPr>
                <w:rFonts w:ascii="Times New Roman" w:hAnsi="Times New Roman" w:eastAsia="Times New Roman" w:cs="Times New Roman"/>
                <w:sz w:val="20"/>
                <w:szCs w:val="20"/>
              </w:rPr>
              <w:br/>
            </w:r>
            <w:r w:rsidRPr="00D43D39">
              <w:rPr>
                <w:rFonts w:ascii="Times New Roman" w:hAnsi="Times New Roman" w:eastAsia="Times New Roman" w:cs="Times New Roman"/>
                <w:sz w:val="20"/>
                <w:szCs w:val="20"/>
              </w:rPr>
              <w:t>Commercial name of the providers.</w:t>
            </w:r>
          </w:p>
        </w:tc>
      </w:tr>
      <w:tr w:rsidRPr="00D43D39" w:rsidR="00DE5943" w:rsidTr="00353203" w14:paraId="7676A6BE" w14:textId="77777777">
        <w:tc>
          <w:tcPr>
            <w:tcW w:w="1183" w:type="dxa"/>
            <w:tcBorders>
              <w:top w:val="single" w:color="auto" w:sz="8" w:space="0"/>
              <w:bottom w:val="single" w:color="auto" w:sz="8" w:space="0"/>
              <w:right w:val="single" w:color="auto" w:sz="8" w:space="0"/>
            </w:tcBorders>
            <w:vAlign w:val="center"/>
          </w:tcPr>
          <w:p w:rsidRPr="00D43D39" w:rsidR="00DE5943" w:rsidP="00353203" w:rsidRDefault="00DE5943" w14:paraId="30983C88"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0270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5B570598"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 xml:space="preserve">Additional services </w:t>
            </w:r>
          </w:p>
          <w:p w:rsidRPr="00D43D39" w:rsidR="00DE5943" w:rsidP="00353203" w:rsidRDefault="00DE5943" w14:paraId="347E9068"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 xml:space="preserve">Services by providers reported in 0260. </w:t>
            </w:r>
          </w:p>
        </w:tc>
      </w:tr>
      <w:tr w:rsidRPr="00D43D39" w:rsidR="00DE5943" w:rsidTr="00353203" w14:paraId="35C839DE" w14:textId="77777777">
        <w:tc>
          <w:tcPr>
            <w:tcW w:w="1183" w:type="dxa"/>
            <w:tcBorders>
              <w:top w:val="single" w:color="auto" w:sz="8" w:space="0"/>
              <w:bottom w:val="single" w:color="auto" w:sz="8" w:space="0"/>
              <w:right w:val="single" w:color="auto" w:sz="8" w:space="0"/>
            </w:tcBorders>
            <w:vAlign w:val="center"/>
          </w:tcPr>
          <w:p w:rsidRPr="005F5507" w:rsidR="00DE5943" w:rsidP="00353203" w:rsidRDefault="00DE5943" w14:paraId="40E7B35F" w14:textId="77777777">
            <w:pPr>
              <w:rPr>
                <w:rFonts w:ascii="Times New Roman" w:hAnsi="Times New Roman" w:cs="Times New Roman"/>
                <w:sz w:val="20"/>
                <w:szCs w:val="20"/>
              </w:rPr>
            </w:pPr>
            <w:r w:rsidRPr="00D43D39">
              <w:rPr>
                <w:rFonts w:ascii="Times New Roman" w:hAnsi="Times New Roman" w:eastAsia="Times New Roman" w:cs="Times New Roman"/>
                <w:sz w:val="20"/>
                <w:szCs w:val="20"/>
              </w:rPr>
              <w:t>0280</w:t>
            </w:r>
          </w:p>
        </w:tc>
        <w:tc>
          <w:tcPr>
            <w:tcW w:w="7832" w:type="dxa"/>
            <w:tcBorders>
              <w:top w:val="single" w:color="auto" w:sz="8" w:space="0"/>
              <w:left w:val="single" w:color="auto" w:sz="8" w:space="0"/>
              <w:bottom w:val="single" w:color="auto" w:sz="8" w:space="0"/>
            </w:tcBorders>
            <w:vAlign w:val="bottom"/>
          </w:tcPr>
          <w:p w:rsidRPr="00D43D39" w:rsidR="00DE5943" w:rsidP="00353203" w:rsidRDefault="00DE5943" w14:paraId="13D9102B"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Point of contact at FMI / intermediary</w:t>
            </w:r>
          </w:p>
          <w:p w:rsidRPr="00D43D39" w:rsidR="00DE5943" w:rsidP="00353203" w:rsidRDefault="00DE5943" w14:paraId="094DEE22"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Point of contact at the FMI in case of resolution of the reporting entity. Report:</w:t>
            </w:r>
          </w:p>
          <w:p w:rsidRPr="00D43D39" w:rsidR="00DE5943" w:rsidP="00353203" w:rsidRDefault="00DE5943" w14:paraId="0DB53DC9" w14:textId="77777777">
            <w:pPr>
              <w:pStyle w:val="TableParagraph"/>
              <w:numPr>
                <w:ilvl w:val="0"/>
                <w:numId w:val="181"/>
              </w:numPr>
              <w:ind w:left="799" w:hanging="357"/>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Name</w:t>
            </w:r>
          </w:p>
          <w:p w:rsidRPr="00D43D39" w:rsidR="00DE5943" w:rsidP="00353203" w:rsidRDefault="00DE5943" w14:paraId="7D0FFAAB" w14:textId="77777777">
            <w:pPr>
              <w:pStyle w:val="TableParagraph"/>
              <w:numPr>
                <w:ilvl w:val="0"/>
                <w:numId w:val="181"/>
              </w:numPr>
              <w:ind w:left="799" w:hanging="357"/>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Job title</w:t>
            </w:r>
          </w:p>
          <w:p w:rsidRPr="00D43D39" w:rsidR="00DE5943" w:rsidP="00353203" w:rsidRDefault="00DE5943" w14:paraId="69106A3B"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E-mail address</w:t>
            </w:r>
          </w:p>
        </w:tc>
      </w:tr>
    </w:tbl>
    <w:p w:rsidRPr="005F5507" w:rsidR="00DE5943" w:rsidP="00DE5943" w:rsidRDefault="00DE5943" w14:paraId="5D60CAB8" w14:textId="77777777">
      <w:pPr>
        <w:rPr>
          <w:rFonts w:ascii="Times New Roman" w:hAnsi="Times New Roman" w:cs="Times New Roman"/>
        </w:rPr>
      </w:pPr>
      <w:r w:rsidRPr="005F5507">
        <w:rPr>
          <w:rFonts w:ascii="Times New Roman" w:hAnsi="Times New Roman" w:cs="Times New Roman"/>
        </w:rPr>
        <w:br/>
      </w:r>
      <w:r w:rsidRPr="005F5507">
        <w:rPr>
          <w:rFonts w:ascii="Times New Roman" w:hAnsi="Times New Roman" w:cs="Times New Roman"/>
        </w:rPr>
        <w:br/>
      </w:r>
    </w:p>
    <w:p w:rsidRPr="00D43D39" w:rsidR="00DE5943" w:rsidP="00DE5943" w:rsidRDefault="00DE5943" w14:paraId="654DE336" w14:textId="77777777">
      <w:pPr>
        <w:spacing w:line="257" w:lineRule="auto"/>
        <w:jc w:val="both"/>
        <w:rPr>
          <w:rFonts w:ascii="Times New Roman" w:hAnsi="Times New Roman" w:eastAsia="Verdana" w:cs="Times New Roman"/>
          <w:sz w:val="20"/>
          <w:szCs w:val="20"/>
        </w:rPr>
      </w:pPr>
      <w:hyperlink w:history="1" r:id="rId13">
        <w:r w:rsidRPr="00D43D39">
          <w:rPr>
            <w:rStyle w:val="Hyperlink"/>
            <w:rFonts w:ascii="Times New Roman" w:hAnsi="Times New Roman" w:eastAsia="Verdana" w:cs="Times New Roman"/>
            <w:sz w:val="20"/>
            <w:szCs w:val="20"/>
            <w:vertAlign w:val="superscript"/>
          </w:rPr>
          <w:t>[1]</w:t>
        </w:r>
      </w:hyperlink>
      <w:r w:rsidRPr="00D43D39">
        <w:rPr>
          <w:rFonts w:ascii="Times New Roman" w:hAnsi="Times New Roman" w:eastAsia="Verdana" w:cs="Times New Roman"/>
          <w:sz w:val="20"/>
          <w:szCs w:val="20"/>
        </w:rPr>
        <w:t xml:space="preserve"> Such as the ECB Monetary Financial Institutions unique IDentifier (MFI ID) of the entity for use in RIAD.</w:t>
      </w:r>
    </w:p>
    <w:p w:rsidRPr="00D43D39" w:rsidR="00DE5943" w:rsidP="00DE5943" w:rsidRDefault="00DE5943" w14:paraId="78127DCF" w14:textId="77777777">
      <w:pPr>
        <w:spacing w:line="257" w:lineRule="auto"/>
        <w:jc w:val="both"/>
        <w:rPr>
          <w:rFonts w:ascii="Times New Roman" w:hAnsi="Times New Roman" w:eastAsia="Verdana" w:cs="Times New Roman"/>
          <w:sz w:val="20"/>
          <w:szCs w:val="20"/>
        </w:rPr>
      </w:pPr>
      <w:hyperlink w:history="1" r:id="rId14">
        <w:r w:rsidRPr="00D43D39">
          <w:rPr>
            <w:rStyle w:val="Hyperlink"/>
            <w:rFonts w:ascii="Times New Roman" w:hAnsi="Times New Roman" w:eastAsia="Verdana" w:cs="Times New Roman"/>
            <w:sz w:val="20"/>
            <w:szCs w:val="20"/>
            <w:vertAlign w:val="superscript"/>
          </w:rPr>
          <w:t>[2]</w:t>
        </w:r>
      </w:hyperlink>
      <w:r w:rsidRPr="00D43D39">
        <w:rPr>
          <w:rFonts w:ascii="Times New Roman" w:hAnsi="Times New Roman" w:eastAsia="Verdana" w:cs="Times New Roman"/>
          <w:sz w:val="20"/>
          <w:szCs w:val="20"/>
        </w:rPr>
        <w:t xml:space="preserve"> ECB Glossary of terms related to payment, clearing and settlement systems, December 2009.</w:t>
      </w:r>
    </w:p>
    <w:p w:rsidRPr="00D43D39" w:rsidR="00DE5943" w:rsidP="00DE5943" w:rsidRDefault="00DE5943" w14:paraId="78715D51" w14:textId="77777777">
      <w:pPr>
        <w:spacing w:line="257" w:lineRule="auto"/>
        <w:jc w:val="both"/>
        <w:rPr>
          <w:rFonts w:ascii="Times New Roman" w:hAnsi="Times New Roman" w:eastAsia="Verdana" w:cs="Times New Roman"/>
          <w:sz w:val="20"/>
          <w:szCs w:val="20"/>
        </w:rPr>
      </w:pPr>
      <w:hyperlink w:history="1" r:id="rId15">
        <w:r w:rsidRPr="00D43D39">
          <w:rPr>
            <w:rStyle w:val="Hyperlink"/>
            <w:rFonts w:ascii="Times New Roman" w:hAnsi="Times New Roman" w:eastAsia="Verdana" w:cs="Times New Roman"/>
            <w:sz w:val="20"/>
            <w:szCs w:val="20"/>
            <w:vertAlign w:val="superscript"/>
          </w:rPr>
          <w:t>[3]</w:t>
        </w:r>
      </w:hyperlink>
      <w:r w:rsidRPr="00D43D39">
        <w:rPr>
          <w:rFonts w:ascii="Times New Roman" w:hAnsi="Times New Roman" w:eastAsia="Verdana" w:cs="Times New Roman"/>
          <w:sz w:val="20"/>
          <w:szCs w:val="20"/>
        </w:rPr>
        <w:t xml:space="preserve"> Ibid.</w:t>
      </w:r>
    </w:p>
    <w:p w:rsidRPr="005F5507" w:rsidR="00DE5943" w:rsidP="00DE5943" w:rsidRDefault="00DE5943" w14:paraId="3015D4A7" w14:textId="77777777">
      <w:pPr>
        <w:spacing w:line="257" w:lineRule="auto"/>
        <w:jc w:val="both"/>
        <w:rPr>
          <w:rFonts w:ascii="Times New Roman" w:hAnsi="Times New Roman" w:cs="Times New Roman"/>
        </w:rPr>
      </w:pPr>
      <w:hyperlink w:history="1" r:id="rId16">
        <w:r w:rsidRPr="00D43D39">
          <w:rPr>
            <w:rStyle w:val="Hyperlink"/>
            <w:rFonts w:ascii="Times New Roman" w:hAnsi="Times New Roman" w:eastAsia="Verdana" w:cs="Times New Roman"/>
            <w:sz w:val="20"/>
            <w:szCs w:val="20"/>
            <w:vertAlign w:val="superscript"/>
          </w:rPr>
          <w:t>[4]</w:t>
        </w:r>
      </w:hyperlink>
      <w:r w:rsidRPr="00D43D39">
        <w:rPr>
          <w:rFonts w:ascii="Times New Roman" w:hAnsi="Times New Roman" w:eastAsia="Verdana" w:cs="Times New Roman"/>
          <w:sz w:val="20"/>
          <w:szCs w:val="20"/>
        </w:rPr>
        <w:t xml:space="preserve"> Such as the ECB Monetary Financial Institutions unique Identifier (MFI ID) of the entity for use in RIAD.</w:t>
      </w:r>
    </w:p>
    <w:p w:rsidRPr="005F5507" w:rsidR="00DE5943" w:rsidP="00DE5943" w:rsidRDefault="00DE5943" w14:paraId="2ACD6790" w14:textId="77777777">
      <w:pPr>
        <w:rPr>
          <w:rFonts w:ascii="Times New Roman" w:hAnsi="Times New Roman" w:cs="Times New Roman"/>
        </w:rPr>
      </w:pPr>
    </w:p>
    <w:p w:rsidRPr="005F5507" w:rsidR="00DE5943" w:rsidP="005F5507" w:rsidRDefault="00DE5943" w14:paraId="69FB092F" w14:textId="77777777">
      <w:pPr>
        <w:rPr>
          <w:rFonts w:ascii="Times New Roman" w:hAnsi="Times New Roman"/>
          <w:sz w:val="20"/>
          <w:szCs w:val="20"/>
          <w:u w:val="single"/>
        </w:rPr>
      </w:pPr>
    </w:p>
    <w:p w:rsidRPr="005F5507" w:rsidR="00DE5943" w:rsidP="00DE5943" w:rsidRDefault="00DE5943" w14:paraId="5D3F390A" w14:textId="271EDAEA">
      <w:pPr>
        <w:pStyle w:val="Instructionsberschrift2"/>
        <w:numPr>
          <w:ilvl w:val="1"/>
          <w:numId w:val="49"/>
        </w:numPr>
        <w:ind w:left="357" w:hanging="357"/>
        <w:rPr>
          <w:rFonts w:ascii="Times New Roman" w:hAnsi="Times New Roman" w:eastAsia="Calibri" w:cs="Times New Roman"/>
          <w:szCs w:val="20"/>
        </w:rPr>
      </w:pPr>
      <w:bookmarkStart w:name="_Toc172732250" w:id="126"/>
      <w:r w:rsidRPr="00D43D39">
        <w:rPr>
          <w:rFonts w:ascii="Times New Roman" w:hAnsi="Times New Roman" w:cs="Times New Roman"/>
        </w:rPr>
        <w:t>Z 09.02 – Mapping to Critical and Essential FMIs</w:t>
      </w:r>
      <w:r w:rsidR="00056E47">
        <w:rPr>
          <w:rFonts w:ascii="Times New Roman" w:hAnsi="Times New Roman" w:cs="Times New Roman"/>
        </w:rPr>
        <w:t xml:space="preserve"> (FMI 2)</w:t>
      </w:r>
      <w:bookmarkEnd w:id="126"/>
    </w:p>
    <w:p w:rsidRPr="00D43D39" w:rsidR="00DE5943" w:rsidP="00DE5943" w:rsidRDefault="00DE5943" w14:paraId="4C95FD80" w14:textId="77777777">
      <w:pPr>
        <w:pStyle w:val="Numberedtitlelevel3"/>
        <w:rPr>
          <w:rFonts w:ascii="Times New Roman" w:hAnsi="Times New Roman" w:cs="Times New Roman"/>
          <w:color w:val="000000" w:themeColor="text1"/>
          <w:sz w:val="20"/>
          <w:szCs w:val="20"/>
          <w:u w:val="single"/>
          <w:lang w:val="en-GB"/>
        </w:rPr>
      </w:pPr>
      <w:r w:rsidRPr="00D43D39">
        <w:rPr>
          <w:rFonts w:ascii="Times New Roman" w:hAnsi="Times New Roman" w:cs="Times New Roman"/>
          <w:color w:val="000000" w:themeColor="text1"/>
          <w:sz w:val="20"/>
          <w:szCs w:val="20"/>
          <w:u w:val="single"/>
          <w:lang w:val="en-GB"/>
        </w:rPr>
        <w:t>Instructions concerning specific positions</w:t>
      </w:r>
    </w:p>
    <w:p w:rsidRPr="00D43D39" w:rsidR="00DE5943" w:rsidP="005F5507" w:rsidRDefault="00DE5943" w14:paraId="312AF5C3" w14:textId="77777777">
      <w:pPr>
        <w:pStyle w:val="InstructionsText2"/>
        <w:numPr>
          <w:ilvl w:val="2"/>
          <w:numId w:val="209"/>
        </w:numPr>
        <w:spacing w:before="0"/>
        <w:ind w:left="1276"/>
        <w:rPr>
          <w:rFonts w:ascii="Times New Roman" w:hAnsi="Times New Roman" w:cs="Times New Roman" w:eastAsiaTheme="majorEastAsia"/>
          <w:sz w:val="20"/>
          <w:szCs w:val="20"/>
          <w:lang w:val="en-GB"/>
        </w:rPr>
      </w:pPr>
      <w:r w:rsidRPr="00D43D39">
        <w:rPr>
          <w:rFonts w:ascii="Times New Roman" w:hAnsi="Times New Roman" w:cs="Times New Roman" w:eastAsiaTheme="majorEastAsia"/>
          <w:sz w:val="20"/>
          <w:szCs w:val="20"/>
          <w:lang w:val="en-GB"/>
        </w:rPr>
        <w:t>Critical and essential FMI service providers are FMI services accessed either directly or indirectly, the discontinuation of which can present a serious impediment to, or prevent the performance of one or more critical functions or core business lines of the User.</w:t>
      </w:r>
    </w:p>
    <w:p w:rsidRPr="00D43D39" w:rsidR="00DE5943" w:rsidP="005F5507" w:rsidRDefault="00DE5943" w14:paraId="582317A6" w14:textId="77777777">
      <w:pPr>
        <w:pStyle w:val="ListParagraph"/>
        <w:numPr>
          <w:ilvl w:val="2"/>
          <w:numId w:val="209"/>
        </w:numPr>
        <w:ind w:left="1276"/>
        <w:rPr>
          <w:rFonts w:ascii="Times New Roman" w:hAnsi="Times New Roman" w:eastAsiaTheme="majorEastAsia"/>
          <w:sz w:val="20"/>
          <w:szCs w:val="20"/>
          <w:lang w:eastAsia="de-DE"/>
        </w:rPr>
      </w:pPr>
      <w:r w:rsidRPr="00D43D39">
        <w:rPr>
          <w:rFonts w:ascii="Times New Roman" w:hAnsi="Times New Roman" w:eastAsiaTheme="majorEastAsia"/>
          <w:sz w:val="20"/>
          <w:szCs w:val="20"/>
          <w:lang w:eastAsia="de-DE"/>
        </w:rPr>
        <w:t>Only report in this sheet those FMIs across all system types that the reporting entity considers critical or essential. Do not include any other FMI which is neither critical nor essential.</w:t>
      </w:r>
    </w:p>
    <w:p w:rsidRPr="00D43D39" w:rsidR="00DE5943" w:rsidP="005F5507" w:rsidRDefault="00DE5943" w14:paraId="554F2507" w14:textId="77777777">
      <w:pPr>
        <w:pStyle w:val="ListParagraph"/>
        <w:ind w:left="1276"/>
        <w:rPr>
          <w:rFonts w:ascii="Times New Roman" w:hAnsi="Times New Roman" w:eastAsiaTheme="majorEastAsia"/>
          <w:sz w:val="20"/>
          <w:szCs w:val="20"/>
          <w:lang w:eastAsia="de-DE"/>
        </w:rPr>
      </w:pPr>
    </w:p>
    <w:p w:rsidRPr="00D43D39" w:rsidR="00DE5943" w:rsidP="005F5507" w:rsidRDefault="00DE5943" w14:paraId="584C62B2" w14:textId="77777777">
      <w:pPr>
        <w:pStyle w:val="InstructionsText2"/>
        <w:numPr>
          <w:ilvl w:val="2"/>
          <w:numId w:val="209"/>
        </w:numPr>
        <w:spacing w:before="0"/>
        <w:ind w:left="1276"/>
        <w:rPr>
          <w:rFonts w:ascii="Times New Roman" w:hAnsi="Times New Roman" w:cs="Times New Roman" w:eastAsiaTheme="majorEastAsia"/>
          <w:sz w:val="20"/>
          <w:szCs w:val="20"/>
        </w:rPr>
      </w:pPr>
      <w:r w:rsidRPr="3BCFCA5C">
        <w:rPr>
          <w:rFonts w:ascii="Times New Roman" w:hAnsi="Times New Roman" w:cs="Times New Roman" w:eastAsiaTheme="majorEastAsia"/>
          <w:sz w:val="20"/>
          <w:szCs w:val="20"/>
        </w:rPr>
        <w:t xml:space="preserve">For the purposes of the designation of critical and essential FMIs, the possibility of simultaneous termination of participation shall be taken into account.  </w:t>
      </w:r>
    </w:p>
    <w:p w:rsidRPr="00D43D39" w:rsidR="00DE5943" w:rsidP="005F5507" w:rsidRDefault="00DE5943" w14:paraId="619D4DA5" w14:textId="77777777">
      <w:pPr>
        <w:pStyle w:val="Instructionsberschrift2"/>
        <w:ind w:left="1434"/>
        <w:rPr>
          <w:rFonts w:ascii="Times New Roman" w:hAnsi="Times New Roman" w:cs="Times New Roman"/>
        </w:rPr>
      </w:pPr>
    </w:p>
    <w:tbl>
      <w:tblPr>
        <w:tblW w:w="9015" w:type="dxa"/>
        <w:tblInd w:w="135" w:type="dxa"/>
        <w:tblLayout w:type="fixed"/>
        <w:tblLook w:val="04A0" w:firstRow="1" w:lastRow="0" w:firstColumn="1" w:lastColumn="0" w:noHBand="0" w:noVBand="1"/>
      </w:tblPr>
      <w:tblGrid>
        <w:gridCol w:w="1183"/>
        <w:gridCol w:w="7832"/>
      </w:tblGrid>
      <w:tr w:rsidRPr="00D43D39" w:rsidR="00DE5943" w:rsidTr="005F5507" w14:paraId="7B48D087" w14:textId="77777777">
        <w:trPr>
          <w:tblHeader/>
        </w:trPr>
        <w:tc>
          <w:tcPr>
            <w:tcW w:w="1183" w:type="dxa"/>
            <w:tcBorders>
              <w:top w:val="single" w:color="1A171C" w:sz="8" w:space="0"/>
              <w:left w:val="nil"/>
              <w:bottom w:val="single" w:color="1A171C" w:sz="8" w:space="0"/>
              <w:right w:val="single" w:color="1A171C" w:sz="8" w:space="0"/>
            </w:tcBorders>
            <w:shd w:val="clear" w:color="auto" w:fill="D9D9D9" w:themeFill="background1" w:themeFillShade="D9"/>
          </w:tcPr>
          <w:p w:rsidRPr="00D43D39" w:rsidR="00DE5943" w:rsidP="00351B66" w:rsidRDefault="00DE5943" w14:paraId="6AB88AFB"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Columns </w:t>
            </w:r>
          </w:p>
        </w:tc>
        <w:tc>
          <w:tcPr>
            <w:tcW w:w="7832" w:type="dxa"/>
            <w:tcBorders>
              <w:top w:val="single" w:color="1A171C" w:sz="8" w:space="0"/>
              <w:left w:val="single" w:color="1A171C" w:sz="8" w:space="0"/>
              <w:bottom w:val="single" w:color="1A171C" w:sz="8" w:space="0"/>
              <w:right w:val="nil"/>
            </w:tcBorders>
            <w:shd w:val="clear" w:color="auto" w:fill="D9D9D9" w:themeFill="background1" w:themeFillShade="D9"/>
          </w:tcPr>
          <w:p w:rsidRPr="00D43D39" w:rsidR="00DE5943" w:rsidP="00351B66" w:rsidRDefault="00DE5943" w14:paraId="44B8A96F"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Instructions </w:t>
            </w:r>
          </w:p>
        </w:tc>
      </w:tr>
      <w:tr w:rsidRPr="00D43D39" w:rsidR="00DE5943" w:rsidTr="00351B66" w14:paraId="04314413" w14:textId="77777777">
        <w:tc>
          <w:tcPr>
            <w:tcW w:w="1183" w:type="dxa"/>
            <w:tcBorders>
              <w:top w:val="single" w:color="1A171C" w:sz="8" w:space="0"/>
              <w:bottom w:val="single" w:color="auto" w:sz="8" w:space="0"/>
              <w:right w:val="single" w:color="auto" w:sz="8" w:space="0"/>
            </w:tcBorders>
            <w:vAlign w:val="center"/>
          </w:tcPr>
          <w:p w:rsidRPr="005F5507" w:rsidR="00DE5943" w:rsidP="00351B66" w:rsidRDefault="00DE5943" w14:paraId="3374B6A4" w14:textId="77777777">
            <w:pPr>
              <w:rPr>
                <w:rFonts w:ascii="Times New Roman" w:hAnsi="Times New Roman" w:cs="Times New Roman"/>
              </w:rPr>
            </w:pPr>
            <w:r w:rsidRPr="00D43D39">
              <w:rPr>
                <w:rFonts w:ascii="Times New Roman" w:hAnsi="Times New Roman" w:eastAsia="Times New Roman" w:cs="Times New Roman"/>
                <w:sz w:val="20"/>
                <w:szCs w:val="20"/>
              </w:rPr>
              <w:t>0010</w:t>
            </w:r>
          </w:p>
        </w:tc>
        <w:tc>
          <w:tcPr>
            <w:tcW w:w="7832" w:type="dxa"/>
            <w:tcBorders>
              <w:top w:val="single" w:color="1A171C" w:sz="8" w:space="0"/>
              <w:left w:val="single" w:color="auto" w:sz="8" w:space="0"/>
              <w:bottom w:val="single" w:color="auto" w:sz="8" w:space="0"/>
            </w:tcBorders>
            <w:vAlign w:val="bottom"/>
          </w:tcPr>
          <w:p w:rsidRPr="00D43D39" w:rsidR="00DE5943" w:rsidP="00351B66" w:rsidRDefault="00DE5943" w14:paraId="1F8F8520"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b/>
                <w:bCs/>
                <w:sz w:val="20"/>
                <w:szCs w:val="20"/>
              </w:rPr>
              <w:t>ID representing combination of user, FMI, system type and intermediary</w:t>
            </w:r>
          </w:p>
          <w:p w:rsidRPr="00D43D39" w:rsidR="00DE5943" w:rsidP="00351B66" w:rsidRDefault="00DE5943" w14:paraId="5FF2E468"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Cfr Z09.01 column 0010.</w:t>
            </w:r>
          </w:p>
        </w:tc>
      </w:tr>
      <w:tr w:rsidRPr="00D43D39" w:rsidR="00DE5943" w:rsidTr="00351B66" w14:paraId="2BCEA700" w14:textId="77777777">
        <w:tc>
          <w:tcPr>
            <w:tcW w:w="1183" w:type="dxa"/>
            <w:tcBorders>
              <w:top w:val="single" w:color="auto" w:sz="8" w:space="0"/>
              <w:bottom w:val="single" w:color="auto" w:sz="8" w:space="0"/>
              <w:right w:val="single" w:color="auto" w:sz="8" w:space="0"/>
            </w:tcBorders>
            <w:vAlign w:val="center"/>
          </w:tcPr>
          <w:p w:rsidRPr="005F5507" w:rsidR="00DE5943" w:rsidP="00351B66" w:rsidRDefault="00DE5943" w14:paraId="710D3BA8" w14:textId="77777777">
            <w:pPr>
              <w:rPr>
                <w:rFonts w:ascii="Times New Roman" w:hAnsi="Times New Roman" w:cs="Times New Roman"/>
              </w:rPr>
            </w:pPr>
            <w:r w:rsidRPr="00D43D39">
              <w:rPr>
                <w:rFonts w:ascii="Times New Roman" w:hAnsi="Times New Roman" w:eastAsia="Times New Roman" w:cs="Times New Roman"/>
                <w:i/>
                <w:iCs/>
                <w:sz w:val="20"/>
                <w:szCs w:val="20"/>
              </w:rPr>
              <w:t>0020-0040</w:t>
            </w:r>
          </w:p>
        </w:tc>
        <w:tc>
          <w:tcPr>
            <w:tcW w:w="7832" w:type="dxa"/>
            <w:tcBorders>
              <w:top w:val="single" w:color="auto" w:sz="8" w:space="0"/>
              <w:left w:val="single" w:color="auto" w:sz="8" w:space="0"/>
              <w:bottom w:val="single" w:color="auto" w:sz="8" w:space="0"/>
            </w:tcBorders>
            <w:vAlign w:val="bottom"/>
          </w:tcPr>
          <w:p w:rsidRPr="00D43D39" w:rsidR="00DE5943" w:rsidP="00351B66" w:rsidRDefault="00DE5943" w14:paraId="23B6830F" w14:textId="77777777">
            <w:pPr>
              <w:pStyle w:val="TableParagraph"/>
              <w:spacing w:before="108"/>
              <w:ind w:left="85"/>
              <w:jc w:val="both"/>
              <w:rPr>
                <w:rFonts w:ascii="Times New Roman" w:hAnsi="Times New Roman" w:eastAsia="Times New Roman" w:cs="Times New Roman"/>
                <w:b/>
                <w:bCs/>
                <w:i/>
                <w:iCs/>
                <w:sz w:val="20"/>
                <w:szCs w:val="20"/>
              </w:rPr>
            </w:pPr>
            <w:r w:rsidRPr="00D43D39">
              <w:rPr>
                <w:rFonts w:ascii="Times New Roman" w:hAnsi="Times New Roman" w:eastAsia="Times New Roman" w:cs="Times New Roman"/>
                <w:b/>
                <w:bCs/>
                <w:i/>
                <w:iCs/>
                <w:sz w:val="20"/>
                <w:szCs w:val="20"/>
              </w:rPr>
              <w:t>Critical FMIs</w:t>
            </w:r>
          </w:p>
        </w:tc>
      </w:tr>
      <w:tr w:rsidRPr="00D43D39" w:rsidR="00DE5943" w:rsidTr="00351B66" w14:paraId="52A34C78" w14:textId="77777777">
        <w:tc>
          <w:tcPr>
            <w:tcW w:w="1183" w:type="dxa"/>
            <w:tcBorders>
              <w:top w:val="single" w:color="auto" w:sz="8" w:space="0"/>
              <w:bottom w:val="single" w:color="auto" w:sz="8" w:space="0"/>
              <w:right w:val="single" w:color="auto" w:sz="8" w:space="0"/>
            </w:tcBorders>
            <w:vAlign w:val="center"/>
          </w:tcPr>
          <w:p w:rsidRPr="00D43D39" w:rsidR="00DE5943" w:rsidP="00351B66" w:rsidRDefault="00DE5943" w14:paraId="31E96898"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0020</w:t>
            </w:r>
          </w:p>
        </w:tc>
        <w:tc>
          <w:tcPr>
            <w:tcW w:w="7832" w:type="dxa"/>
            <w:tcBorders>
              <w:top w:val="single" w:color="auto" w:sz="8" w:space="0"/>
              <w:left w:val="single" w:color="auto" w:sz="8" w:space="0"/>
              <w:bottom w:val="single" w:color="auto" w:sz="8" w:space="0"/>
            </w:tcBorders>
            <w:vAlign w:val="bottom"/>
          </w:tcPr>
          <w:p w:rsidRPr="00D43D39" w:rsidR="00DE5943" w:rsidP="00351B66" w:rsidRDefault="00DE5943" w14:paraId="625E4E88"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b/>
                <w:bCs/>
                <w:sz w:val="20"/>
                <w:szCs w:val="20"/>
              </w:rPr>
              <w:t>Critical FMI: Y/N</w:t>
            </w:r>
          </w:p>
          <w:p w:rsidRPr="00D43D39" w:rsidR="00DE5943" w:rsidP="00351B66" w:rsidRDefault="00DE5943" w14:paraId="56F7A3E7" w14:textId="77777777">
            <w:pPr>
              <w:pStyle w:val="TableParagraph"/>
              <w:numPr>
                <w:ilvl w:val="0"/>
                <w:numId w:val="248"/>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‘Y’ if the FMI is critical</w:t>
            </w:r>
          </w:p>
          <w:p w:rsidRPr="00D43D39" w:rsidR="00DE5943" w:rsidP="00351B66" w:rsidRDefault="00DE5943" w14:paraId="7557AF5A" w14:textId="77777777">
            <w:pPr>
              <w:pStyle w:val="TableParagraph"/>
              <w:numPr>
                <w:ilvl w:val="0"/>
                <w:numId w:val="248"/>
              </w:numPr>
              <w:spacing w:before="108"/>
              <w:jc w:val="both"/>
              <w:rPr>
                <w:rFonts w:ascii="Times New Roman" w:hAnsi="Times New Roman" w:eastAsia="Times New Roman" w:cs="Times New Roman"/>
                <w:b/>
                <w:bCs/>
                <w:sz w:val="20"/>
                <w:szCs w:val="20"/>
              </w:rPr>
            </w:pPr>
            <w:r w:rsidRPr="00D43D39">
              <w:rPr>
                <w:rFonts w:ascii="Times New Roman" w:hAnsi="Times New Roman" w:eastAsia="Times New Roman" w:cs="Times New Roman"/>
                <w:sz w:val="20"/>
                <w:szCs w:val="20"/>
              </w:rPr>
              <w:t>‘N’ if the FMI is not critical</w:t>
            </w:r>
            <w:r w:rsidRPr="00D43D39">
              <w:rPr>
                <w:rFonts w:ascii="Times New Roman" w:hAnsi="Times New Roman" w:eastAsia="Times New Roman" w:cs="Times New Roman"/>
                <w:b/>
                <w:bCs/>
                <w:sz w:val="20"/>
                <w:szCs w:val="20"/>
              </w:rPr>
              <w:t xml:space="preserve"> </w:t>
            </w:r>
          </w:p>
          <w:p w:rsidRPr="00D43D39" w:rsidR="00DE5943" w:rsidP="00351B66" w:rsidRDefault="00DE5943" w14:paraId="3FEF191D"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Columns 0020 and 0050 are not mutually exclusive.</w:t>
            </w:r>
          </w:p>
        </w:tc>
      </w:tr>
      <w:tr w:rsidRPr="00D43D39" w:rsidR="00DE5943" w:rsidTr="00351B66" w14:paraId="2812692B" w14:textId="77777777">
        <w:tc>
          <w:tcPr>
            <w:tcW w:w="1183" w:type="dxa"/>
            <w:tcBorders>
              <w:top w:val="single" w:color="auto" w:sz="8" w:space="0"/>
              <w:bottom w:val="single" w:color="auto" w:sz="8" w:space="0"/>
              <w:right w:val="single" w:color="auto" w:sz="8" w:space="0"/>
            </w:tcBorders>
            <w:vAlign w:val="center"/>
          </w:tcPr>
          <w:p w:rsidRPr="005F5507" w:rsidR="00DE5943" w:rsidP="00351B66" w:rsidRDefault="00DE5943" w14:paraId="5DB976C0" w14:textId="77777777">
            <w:pPr>
              <w:rPr>
                <w:rFonts w:ascii="Times New Roman" w:hAnsi="Times New Roman" w:cs="Times New Roman"/>
              </w:rPr>
            </w:pPr>
            <w:r w:rsidRPr="00D43D39">
              <w:rPr>
                <w:rFonts w:ascii="Times New Roman" w:hAnsi="Times New Roman" w:eastAsia="Times New Roman" w:cs="Times New Roman"/>
                <w:sz w:val="20"/>
                <w:szCs w:val="20"/>
              </w:rPr>
              <w:t>0030</w:t>
            </w:r>
          </w:p>
        </w:tc>
        <w:tc>
          <w:tcPr>
            <w:tcW w:w="7832" w:type="dxa"/>
            <w:tcBorders>
              <w:top w:val="single" w:color="auto" w:sz="8" w:space="0"/>
              <w:left w:val="single" w:color="auto" w:sz="8" w:space="0"/>
              <w:bottom w:val="single" w:color="auto" w:sz="8" w:space="0"/>
            </w:tcBorders>
            <w:vAlign w:val="bottom"/>
          </w:tcPr>
          <w:p w:rsidRPr="00D43D39" w:rsidR="00DE5943" w:rsidP="00351B66" w:rsidRDefault="00DE5943" w14:paraId="2F0D97D1"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Country</w:t>
            </w:r>
          </w:p>
          <w:p w:rsidRPr="00D43D39" w:rsidR="00DE5943" w:rsidP="00351B66" w:rsidRDefault="00DE5943" w14:paraId="3785EE44"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Member state in which the critical function is provided, as </w:t>
            </w:r>
            <w:r w:rsidRPr="008C786C">
              <w:rPr>
                <w:rFonts w:ascii="Times New Roman" w:hAnsi="Times New Roman" w:eastAsia="Times New Roman" w:cs="Times New Roman"/>
                <w:sz w:val="20"/>
                <w:szCs w:val="20"/>
              </w:rPr>
              <w:t xml:space="preserve">reported in </w:t>
            </w:r>
            <w:r w:rsidRPr="005F5507">
              <w:rPr>
                <w:rFonts w:ascii="Times New Roman" w:hAnsi="Times New Roman" w:eastAsia="Times New Roman" w:cs="Times New Roman"/>
                <w:sz w:val="20"/>
                <w:szCs w:val="20"/>
              </w:rPr>
              <w:t xml:space="preserve">Z 07.01 </w:t>
            </w:r>
          </w:p>
        </w:tc>
      </w:tr>
      <w:tr w:rsidRPr="00D43D39" w:rsidR="00DE5943" w:rsidTr="00351B66" w14:paraId="79BB7EE0" w14:textId="77777777">
        <w:tc>
          <w:tcPr>
            <w:tcW w:w="1183" w:type="dxa"/>
            <w:tcBorders>
              <w:top w:val="single" w:color="auto" w:sz="8" w:space="0"/>
              <w:bottom w:val="single" w:color="auto" w:sz="8" w:space="0"/>
              <w:right w:val="single" w:color="auto" w:sz="8" w:space="0"/>
            </w:tcBorders>
            <w:vAlign w:val="center"/>
          </w:tcPr>
          <w:p w:rsidRPr="00D43D39" w:rsidR="00DE5943" w:rsidP="00351B66" w:rsidRDefault="00DE5943" w14:paraId="65594E84" w14:textId="77777777">
            <w:pPr>
              <w:rPr>
                <w:rFonts w:ascii="Times New Roman" w:hAnsi="Times New Roman" w:eastAsia="Times New Roman" w:cs="Times New Roman"/>
                <w:b/>
                <w:i/>
                <w:sz w:val="20"/>
                <w:szCs w:val="20"/>
              </w:rPr>
            </w:pPr>
            <w:r w:rsidRPr="00D43D39">
              <w:rPr>
                <w:rFonts w:ascii="Times New Roman" w:hAnsi="Times New Roman" w:eastAsia="Times New Roman" w:cs="Times New Roman"/>
                <w:sz w:val="20"/>
                <w:szCs w:val="20"/>
              </w:rPr>
              <w:t>0040</w:t>
            </w:r>
          </w:p>
        </w:tc>
        <w:tc>
          <w:tcPr>
            <w:tcW w:w="7832" w:type="dxa"/>
            <w:tcBorders>
              <w:top w:val="single" w:color="auto" w:sz="8" w:space="0"/>
              <w:left w:val="single" w:color="auto" w:sz="8" w:space="0"/>
              <w:bottom w:val="single" w:color="auto" w:sz="8" w:space="0"/>
            </w:tcBorders>
            <w:vAlign w:val="bottom"/>
          </w:tcPr>
          <w:p w:rsidRPr="00D43D39" w:rsidR="00DE5943" w:rsidP="00351B66" w:rsidRDefault="00DE5943" w14:paraId="2E260B20"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b/>
                <w:bCs/>
                <w:sz w:val="20"/>
                <w:szCs w:val="20"/>
              </w:rPr>
              <w:t>Critical function ID</w:t>
            </w:r>
          </w:p>
          <w:p w:rsidRPr="00D43D39" w:rsidR="00DE5943" w:rsidP="00351B66" w:rsidRDefault="00DE5943" w14:paraId="0485970E"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Critical function(s) performed by the entity, the performance of which would be impeded or prevented by the disruption of access to the FMI service provider.</w:t>
            </w:r>
          </w:p>
          <w:p w:rsidRPr="00D43D39" w:rsidR="00DE5943" w:rsidP="00351B66" w:rsidRDefault="00DE5943" w14:paraId="1400B20E" w14:textId="77777777">
            <w:pPr>
              <w:pStyle w:val="TableParagraph"/>
              <w:spacing w:before="108"/>
              <w:ind w:left="85"/>
              <w:jc w:val="both"/>
              <w:rPr>
                <w:rFonts w:ascii="Times New Roman" w:hAnsi="Times New Roman" w:eastAsia="Times New Roman" w:cs="Times New Roman"/>
                <w:b/>
                <w:bCs/>
                <w:i/>
                <w:iCs/>
                <w:sz w:val="20"/>
                <w:szCs w:val="20"/>
              </w:rPr>
            </w:pPr>
            <w:r w:rsidRPr="00D43D39">
              <w:rPr>
                <w:rFonts w:ascii="Times New Roman" w:hAnsi="Times New Roman" w:eastAsia="Times New Roman" w:cs="Times New Roman"/>
                <w:sz w:val="20"/>
                <w:szCs w:val="20"/>
              </w:rPr>
              <w:t xml:space="preserve">ID of the critical functions as </w:t>
            </w:r>
            <w:r w:rsidRPr="008C786C">
              <w:rPr>
                <w:rFonts w:ascii="Times New Roman" w:hAnsi="Times New Roman" w:eastAsia="Times New Roman" w:cs="Times New Roman"/>
                <w:sz w:val="20"/>
                <w:szCs w:val="20"/>
              </w:rPr>
              <w:t xml:space="preserve">reported in </w:t>
            </w:r>
            <w:r w:rsidRPr="005F5507">
              <w:rPr>
                <w:rFonts w:ascii="Times New Roman" w:hAnsi="Times New Roman" w:eastAsia="Times New Roman" w:cs="Times New Roman"/>
                <w:sz w:val="20"/>
                <w:szCs w:val="20"/>
              </w:rPr>
              <w:t>Z07.01</w:t>
            </w:r>
            <w:r w:rsidRPr="00D43D39" w:rsidDel="00FB425E">
              <w:rPr>
                <w:rFonts w:ascii="Times New Roman" w:hAnsi="Times New Roman" w:eastAsia="Times New Roman" w:cs="Times New Roman"/>
                <w:b/>
                <w:bCs/>
                <w:sz w:val="20"/>
                <w:szCs w:val="20"/>
              </w:rPr>
              <w:t xml:space="preserve"> </w:t>
            </w:r>
          </w:p>
        </w:tc>
      </w:tr>
      <w:tr w:rsidRPr="00D43D39" w:rsidR="00DE5943" w:rsidTr="00351B66" w14:paraId="1240B2CB" w14:textId="77777777">
        <w:tc>
          <w:tcPr>
            <w:tcW w:w="1183" w:type="dxa"/>
            <w:tcBorders>
              <w:top w:val="single" w:color="auto" w:sz="8" w:space="0"/>
              <w:bottom w:val="single" w:color="auto" w:sz="8" w:space="0"/>
              <w:right w:val="single" w:color="auto" w:sz="8" w:space="0"/>
            </w:tcBorders>
            <w:vAlign w:val="center"/>
          </w:tcPr>
          <w:p w:rsidRPr="00D43D39" w:rsidR="00DE5943" w:rsidP="00351B66" w:rsidRDefault="00DE5943" w14:paraId="28FF55A2"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0050-0060</w:t>
            </w:r>
          </w:p>
        </w:tc>
        <w:tc>
          <w:tcPr>
            <w:tcW w:w="7832" w:type="dxa"/>
            <w:tcBorders>
              <w:top w:val="single" w:color="auto" w:sz="8" w:space="0"/>
              <w:left w:val="single" w:color="auto" w:sz="8" w:space="0"/>
              <w:bottom w:val="single" w:color="auto" w:sz="8" w:space="0"/>
            </w:tcBorders>
            <w:vAlign w:val="bottom"/>
          </w:tcPr>
          <w:p w:rsidRPr="00D43D39" w:rsidR="00DE5943" w:rsidP="00351B66" w:rsidRDefault="00DE5943" w14:paraId="6684DDDF" w14:textId="77777777">
            <w:pPr>
              <w:pStyle w:val="Heading4"/>
              <w:numPr>
                <w:ilvl w:val="3"/>
                <w:numId w:val="0"/>
              </w:numPr>
              <w:ind w:left="360"/>
              <w:rPr>
                <w:rFonts w:ascii="Times New Roman" w:hAnsi="Times New Roman" w:eastAsia="Times New Roman" w:cs="Times New Roman"/>
                <w:color w:val="auto"/>
                <w:sz w:val="20"/>
                <w:szCs w:val="20"/>
              </w:rPr>
            </w:pPr>
            <w:r w:rsidRPr="00D43D39">
              <w:rPr>
                <w:rFonts w:ascii="Times New Roman" w:hAnsi="Times New Roman" w:eastAsia="Times New Roman" w:cs="Times New Roman"/>
                <w:b w:val="0"/>
                <w:bCs w:val="0"/>
                <w:i w:val="0"/>
                <w:iCs w:val="0"/>
                <w:color w:val="auto"/>
                <w:sz w:val="20"/>
                <w:szCs w:val="20"/>
              </w:rPr>
              <w:t>Essential FMIs</w:t>
            </w:r>
          </w:p>
        </w:tc>
      </w:tr>
      <w:tr w:rsidRPr="00D43D39" w:rsidR="00DE5943" w:rsidTr="00351B66" w14:paraId="589A0EAE" w14:textId="77777777">
        <w:tc>
          <w:tcPr>
            <w:tcW w:w="1183" w:type="dxa"/>
            <w:tcBorders>
              <w:top w:val="single" w:color="auto" w:sz="8" w:space="0"/>
              <w:bottom w:val="single" w:color="auto" w:sz="8" w:space="0"/>
              <w:right w:val="single" w:color="auto" w:sz="8" w:space="0"/>
            </w:tcBorders>
            <w:vAlign w:val="center"/>
          </w:tcPr>
          <w:p w:rsidRPr="00D43D39" w:rsidR="00DE5943" w:rsidP="00351B66" w:rsidRDefault="00DE5943" w14:paraId="5717D61C" w14:textId="77777777">
            <w:pPr>
              <w:rPr>
                <w:rFonts w:ascii="Times New Roman" w:hAnsi="Times New Roman" w:eastAsia="Times New Roman" w:cs="Times New Roman"/>
                <w:strike/>
                <w:sz w:val="20"/>
                <w:szCs w:val="20"/>
              </w:rPr>
            </w:pPr>
            <w:r w:rsidRPr="00D43D39">
              <w:rPr>
                <w:rFonts w:ascii="Times New Roman" w:hAnsi="Times New Roman" w:eastAsia="Times New Roman" w:cs="Times New Roman"/>
                <w:sz w:val="20"/>
                <w:szCs w:val="20"/>
              </w:rPr>
              <w:t>0050</w:t>
            </w:r>
          </w:p>
        </w:tc>
        <w:tc>
          <w:tcPr>
            <w:tcW w:w="7832" w:type="dxa"/>
            <w:tcBorders>
              <w:top w:val="single" w:color="auto" w:sz="8" w:space="0"/>
              <w:left w:val="single" w:color="auto" w:sz="8" w:space="0"/>
              <w:bottom w:val="single" w:color="auto" w:sz="8" w:space="0"/>
            </w:tcBorders>
            <w:vAlign w:val="bottom"/>
          </w:tcPr>
          <w:p w:rsidRPr="00D43D39" w:rsidR="00DE5943" w:rsidP="00351B66" w:rsidRDefault="00DE5943" w14:paraId="487DCB22"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b/>
                <w:bCs/>
                <w:sz w:val="20"/>
                <w:szCs w:val="20"/>
              </w:rPr>
              <w:t>Essential FMI: Y/N</w:t>
            </w:r>
          </w:p>
          <w:p w:rsidRPr="00D43D39" w:rsidR="00DE5943" w:rsidP="00351B66" w:rsidRDefault="00DE5943" w14:paraId="1CE6C4D3" w14:textId="77777777">
            <w:pPr>
              <w:pStyle w:val="TableParagraph"/>
              <w:numPr>
                <w:ilvl w:val="0"/>
                <w:numId w:val="248"/>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‘Y’ if the FMI is essential</w:t>
            </w:r>
          </w:p>
          <w:p w:rsidRPr="00D43D39" w:rsidR="00DE5943" w:rsidP="00351B66" w:rsidRDefault="00DE5943" w14:paraId="5C199496" w14:textId="77777777">
            <w:pPr>
              <w:pStyle w:val="TableParagraph"/>
              <w:numPr>
                <w:ilvl w:val="0"/>
                <w:numId w:val="248"/>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‘N’ if the FMI is not essential</w:t>
            </w:r>
          </w:p>
          <w:p w:rsidRPr="00D43D39" w:rsidR="00DE5943" w:rsidP="00351B66" w:rsidRDefault="00DE5943" w14:paraId="5C6638B3" w14:textId="77777777">
            <w:pPr>
              <w:pStyle w:val="Heading4"/>
              <w:numPr>
                <w:ilvl w:val="3"/>
                <w:numId w:val="0"/>
              </w:numPr>
              <w:ind w:left="360"/>
              <w:rPr>
                <w:rFonts w:ascii="Times New Roman" w:hAnsi="Times New Roman" w:eastAsia="Times New Roman" w:cs="Times New Roman"/>
                <w:b w:val="0"/>
                <w:bCs w:val="0"/>
                <w:i w:val="0"/>
                <w:iCs w:val="0"/>
                <w:color w:val="auto"/>
                <w:sz w:val="20"/>
                <w:szCs w:val="20"/>
              </w:rPr>
            </w:pPr>
            <w:r w:rsidRPr="00D43D39">
              <w:rPr>
                <w:rFonts w:ascii="Times New Roman" w:hAnsi="Times New Roman" w:eastAsia="Times New Roman" w:cs="Times New Roman"/>
                <w:b w:val="0"/>
                <w:bCs w:val="0"/>
                <w:i w:val="0"/>
                <w:iCs w:val="0"/>
                <w:color w:val="auto"/>
                <w:sz w:val="20"/>
                <w:szCs w:val="20"/>
              </w:rPr>
              <w:t>Columns 0020 and 0050 are not mutually exclusive.</w:t>
            </w:r>
          </w:p>
        </w:tc>
      </w:tr>
      <w:tr w:rsidRPr="00D43D39" w:rsidR="00DE5943" w:rsidTr="00351B66" w14:paraId="38BDD245" w14:textId="77777777">
        <w:tc>
          <w:tcPr>
            <w:tcW w:w="1183" w:type="dxa"/>
            <w:tcBorders>
              <w:top w:val="single" w:color="auto" w:sz="8" w:space="0"/>
              <w:bottom w:val="single" w:color="auto" w:sz="8" w:space="0"/>
              <w:right w:val="single" w:color="auto" w:sz="8" w:space="0"/>
            </w:tcBorders>
            <w:vAlign w:val="center"/>
          </w:tcPr>
          <w:p w:rsidRPr="00D43D39" w:rsidR="00DE5943" w:rsidP="00351B66" w:rsidRDefault="00DE5943" w14:paraId="29321961" w14:textId="77777777">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0060</w:t>
            </w:r>
          </w:p>
        </w:tc>
        <w:tc>
          <w:tcPr>
            <w:tcW w:w="7832" w:type="dxa"/>
            <w:tcBorders>
              <w:top w:val="single" w:color="auto" w:sz="8" w:space="0"/>
              <w:left w:val="single" w:color="auto" w:sz="8" w:space="0"/>
              <w:bottom w:val="single" w:color="auto" w:sz="8" w:space="0"/>
            </w:tcBorders>
            <w:vAlign w:val="bottom"/>
          </w:tcPr>
          <w:p w:rsidRPr="00D43D39" w:rsidR="00DE5943" w:rsidP="00351B66" w:rsidRDefault="00DE5943" w14:paraId="020474DC"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Core Business line ID</w:t>
            </w:r>
          </w:p>
          <w:p w:rsidRPr="00D43D39" w:rsidR="00DE5943" w:rsidP="00351B66" w:rsidRDefault="00DE5943" w14:paraId="0003CE81" w14:textId="77777777">
            <w:pPr>
              <w:pStyle w:val="TableParagraph"/>
              <w:spacing w:before="108"/>
              <w:ind w:left="85"/>
              <w:jc w:val="both"/>
              <w:rPr>
                <w:rFonts w:ascii="Times New Roman" w:hAnsi="Times New Roman" w:eastAsia="Times New Roman" w:cs="Times New Roman"/>
                <w:color w:val="D13438"/>
                <w:sz w:val="20"/>
                <w:szCs w:val="20"/>
                <w:u w:val="single"/>
              </w:rPr>
            </w:pPr>
            <w:r w:rsidRPr="00D43D39">
              <w:rPr>
                <w:rFonts w:ascii="Times New Roman" w:hAnsi="Times New Roman" w:eastAsia="Times New Roman" w:cs="Times New Roman"/>
                <w:sz w:val="20"/>
                <w:szCs w:val="20"/>
              </w:rPr>
              <w:t>Core business lines performed by the user, the performance of which would be impeded or prevented by the disruption of access to FMI  service provider.</w:t>
            </w:r>
          </w:p>
          <w:p w:rsidRPr="00D43D39" w:rsidR="00DE5943" w:rsidP="00351B66" w:rsidRDefault="00DE5943" w14:paraId="2D15CF48" w14:textId="77777777">
            <w:pPr>
              <w:pStyle w:val="TableParagraph"/>
              <w:spacing w:before="108"/>
              <w:ind w:left="85"/>
              <w:jc w:val="both"/>
              <w:rPr>
                <w:rFonts w:ascii="Times New Roman" w:hAnsi="Times New Roman" w:eastAsia="Times New Roman" w:cs="Times New Roman"/>
                <w:b/>
                <w:bCs/>
                <w:sz w:val="20"/>
                <w:szCs w:val="20"/>
              </w:rPr>
            </w:pPr>
            <w:r w:rsidRPr="00D43D39">
              <w:rPr>
                <w:rFonts w:ascii="Times New Roman" w:hAnsi="Times New Roman" w:eastAsia="Times New Roman" w:cs="Times New Roman"/>
                <w:sz w:val="20"/>
                <w:szCs w:val="20"/>
              </w:rPr>
              <w:t xml:space="preserve">ID of the core business line as </w:t>
            </w:r>
            <w:r w:rsidRPr="008C786C">
              <w:rPr>
                <w:rFonts w:ascii="Times New Roman" w:hAnsi="Times New Roman" w:eastAsia="Times New Roman" w:cs="Times New Roman"/>
                <w:sz w:val="20"/>
                <w:szCs w:val="20"/>
              </w:rPr>
              <w:t xml:space="preserve">reported in </w:t>
            </w:r>
            <w:r w:rsidRPr="005F5507">
              <w:rPr>
                <w:rFonts w:ascii="Times New Roman" w:hAnsi="Times New Roman" w:eastAsia="Times New Roman" w:cs="Times New Roman"/>
                <w:sz w:val="20"/>
                <w:szCs w:val="20"/>
              </w:rPr>
              <w:t>Z 07.03 column 0010</w:t>
            </w:r>
            <w:r w:rsidRPr="008C786C">
              <w:rPr>
                <w:rFonts w:ascii="Times New Roman" w:hAnsi="Times New Roman" w:eastAsia="Times New Roman" w:cs="Times New Roman"/>
                <w:sz w:val="20"/>
                <w:szCs w:val="20"/>
              </w:rPr>
              <w:t>.</w:t>
            </w:r>
          </w:p>
        </w:tc>
      </w:tr>
    </w:tbl>
    <w:p w:rsidRPr="005F5507" w:rsidR="00DE5943" w:rsidP="005F5507" w:rsidRDefault="00DE5943" w14:paraId="2C35DF0E" w14:textId="77777777">
      <w:pPr>
        <w:pStyle w:val="Instructionsberschrift2"/>
        <w:ind w:left="357"/>
        <w:rPr>
          <w:rFonts w:ascii="Times New Roman" w:hAnsi="Times New Roman" w:eastAsia="Calibri" w:cs="Times New Roman"/>
          <w:szCs w:val="20"/>
        </w:rPr>
      </w:pPr>
    </w:p>
    <w:p w:rsidRPr="00D43D39" w:rsidR="00DE5943" w:rsidP="00DE5943" w:rsidRDefault="00DE5943" w14:paraId="4A934F24" w14:textId="02B444B5">
      <w:pPr>
        <w:pStyle w:val="Instructionsberschrift2"/>
        <w:numPr>
          <w:ilvl w:val="1"/>
          <w:numId w:val="49"/>
        </w:numPr>
        <w:ind w:left="357" w:hanging="357"/>
        <w:rPr>
          <w:rFonts w:ascii="Times New Roman" w:hAnsi="Times New Roman" w:eastAsia="Calibri" w:cs="Times New Roman"/>
          <w:szCs w:val="20"/>
        </w:rPr>
      </w:pPr>
      <w:bookmarkStart w:name="_Toc172732251" w:id="127"/>
      <w:r w:rsidRPr="00D43D39">
        <w:rPr>
          <w:rFonts w:ascii="Times New Roman" w:hAnsi="Times New Roman" w:eastAsia="Calibri" w:cs="Times New Roman"/>
          <w:szCs w:val="20"/>
        </w:rPr>
        <w:t xml:space="preserve">Z 09.03 - FMI Services - Key Metrics  </w:t>
      </w:r>
      <w:r w:rsidR="00056E47">
        <w:rPr>
          <w:rFonts w:ascii="Times New Roman" w:hAnsi="Times New Roman" w:eastAsia="Calibri" w:cs="Times New Roman"/>
          <w:szCs w:val="20"/>
        </w:rPr>
        <w:t>(FMI 3)</w:t>
      </w:r>
      <w:bookmarkEnd w:id="127"/>
    </w:p>
    <w:p w:rsidRPr="00D43D39" w:rsidR="00DE5943" w:rsidP="00DE5943" w:rsidRDefault="00DE5943" w14:paraId="61FEAA0E" w14:textId="77777777">
      <w:pPr>
        <w:pStyle w:val="Numberedtitlelevel3"/>
        <w:rPr>
          <w:rFonts w:ascii="Times New Roman" w:hAnsi="Times New Roman" w:cs="Times New Roman"/>
          <w:color w:val="000000" w:themeColor="text1"/>
          <w:sz w:val="20"/>
          <w:szCs w:val="20"/>
          <w:u w:val="single"/>
          <w:lang w:val="en-GB"/>
        </w:rPr>
      </w:pPr>
      <w:r w:rsidRPr="00D43D39">
        <w:rPr>
          <w:rFonts w:ascii="Times New Roman" w:hAnsi="Times New Roman" w:cs="Times New Roman"/>
          <w:color w:val="000000" w:themeColor="text1"/>
          <w:sz w:val="20"/>
          <w:szCs w:val="20"/>
          <w:u w:val="single"/>
          <w:lang w:val="en-GB"/>
        </w:rPr>
        <w:t>Instructions concerning specific positions</w:t>
      </w:r>
    </w:p>
    <w:p w:rsidRPr="00D43D39" w:rsidR="00DE5943" w:rsidP="005F5507" w:rsidRDefault="00DE5943" w14:paraId="01CEC4E4" w14:textId="7CC1EC95">
      <w:pPr>
        <w:pStyle w:val="InstructionsText2"/>
        <w:numPr>
          <w:ilvl w:val="2"/>
          <w:numId w:val="209"/>
        </w:numPr>
        <w:spacing w:before="0"/>
        <w:ind w:left="1418"/>
        <w:rPr>
          <w:rFonts w:ascii="Times New Roman" w:hAnsi="Times New Roman" w:cs="Times New Roman" w:eastAsiaTheme="majorEastAsia"/>
          <w:sz w:val="20"/>
          <w:szCs w:val="20"/>
          <w:lang w:val="en-GB"/>
        </w:rPr>
      </w:pPr>
      <w:r w:rsidRPr="00D43D39">
        <w:rPr>
          <w:rFonts w:ascii="Times New Roman" w:hAnsi="Times New Roman" w:cs="Times New Roman" w:eastAsiaTheme="majorEastAsia"/>
          <w:sz w:val="20"/>
          <w:szCs w:val="20"/>
          <w:lang w:val="en-GB"/>
        </w:rPr>
        <w:t>Only report for PS, (I)CSD, SSS, CCP-Derivatives, CCP-Securities unless otherwise indicated</w:t>
      </w:r>
      <w:r w:rsidR="00582930">
        <w:rPr>
          <w:rStyle w:val="FootnoteReference"/>
          <w:rFonts w:cs="Times New Roman" w:eastAsiaTheme="majorEastAsia"/>
          <w:lang w:val="en-GB"/>
        </w:rPr>
        <w:footnoteReference w:id="30"/>
      </w:r>
      <w:r w:rsidRPr="00D43D39">
        <w:rPr>
          <w:rFonts w:ascii="Times New Roman" w:hAnsi="Times New Roman" w:cs="Times New Roman" w:eastAsiaTheme="majorEastAsia"/>
          <w:sz w:val="20"/>
          <w:szCs w:val="20"/>
          <w:lang w:val="en-GB"/>
        </w:rPr>
        <w:t>.</w:t>
      </w:r>
    </w:p>
    <w:tbl>
      <w:tblPr>
        <w:tblW w:w="9015" w:type="dxa"/>
        <w:tblInd w:w="135" w:type="dxa"/>
        <w:tblLayout w:type="fixed"/>
        <w:tblLook w:val="04A0" w:firstRow="1" w:lastRow="0" w:firstColumn="1" w:lastColumn="0" w:noHBand="0" w:noVBand="1"/>
      </w:tblPr>
      <w:tblGrid>
        <w:gridCol w:w="1183"/>
        <w:gridCol w:w="7832"/>
      </w:tblGrid>
      <w:tr w:rsidRPr="00D43D39" w:rsidR="00DE5943" w:rsidTr="005F5507" w14:paraId="5665BE7F" w14:textId="77777777">
        <w:trPr>
          <w:tblHeader/>
        </w:trPr>
        <w:tc>
          <w:tcPr>
            <w:tcW w:w="1183" w:type="dxa"/>
            <w:tcBorders>
              <w:top w:val="single" w:color="1A171C" w:sz="8" w:space="0"/>
              <w:left w:val="nil"/>
              <w:bottom w:val="single" w:color="1A171C" w:sz="8" w:space="0"/>
              <w:right w:val="single" w:color="1A171C" w:sz="8" w:space="0"/>
            </w:tcBorders>
            <w:shd w:val="clear" w:color="auto" w:fill="D9D9D9" w:themeFill="background1" w:themeFillShade="D9"/>
          </w:tcPr>
          <w:p w:rsidRPr="00D43D39" w:rsidR="00DE5943" w:rsidP="005C5597" w:rsidRDefault="00DE5943" w14:paraId="7463FE38"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Columns </w:t>
            </w:r>
          </w:p>
        </w:tc>
        <w:tc>
          <w:tcPr>
            <w:tcW w:w="7832" w:type="dxa"/>
            <w:tcBorders>
              <w:top w:val="single" w:color="1A171C" w:sz="8" w:space="0"/>
              <w:left w:val="single" w:color="1A171C" w:sz="8" w:space="0"/>
              <w:bottom w:val="single" w:color="1A171C" w:sz="8" w:space="0"/>
              <w:right w:val="nil"/>
            </w:tcBorders>
            <w:shd w:val="clear" w:color="auto" w:fill="D9D9D9" w:themeFill="background1" w:themeFillShade="D9"/>
          </w:tcPr>
          <w:p w:rsidRPr="00D43D39" w:rsidR="00DE5943" w:rsidP="005C5597" w:rsidRDefault="00DE5943" w14:paraId="3B1CAEAC" w14:textId="7777777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Instructions </w:t>
            </w:r>
          </w:p>
        </w:tc>
      </w:tr>
      <w:tr w:rsidRPr="00D43D39" w:rsidR="00DE5943" w:rsidTr="005C5597" w14:paraId="22C8261F" w14:textId="77777777">
        <w:tc>
          <w:tcPr>
            <w:tcW w:w="1183" w:type="dxa"/>
            <w:tcBorders>
              <w:top w:val="single" w:color="1A171C" w:sz="8" w:space="0"/>
              <w:bottom w:val="single" w:color="auto" w:sz="8" w:space="0"/>
              <w:right w:val="single" w:color="auto" w:sz="8" w:space="0"/>
            </w:tcBorders>
            <w:vAlign w:val="center"/>
          </w:tcPr>
          <w:p w:rsidRPr="005F5507" w:rsidR="00DE5943" w:rsidP="005C5597" w:rsidRDefault="00DE5943" w14:paraId="1849E8F4" w14:textId="77777777">
            <w:pPr>
              <w:rPr>
                <w:rFonts w:ascii="Times New Roman" w:hAnsi="Times New Roman" w:cs="Times New Roman"/>
              </w:rPr>
            </w:pPr>
            <w:r w:rsidRPr="00D43D39">
              <w:rPr>
                <w:rFonts w:ascii="Times New Roman" w:hAnsi="Times New Roman" w:eastAsia="Times New Roman" w:cs="Times New Roman"/>
                <w:sz w:val="20"/>
                <w:szCs w:val="20"/>
              </w:rPr>
              <w:t>0010</w:t>
            </w:r>
          </w:p>
        </w:tc>
        <w:tc>
          <w:tcPr>
            <w:tcW w:w="7832" w:type="dxa"/>
            <w:tcBorders>
              <w:top w:val="single" w:color="1A171C" w:sz="8" w:space="0"/>
              <w:left w:val="single" w:color="auto" w:sz="8" w:space="0"/>
              <w:bottom w:val="single" w:color="auto" w:sz="8" w:space="0"/>
            </w:tcBorders>
            <w:vAlign w:val="bottom"/>
          </w:tcPr>
          <w:p w:rsidRPr="00D43D39" w:rsidR="00DE5943" w:rsidP="005C5597" w:rsidRDefault="00DE5943" w14:paraId="667A91CF" w14:textId="77777777">
            <w:pPr>
              <w:pStyle w:val="TableParagraph"/>
              <w:spacing w:before="108"/>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ID representing combination of user, FMI, system type and intermediary</w:t>
            </w:r>
          </w:p>
          <w:p w:rsidRPr="00D43D39" w:rsidR="00DE5943" w:rsidP="005C5597" w:rsidRDefault="00DE5943" w14:paraId="0738A2BF" w14:textId="77777777">
            <w:pPr>
              <w:pStyle w:val="TableParagraph"/>
              <w:spacing w:before="108"/>
              <w:ind w:left="85"/>
              <w:jc w:val="both"/>
              <w:rPr>
                <w:rFonts w:ascii="Times New Roman" w:hAnsi="Times New Roman" w:eastAsia="Times New Roman" w:cs="Times New Roman"/>
                <w:b/>
                <w:bCs/>
                <w:i/>
                <w:iCs/>
                <w:sz w:val="20"/>
                <w:szCs w:val="20"/>
              </w:rPr>
            </w:pPr>
            <w:r w:rsidRPr="00D43D39">
              <w:rPr>
                <w:rFonts w:ascii="Times New Roman" w:hAnsi="Times New Roman" w:eastAsia="Times New Roman" w:cs="Times New Roman"/>
                <w:sz w:val="20"/>
                <w:szCs w:val="20"/>
              </w:rPr>
              <w:t>Cfr Z09.01 column 0010.</w:t>
            </w:r>
          </w:p>
        </w:tc>
      </w:tr>
      <w:tr w:rsidRPr="00D43D39" w:rsidR="00DE5943" w:rsidTr="005C5597" w14:paraId="7D6502DB" w14:textId="77777777">
        <w:tc>
          <w:tcPr>
            <w:tcW w:w="1183" w:type="dxa"/>
            <w:tcBorders>
              <w:top w:val="single" w:color="auto" w:sz="8" w:space="0"/>
              <w:bottom w:val="single" w:color="auto" w:sz="8" w:space="0"/>
              <w:right w:val="single" w:color="auto" w:sz="8" w:space="0"/>
            </w:tcBorders>
            <w:vAlign w:val="center"/>
          </w:tcPr>
          <w:p w:rsidRPr="005F5507" w:rsidR="00DE5943" w:rsidP="005C5597" w:rsidRDefault="00DE5943" w14:paraId="736B3798" w14:textId="77777777">
            <w:pPr>
              <w:rPr>
                <w:rFonts w:ascii="Times New Roman" w:hAnsi="Times New Roman" w:cs="Times New Roman"/>
                <w:strike/>
              </w:rPr>
            </w:pPr>
            <w:r w:rsidRPr="00D43D39">
              <w:rPr>
                <w:rFonts w:ascii="Times New Roman" w:hAnsi="Times New Roman" w:eastAsia="Times New Roman" w:cs="Times New Roman"/>
                <w:sz w:val="20"/>
                <w:szCs w:val="20"/>
              </w:rPr>
              <w:t>0020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7340B53B" w14:textId="77777777">
            <w:pPr>
              <w:pStyle w:val="TableParagraph"/>
              <w:spacing w:before="108"/>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Segment</w:t>
            </w:r>
          </w:p>
          <w:p w:rsidRPr="00D43D39" w:rsidR="00DE5943" w:rsidP="005C5597" w:rsidRDefault="00DE5943" w14:paraId="147591BF" w14:textId="77777777">
            <w:pPr>
              <w:pStyle w:val="TableParagraph"/>
              <w:spacing w:before="108"/>
              <w:ind w:left="85"/>
              <w:jc w:val="both"/>
              <w:rPr>
                <w:rFonts w:ascii="Times New Roman" w:hAnsi="Times New Roman" w:eastAsia="Times New Roman" w:cs="Times New Roman"/>
                <w:b/>
                <w:bCs/>
                <w:i/>
                <w:iCs/>
                <w:strike/>
                <w:sz w:val="20"/>
                <w:szCs w:val="20"/>
              </w:rPr>
            </w:pPr>
            <w:r w:rsidRPr="00D43D39">
              <w:rPr>
                <w:rFonts w:ascii="Times New Roman" w:hAnsi="Times New Roman" w:eastAsia="Times New Roman" w:cs="Times New Roman"/>
                <w:bCs/>
                <w:sz w:val="20"/>
                <w:szCs w:val="20"/>
              </w:rPr>
              <w:t xml:space="preserve">Market segments where the User is active. One row per segment. Only report for </w:t>
            </w:r>
            <w:r w:rsidRPr="00D43D39">
              <w:rPr>
                <w:rFonts w:ascii="Times New Roman" w:hAnsi="Times New Roman" w:eastAsia="Times New Roman" w:cs="Times New Roman"/>
                <w:sz w:val="20"/>
                <w:szCs w:val="20"/>
              </w:rPr>
              <w:t>CCPs</w:t>
            </w:r>
            <w:r w:rsidRPr="00D43D39">
              <w:rPr>
                <w:rFonts w:ascii="Times New Roman" w:hAnsi="Times New Roman" w:eastAsia="Times New Roman" w:cs="Times New Roman"/>
                <w:bCs/>
                <w:sz w:val="20"/>
                <w:szCs w:val="20"/>
              </w:rPr>
              <w:t xml:space="preserve">. </w:t>
            </w:r>
          </w:p>
        </w:tc>
      </w:tr>
      <w:tr w:rsidRPr="00D43D39" w:rsidR="00DE5943" w:rsidTr="005C5597" w14:paraId="7B8C3556" w14:textId="77777777">
        <w:tc>
          <w:tcPr>
            <w:tcW w:w="1183" w:type="dxa"/>
            <w:tcBorders>
              <w:top w:val="single" w:color="auto" w:sz="8" w:space="0"/>
              <w:bottom w:val="single" w:color="auto" w:sz="8" w:space="0"/>
              <w:right w:val="single" w:color="auto" w:sz="8" w:space="0"/>
            </w:tcBorders>
            <w:vAlign w:val="center"/>
          </w:tcPr>
          <w:p w:rsidRPr="005F5507" w:rsidR="00DE5943" w:rsidP="005C5597" w:rsidRDefault="00DE5943" w14:paraId="272B8DC9" w14:textId="77777777">
            <w:pPr>
              <w:rPr>
                <w:rFonts w:ascii="Times New Roman" w:hAnsi="Times New Roman" w:cs="Times New Roman"/>
              </w:rPr>
            </w:pPr>
            <w:r w:rsidRPr="00D43D39">
              <w:rPr>
                <w:rFonts w:ascii="Times New Roman" w:hAnsi="Times New Roman" w:eastAsia="Times New Roman" w:cs="Times New Roman"/>
                <w:sz w:val="20"/>
                <w:szCs w:val="20"/>
              </w:rPr>
              <w:t>0030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4CEB262B" w14:textId="77777777">
            <w:pPr>
              <w:pStyle w:val="TableParagraph"/>
              <w:spacing w:before="108"/>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Contribution to Default Fund</w:t>
            </w:r>
          </w:p>
          <w:p w:rsidRPr="00D43D39" w:rsidR="00DE5943" w:rsidP="005C5597" w:rsidRDefault="00DE5943" w14:paraId="74242AC4" w14:textId="77777777">
            <w:pPr>
              <w:pStyle w:val="TableParagraph"/>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Contribution to default fund. Average amount over the year. </w:t>
            </w:r>
          </w:p>
          <w:p w:rsidRPr="00D43D39" w:rsidR="00DE5943" w:rsidP="005C5597" w:rsidRDefault="00DE5943" w14:paraId="2A8997AB" w14:textId="77777777">
            <w:pPr>
              <w:pStyle w:val="TableParagraph"/>
              <w:spacing w:before="108"/>
              <w:ind w:left="85"/>
              <w:jc w:val="both"/>
              <w:rPr>
                <w:rFonts w:ascii="Times New Roman" w:hAnsi="Times New Roman" w:eastAsia="Times New Roman" w:cs="Times New Roman"/>
                <w:b/>
                <w:bCs/>
                <w:i/>
                <w:iCs/>
                <w:sz w:val="20"/>
                <w:szCs w:val="20"/>
              </w:rPr>
            </w:pPr>
            <w:r w:rsidRPr="00D43D39">
              <w:rPr>
                <w:rFonts w:ascii="Times New Roman" w:hAnsi="Times New Roman" w:eastAsia="Times New Roman" w:cs="Times New Roman"/>
                <w:sz w:val="20"/>
                <w:szCs w:val="20"/>
              </w:rPr>
              <w:t>Only report for CCPs.</w:t>
            </w:r>
          </w:p>
        </w:tc>
      </w:tr>
      <w:tr w:rsidRPr="00D43D39" w:rsidR="00DE5943" w:rsidTr="005C5597" w14:paraId="718D3E2F" w14:textId="77777777">
        <w:tc>
          <w:tcPr>
            <w:tcW w:w="1183" w:type="dxa"/>
            <w:tcBorders>
              <w:top w:val="single" w:color="auto" w:sz="8" w:space="0"/>
              <w:bottom w:val="single" w:color="auto" w:sz="8" w:space="0"/>
              <w:right w:val="single" w:color="auto" w:sz="8" w:space="0"/>
            </w:tcBorders>
            <w:vAlign w:val="center"/>
          </w:tcPr>
          <w:p w:rsidRPr="005F5507" w:rsidR="00DE5943" w:rsidP="005C5597" w:rsidRDefault="00DE5943" w14:paraId="4CE7299D" w14:textId="77777777">
            <w:pPr>
              <w:rPr>
                <w:rFonts w:ascii="Times New Roman" w:hAnsi="Times New Roman" w:cs="Times New Roman"/>
                <w:sz w:val="20"/>
                <w:szCs w:val="20"/>
              </w:rPr>
            </w:pPr>
            <w:r w:rsidRPr="00D43D39">
              <w:rPr>
                <w:rFonts w:ascii="Times New Roman" w:hAnsi="Times New Roman" w:eastAsia="Times New Roman" w:cs="Times New Roman"/>
                <w:sz w:val="20"/>
                <w:szCs w:val="20"/>
              </w:rPr>
              <w:t>0040-0050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5B345229"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Value of positions on proprietary and client accounts</w:t>
            </w:r>
          </w:p>
          <w:p w:rsidRPr="00D43D39" w:rsidR="00DE5943" w:rsidP="005C5597" w:rsidRDefault="00DE5943" w14:paraId="0140DED7"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Only report for CCPs and (I)CSDs. Column 0050 includes both omnibus and segregated client account values.</w:t>
            </w:r>
          </w:p>
          <w:p w:rsidRPr="00D43D39" w:rsidR="00DE5943" w:rsidP="005C5597" w:rsidRDefault="00DE5943" w14:paraId="30B19FD2" w14:textId="77777777">
            <w:pPr>
              <w:pStyle w:val="TableParagraph"/>
              <w:numPr>
                <w:ilvl w:val="0"/>
                <w:numId w:val="249"/>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CCPs: Value of positions at CCPs in the respective account types</w:t>
            </w:r>
            <w:r w:rsidRPr="005F5507">
              <w:rPr>
                <w:rStyle w:val="FootnoteReference"/>
                <w:rFonts w:ascii="Times New Roman" w:hAnsi="Times New Roman" w:eastAsia="Times New Roman" w:cs="Times New Roman"/>
              </w:rPr>
              <w:footnoteReference w:id="31"/>
            </w:r>
            <w:r w:rsidRPr="00D43D39">
              <w:rPr>
                <w:rFonts w:ascii="Times New Roman" w:hAnsi="Times New Roman" w:eastAsia="Times New Roman" w:cs="Times New Roman"/>
                <w:sz w:val="20"/>
                <w:szCs w:val="20"/>
              </w:rPr>
              <w:t xml:space="preserve">. </w:t>
            </w:r>
          </w:p>
          <w:p w:rsidRPr="00D43D39" w:rsidR="00DE5943" w:rsidP="005C5597" w:rsidRDefault="00DE5943" w14:paraId="294CFA3B" w14:textId="77777777">
            <w:pPr>
              <w:pStyle w:val="TableParagraph"/>
              <w:numPr>
                <w:ilvl w:val="0"/>
                <w:numId w:val="249"/>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(I)CSDs: Value of securities held in the respective account types. </w:t>
            </w:r>
          </w:p>
          <w:p w:rsidRPr="00D43D39" w:rsidR="00DE5943" w:rsidP="005C5597" w:rsidRDefault="00DE5943" w14:paraId="09287E98"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sz w:val="20"/>
                <w:szCs w:val="20"/>
              </w:rPr>
              <w:t>Average value at end of settlement day over the previous year.</w:t>
            </w:r>
            <w:r w:rsidRPr="00D43D39" w:rsidDel="00382ACA">
              <w:rPr>
                <w:rFonts w:ascii="Times New Roman" w:hAnsi="Times New Roman" w:eastAsia="Times New Roman" w:cs="Times New Roman"/>
                <w:sz w:val="20"/>
                <w:szCs w:val="20"/>
              </w:rPr>
              <w:t xml:space="preserve"> </w:t>
            </w:r>
          </w:p>
        </w:tc>
      </w:tr>
      <w:tr w:rsidRPr="00D43D39" w:rsidR="00DE5943" w:rsidTr="005C5597" w14:paraId="2F3048BC" w14:textId="77777777">
        <w:tc>
          <w:tcPr>
            <w:tcW w:w="1183" w:type="dxa"/>
            <w:tcBorders>
              <w:top w:val="single" w:color="auto" w:sz="8" w:space="0"/>
              <w:bottom w:val="single" w:color="auto" w:sz="8" w:space="0"/>
              <w:right w:val="single" w:color="auto" w:sz="8" w:space="0"/>
            </w:tcBorders>
            <w:vAlign w:val="center"/>
          </w:tcPr>
          <w:p w:rsidRPr="00D43D39" w:rsidR="00DE5943" w:rsidP="005C5597" w:rsidRDefault="00DE5943" w14:paraId="529772AB" w14:textId="77777777">
            <w:pPr>
              <w:rPr>
                <w:rFonts w:ascii="Times New Roman" w:hAnsi="Times New Roman" w:eastAsia="Times New Roman" w:cs="Times New Roman"/>
                <w:strike/>
                <w:sz w:val="20"/>
                <w:szCs w:val="20"/>
              </w:rPr>
            </w:pPr>
            <w:r w:rsidRPr="00D43D39">
              <w:rPr>
                <w:rFonts w:ascii="Times New Roman" w:hAnsi="Times New Roman" w:eastAsia="Times New Roman" w:cs="Times New Roman"/>
                <w:sz w:val="20"/>
                <w:szCs w:val="20"/>
              </w:rPr>
              <w:t>0060-0070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1716E769"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 xml:space="preserve">Number of clients </w:t>
            </w:r>
          </w:p>
          <w:p w:rsidRPr="00D43D39" w:rsidR="00DE5943" w:rsidP="005C5597" w:rsidRDefault="00DE5943" w14:paraId="64B86017"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Only report for CCPs and (I)CSDs. </w:t>
            </w:r>
          </w:p>
          <w:p w:rsidRPr="00D43D39" w:rsidR="00DE5943" w:rsidP="005C5597" w:rsidRDefault="00DE5943" w14:paraId="104B2DFF" w14:textId="77777777">
            <w:pPr>
              <w:pStyle w:val="Heading4"/>
              <w:numPr>
                <w:ilvl w:val="3"/>
                <w:numId w:val="0"/>
              </w:numPr>
              <w:ind w:left="360"/>
              <w:rPr>
                <w:rFonts w:ascii="Times New Roman" w:hAnsi="Times New Roman" w:eastAsia="Times New Roman" w:cs="Times New Roman"/>
                <w:b w:val="0"/>
                <w:bCs w:val="0"/>
                <w:i w:val="0"/>
                <w:iCs w:val="0"/>
                <w:strike/>
                <w:color w:val="D13438"/>
                <w:sz w:val="20"/>
                <w:szCs w:val="20"/>
              </w:rPr>
            </w:pPr>
            <w:r w:rsidRPr="00D43D39">
              <w:rPr>
                <w:rFonts w:ascii="Times New Roman" w:hAnsi="Times New Roman" w:eastAsia="Times New Roman" w:cs="Times New Roman"/>
                <w:b w:val="0"/>
                <w:bCs w:val="0"/>
                <w:i w:val="0"/>
                <w:iCs w:val="0"/>
                <w:color w:val="auto"/>
                <w:sz w:val="20"/>
                <w:szCs w:val="20"/>
              </w:rPr>
              <w:t>Total number of clients included in the different client account types.</w:t>
            </w:r>
          </w:p>
        </w:tc>
      </w:tr>
      <w:tr w:rsidRPr="00D43D39" w:rsidR="00DE5943" w:rsidTr="005C5597" w14:paraId="2CFADD20" w14:textId="77777777">
        <w:tc>
          <w:tcPr>
            <w:tcW w:w="1183" w:type="dxa"/>
            <w:tcBorders>
              <w:top w:val="single" w:color="auto" w:sz="8" w:space="0"/>
              <w:bottom w:val="single" w:color="auto" w:sz="8" w:space="0"/>
              <w:right w:val="single" w:color="auto" w:sz="8" w:space="0"/>
            </w:tcBorders>
            <w:vAlign w:val="center"/>
          </w:tcPr>
          <w:p w:rsidRPr="00D43D39" w:rsidR="00DE5943" w:rsidP="005C5597" w:rsidRDefault="00DE5943" w14:paraId="6A631781" w14:textId="77777777">
            <w:pPr>
              <w:rPr>
                <w:rFonts w:ascii="Times New Roman" w:hAnsi="Times New Roman" w:eastAsia="Times New Roman" w:cs="Times New Roman"/>
                <w:strike/>
                <w:sz w:val="20"/>
                <w:szCs w:val="20"/>
              </w:rPr>
            </w:pPr>
            <w:r w:rsidRPr="00D43D39">
              <w:rPr>
                <w:rFonts w:ascii="Times New Roman" w:hAnsi="Times New Roman" w:eastAsia="Times New Roman" w:cs="Times New Roman"/>
                <w:sz w:val="20"/>
                <w:szCs w:val="20"/>
              </w:rPr>
              <w:t>0080-0090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7689AD71"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Number of transactions on proprietary and client accounts</w:t>
            </w:r>
          </w:p>
          <w:p w:rsidRPr="00D43D39" w:rsidR="00DE5943" w:rsidP="005C5597" w:rsidRDefault="00DE5943" w14:paraId="1ACFB260" w14:textId="77777777">
            <w:pPr>
              <w:pStyle w:val="Heading4"/>
              <w:numPr>
                <w:ilvl w:val="3"/>
                <w:numId w:val="0"/>
              </w:numPr>
              <w:ind w:left="360"/>
              <w:rPr>
                <w:rFonts w:ascii="Times New Roman" w:hAnsi="Times New Roman" w:eastAsia="Times New Roman" w:cs="Times New Roman"/>
                <w:b w:val="0"/>
                <w:bCs w:val="0"/>
                <w:i w:val="0"/>
                <w:iCs w:val="0"/>
                <w:strike/>
                <w:color w:val="D13438"/>
                <w:sz w:val="20"/>
                <w:szCs w:val="20"/>
                <w:u w:val="single"/>
              </w:rPr>
            </w:pPr>
            <w:r w:rsidRPr="00D43D39">
              <w:rPr>
                <w:rFonts w:ascii="Times New Roman" w:hAnsi="Times New Roman" w:eastAsia="Times New Roman" w:cs="Times New Roman"/>
                <w:b w:val="0"/>
                <w:bCs w:val="0"/>
                <w:i w:val="0"/>
                <w:iCs w:val="0"/>
                <w:color w:val="auto"/>
                <w:sz w:val="20"/>
                <w:szCs w:val="20"/>
              </w:rPr>
              <w:t xml:space="preserve">Total number of transactions executed during the year for the respective account types. </w:t>
            </w:r>
          </w:p>
        </w:tc>
      </w:tr>
      <w:tr w:rsidRPr="00D43D39" w:rsidR="00DE5943" w:rsidTr="005C5597" w14:paraId="56E7A830" w14:textId="77777777">
        <w:tc>
          <w:tcPr>
            <w:tcW w:w="1183" w:type="dxa"/>
            <w:tcBorders>
              <w:top w:val="single" w:color="auto" w:sz="8" w:space="0"/>
              <w:bottom w:val="single" w:color="auto" w:sz="8" w:space="0"/>
              <w:right w:val="single" w:color="auto" w:sz="8" w:space="0"/>
            </w:tcBorders>
            <w:vAlign w:val="center"/>
          </w:tcPr>
          <w:p w:rsidRPr="00D43D39" w:rsidR="00DE5943" w:rsidP="005C5597" w:rsidRDefault="00DE5943" w14:paraId="2F01DCB5" w14:textId="77777777">
            <w:pPr>
              <w:rPr>
                <w:rFonts w:ascii="Times New Roman" w:hAnsi="Times New Roman" w:eastAsia="Times New Roman" w:cs="Times New Roman"/>
                <w:strike/>
                <w:sz w:val="20"/>
                <w:szCs w:val="20"/>
              </w:rPr>
            </w:pPr>
            <w:r w:rsidRPr="00D43D39">
              <w:rPr>
                <w:rFonts w:ascii="Times New Roman" w:hAnsi="Times New Roman" w:eastAsia="Times New Roman" w:cs="Times New Roman"/>
                <w:sz w:val="20"/>
                <w:szCs w:val="20"/>
              </w:rPr>
              <w:t>0100-0110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757CDB8D"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Value of transactions on proprietary and client accounts</w:t>
            </w:r>
          </w:p>
          <w:p w:rsidRPr="00D43D39" w:rsidR="00DE5943" w:rsidP="005C5597" w:rsidRDefault="00DE5943" w14:paraId="51FF9B38"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Value of transactions </w:t>
            </w:r>
            <w:r w:rsidRPr="00D43D39">
              <w:rPr>
                <w:rFonts w:ascii="Times New Roman" w:hAnsi="Times New Roman" w:eastAsia="Times New Roman" w:cs="Times New Roman"/>
                <w:bCs/>
                <w:sz w:val="20"/>
                <w:szCs w:val="20"/>
              </w:rPr>
              <w:t xml:space="preserve">in the reporting year </w:t>
            </w:r>
            <w:r w:rsidRPr="00D43D39">
              <w:rPr>
                <w:rFonts w:ascii="Times New Roman" w:hAnsi="Times New Roman" w:eastAsia="Times New Roman" w:cs="Times New Roman"/>
                <w:sz w:val="20"/>
                <w:szCs w:val="20"/>
              </w:rPr>
              <w:t xml:space="preserve">from the respective account types. Column 0110 includes both omnibus and segregated client account values. </w:t>
            </w:r>
          </w:p>
          <w:p w:rsidRPr="00D43D39" w:rsidR="00DE5943" w:rsidP="005C5597" w:rsidRDefault="00DE5943" w14:paraId="55F29BDE"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Report for PS, CCP, (I)CSD</w:t>
            </w:r>
            <w:r w:rsidRPr="005F5507">
              <w:rPr>
                <w:rStyle w:val="FootnoteReference"/>
                <w:rFonts w:ascii="Times New Roman" w:hAnsi="Times New Roman" w:eastAsia="Times New Roman" w:cs="Times New Roman"/>
              </w:rPr>
              <w:footnoteReference w:id="32"/>
            </w:r>
            <w:r w:rsidRPr="00D43D39">
              <w:rPr>
                <w:rFonts w:ascii="Times New Roman" w:hAnsi="Times New Roman" w:eastAsia="Times New Roman" w:cs="Times New Roman"/>
                <w:sz w:val="20"/>
                <w:szCs w:val="20"/>
              </w:rPr>
              <w:t xml:space="preserve">. </w:t>
            </w:r>
          </w:p>
          <w:p w:rsidRPr="00D43D39" w:rsidR="00DE5943" w:rsidP="005C5597" w:rsidRDefault="00DE5943" w14:paraId="57527C66" w14:textId="77777777">
            <w:pPr>
              <w:pStyle w:val="TableParagraph"/>
              <w:numPr>
                <w:ilvl w:val="0"/>
                <w:numId w:val="250"/>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PS: Value of transactions sent.</w:t>
            </w:r>
          </w:p>
          <w:p w:rsidRPr="00D43D39" w:rsidR="00DE5943" w:rsidP="005C5597" w:rsidRDefault="00DE5943" w14:paraId="127B2C59" w14:textId="77777777">
            <w:pPr>
              <w:pStyle w:val="TableParagraph"/>
              <w:numPr>
                <w:ilvl w:val="0"/>
                <w:numId w:val="250"/>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CCPs: Total value of transactions executed during the year. For CCP-Derivatives:</w:t>
            </w:r>
          </w:p>
          <w:p w:rsidRPr="00D43D39" w:rsidR="00DE5943" w:rsidP="005C5597" w:rsidRDefault="00DE5943" w14:paraId="1A611D43" w14:textId="77777777">
            <w:pPr>
              <w:pStyle w:val="TableParagraph"/>
              <w:numPr>
                <w:ilvl w:val="1"/>
                <w:numId w:val="250"/>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Options = strike price;</w:t>
            </w:r>
          </w:p>
          <w:p w:rsidRPr="00D43D39" w:rsidR="00DE5943" w:rsidP="005C5597" w:rsidRDefault="00DE5943" w14:paraId="1AAC5F65" w14:textId="77777777">
            <w:pPr>
              <w:pStyle w:val="TableParagraph"/>
              <w:numPr>
                <w:ilvl w:val="1"/>
                <w:numId w:val="250"/>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Futures = value of underlying at the time of the transaction or, if notional underlying exists, market price of futures contracts at the time of transaction.</w:t>
            </w:r>
          </w:p>
          <w:p w:rsidRPr="00D43D39" w:rsidR="00DE5943" w:rsidP="005C5597" w:rsidRDefault="00DE5943" w14:paraId="61D4672D" w14:textId="77777777">
            <w:pPr>
              <w:pStyle w:val="TableParagraph"/>
              <w:numPr>
                <w:ilvl w:val="1"/>
                <w:numId w:val="250"/>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Swaps = total market value of transactions outstanding at year-end.</w:t>
            </w:r>
          </w:p>
          <w:p w:rsidRPr="00D43D39" w:rsidR="00DE5943" w:rsidP="005C5597" w:rsidRDefault="00DE5943" w14:paraId="2C87201C" w14:textId="77777777">
            <w:pPr>
              <w:pStyle w:val="Heading4"/>
              <w:numPr>
                <w:ilvl w:val="3"/>
                <w:numId w:val="0"/>
              </w:numPr>
              <w:ind w:left="360"/>
              <w:rPr>
                <w:rFonts w:ascii="Times New Roman" w:hAnsi="Times New Roman" w:eastAsia="Times New Roman" w:cs="Times New Roman"/>
                <w:b w:val="0"/>
                <w:bCs w:val="0"/>
                <w:i w:val="0"/>
                <w:iCs w:val="0"/>
                <w:strike/>
                <w:color w:val="D13438"/>
                <w:sz w:val="20"/>
                <w:szCs w:val="20"/>
                <w:u w:val="single"/>
              </w:rPr>
            </w:pPr>
            <w:r w:rsidRPr="00D43D39">
              <w:rPr>
                <w:rFonts w:ascii="Times New Roman" w:hAnsi="Times New Roman" w:eastAsia="Times New Roman" w:cs="Times New Roman"/>
                <w:b w:val="0"/>
                <w:bCs w:val="0"/>
                <w:i w:val="0"/>
                <w:iCs w:val="0"/>
                <w:color w:val="auto"/>
                <w:sz w:val="20"/>
                <w:szCs w:val="20"/>
              </w:rPr>
              <w:t xml:space="preserve">(I)CSD: Total value of delivery instructions. </w:t>
            </w:r>
          </w:p>
        </w:tc>
      </w:tr>
      <w:tr w:rsidRPr="00D43D39" w:rsidR="00DE5943" w:rsidTr="005C5597" w14:paraId="34D3138E" w14:textId="77777777">
        <w:tc>
          <w:tcPr>
            <w:tcW w:w="1183" w:type="dxa"/>
            <w:tcBorders>
              <w:top w:val="single" w:color="auto" w:sz="8" w:space="0"/>
              <w:bottom w:val="single" w:color="auto" w:sz="8" w:space="0"/>
              <w:right w:val="single" w:color="auto" w:sz="8" w:space="0"/>
            </w:tcBorders>
            <w:vAlign w:val="center"/>
          </w:tcPr>
          <w:p w:rsidRPr="00D43D39" w:rsidR="00DE5943" w:rsidP="005C5597" w:rsidRDefault="00DE5943" w14:paraId="102C275C" w14:textId="77777777">
            <w:pPr>
              <w:rPr>
                <w:rFonts w:ascii="Times New Roman" w:hAnsi="Times New Roman" w:eastAsia="Times New Roman" w:cs="Times New Roman"/>
                <w:strike/>
                <w:sz w:val="20"/>
                <w:szCs w:val="20"/>
              </w:rPr>
            </w:pPr>
            <w:r w:rsidRPr="00D43D39">
              <w:rPr>
                <w:rFonts w:ascii="Times New Roman" w:hAnsi="Times New Roman" w:eastAsia="Times New Roman" w:cs="Times New Roman"/>
                <w:sz w:val="20"/>
                <w:szCs w:val="20"/>
              </w:rPr>
              <w:t>0120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08EEB9CF" w14:textId="77777777">
            <w:pPr>
              <w:pStyle w:val="TableParagraph"/>
              <w:spacing w:before="108" w:after="120"/>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Cumulated notional amount</w:t>
            </w:r>
          </w:p>
          <w:p w:rsidRPr="00D43D39" w:rsidR="00DE5943" w:rsidP="005C5597" w:rsidRDefault="00DE5943" w14:paraId="495AF551"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Sum of notional amounts of transactions executed during the year, for both house and client accounts. Report in EUR bn. </w:t>
            </w:r>
          </w:p>
          <w:p w:rsidRPr="00D43D39" w:rsidR="00DE5943" w:rsidP="005C5597" w:rsidRDefault="00DE5943" w14:paraId="41820A54" w14:textId="77777777">
            <w:pPr>
              <w:pStyle w:val="Heading4"/>
              <w:numPr>
                <w:ilvl w:val="3"/>
                <w:numId w:val="0"/>
              </w:numPr>
              <w:ind w:left="360"/>
              <w:rPr>
                <w:rFonts w:ascii="Times New Roman" w:hAnsi="Times New Roman" w:eastAsia="Times New Roman" w:cs="Times New Roman"/>
                <w:b w:val="0"/>
                <w:bCs w:val="0"/>
                <w:i w:val="0"/>
                <w:iCs w:val="0"/>
                <w:strike/>
                <w:color w:val="D13438"/>
                <w:sz w:val="20"/>
                <w:szCs w:val="20"/>
                <w:u w:val="single"/>
              </w:rPr>
            </w:pPr>
            <w:r w:rsidRPr="00D43D39">
              <w:rPr>
                <w:rFonts w:ascii="Times New Roman" w:hAnsi="Times New Roman" w:eastAsia="Times New Roman" w:cs="Times New Roman"/>
                <w:b w:val="0"/>
                <w:bCs w:val="0"/>
                <w:i w:val="0"/>
                <w:iCs w:val="0"/>
                <w:color w:val="auto"/>
                <w:sz w:val="20"/>
                <w:szCs w:val="20"/>
              </w:rPr>
              <w:t>Only for CCP-Derivatives.</w:t>
            </w:r>
          </w:p>
        </w:tc>
      </w:tr>
      <w:tr w:rsidRPr="00D43D39" w:rsidR="00DE5943" w:rsidTr="005C5597" w14:paraId="17F65DE6" w14:textId="77777777">
        <w:tc>
          <w:tcPr>
            <w:tcW w:w="1183" w:type="dxa"/>
            <w:tcBorders>
              <w:top w:val="single" w:color="auto" w:sz="8" w:space="0"/>
              <w:bottom w:val="single" w:color="auto" w:sz="8" w:space="0"/>
              <w:right w:val="single" w:color="auto" w:sz="8" w:space="0"/>
            </w:tcBorders>
            <w:vAlign w:val="center"/>
          </w:tcPr>
          <w:p w:rsidRPr="00D43D39" w:rsidR="00DE5943" w:rsidP="005C5597" w:rsidRDefault="00DE5943" w14:paraId="20A1FCAA" w14:textId="77777777">
            <w:pPr>
              <w:rPr>
                <w:rFonts w:ascii="Times New Roman" w:hAnsi="Times New Roman" w:eastAsia="Times New Roman" w:cs="Times New Roman"/>
                <w:strike/>
                <w:sz w:val="20"/>
                <w:szCs w:val="20"/>
              </w:rPr>
            </w:pPr>
            <w:r w:rsidRPr="00D43D39">
              <w:rPr>
                <w:rFonts w:ascii="Times New Roman" w:hAnsi="Times New Roman" w:eastAsia="Times New Roman" w:cs="Times New Roman"/>
                <w:sz w:val="20"/>
                <w:szCs w:val="20"/>
              </w:rPr>
              <w:t>0130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0166C394"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Credit line</w:t>
            </w:r>
          </w:p>
          <w:p w:rsidRPr="00D43D39" w:rsidR="00DE5943" w:rsidP="005C5597" w:rsidRDefault="00DE5943" w14:paraId="5E69B29F" w14:textId="77777777">
            <w:pPr>
              <w:pStyle w:val="Heading4"/>
              <w:numPr>
                <w:ilvl w:val="3"/>
                <w:numId w:val="0"/>
              </w:numPr>
              <w:ind w:left="360"/>
              <w:rPr>
                <w:rFonts w:ascii="Times New Roman" w:hAnsi="Times New Roman" w:eastAsia="Times New Roman" w:cs="Times New Roman"/>
                <w:b w:val="0"/>
                <w:bCs w:val="0"/>
                <w:i w:val="0"/>
                <w:iCs w:val="0"/>
                <w:strike/>
                <w:color w:val="D13438"/>
                <w:sz w:val="20"/>
                <w:szCs w:val="20"/>
                <w:u w:val="single"/>
              </w:rPr>
            </w:pPr>
            <w:r w:rsidRPr="00D43D39">
              <w:rPr>
                <w:rFonts w:ascii="Times New Roman" w:hAnsi="Times New Roman" w:eastAsia="Times New Roman" w:cs="Times New Roman"/>
                <w:b w:val="0"/>
                <w:bCs w:val="0"/>
                <w:i w:val="0"/>
                <w:iCs w:val="0"/>
                <w:color w:val="auto"/>
                <w:sz w:val="20"/>
                <w:szCs w:val="20"/>
              </w:rPr>
              <w:t xml:space="preserve">Committed or uncommitted credit line granted by the system in case of direct access, or by the intermediary or other liquidity provider in case of indirect access. For undisclosed amounts, maximum usage over the year. </w:t>
            </w:r>
          </w:p>
        </w:tc>
      </w:tr>
      <w:tr w:rsidRPr="00D43D39" w:rsidR="00DE5943" w:rsidTr="005C5597" w14:paraId="7DB97835" w14:textId="77777777">
        <w:tc>
          <w:tcPr>
            <w:tcW w:w="1183" w:type="dxa"/>
            <w:tcBorders>
              <w:top w:val="single" w:color="auto" w:sz="8" w:space="0"/>
              <w:bottom w:val="single" w:color="auto" w:sz="8" w:space="0"/>
              <w:right w:val="single" w:color="auto" w:sz="8" w:space="0"/>
            </w:tcBorders>
            <w:vAlign w:val="center"/>
          </w:tcPr>
          <w:p w:rsidRPr="00D43D39" w:rsidR="00DE5943" w:rsidP="005C5597" w:rsidRDefault="00DE5943" w14:paraId="617D0137" w14:textId="77777777">
            <w:pPr>
              <w:rPr>
                <w:rFonts w:ascii="Times New Roman" w:hAnsi="Times New Roman" w:eastAsia="Times New Roman" w:cs="Times New Roman"/>
                <w:strike/>
                <w:sz w:val="20"/>
                <w:szCs w:val="20"/>
              </w:rPr>
            </w:pPr>
            <w:r w:rsidRPr="00D43D39">
              <w:rPr>
                <w:rFonts w:ascii="Times New Roman" w:hAnsi="Times New Roman" w:eastAsia="Times New Roman" w:cs="Times New Roman"/>
                <w:sz w:val="20"/>
                <w:szCs w:val="20"/>
              </w:rPr>
              <w:t>0140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13A491D2"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Peak of liquidity or collateral requirements</w:t>
            </w:r>
          </w:p>
          <w:p w:rsidRPr="00D43D39" w:rsidR="00DE5943" w:rsidP="005C5597" w:rsidRDefault="00DE5943" w14:paraId="2B7ADBEA"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Only report for PS, (I)CSD, CCPs as applicable. Peak value over the previous year.</w:t>
            </w:r>
          </w:p>
          <w:p w:rsidRPr="00D43D39" w:rsidR="00DE5943" w:rsidP="005C5597" w:rsidRDefault="00DE5943" w14:paraId="23536372" w14:textId="77777777">
            <w:pPr>
              <w:pStyle w:val="TableParagraph"/>
              <w:numPr>
                <w:ilvl w:val="0"/>
                <w:numId w:val="251"/>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For (I)CSDs and PS: peak of credit line usage.  </w:t>
            </w:r>
          </w:p>
          <w:p w:rsidRPr="00D43D39" w:rsidR="00DE5943" w:rsidP="005C5597" w:rsidRDefault="00DE5943" w14:paraId="511AD22C" w14:textId="77777777">
            <w:pPr>
              <w:pStyle w:val="TableParagraph"/>
              <w:numPr>
                <w:ilvl w:val="0"/>
                <w:numId w:val="251"/>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For CCPs: peak of margin requirements.</w:t>
            </w:r>
          </w:p>
          <w:p w:rsidRPr="00D43D39" w:rsidR="00DE5943" w:rsidP="005C5597" w:rsidRDefault="00DE5943" w14:paraId="0CFDBFF3" w14:textId="77777777">
            <w:pPr>
              <w:pStyle w:val="Heading4"/>
              <w:numPr>
                <w:ilvl w:val="3"/>
                <w:numId w:val="0"/>
              </w:numPr>
              <w:ind w:left="360"/>
              <w:rPr>
                <w:rFonts w:ascii="Times New Roman" w:hAnsi="Times New Roman" w:eastAsia="Times New Roman" w:cs="Times New Roman"/>
                <w:b w:val="0"/>
                <w:bCs w:val="0"/>
                <w:i w:val="0"/>
                <w:iCs w:val="0"/>
                <w:strike/>
                <w:color w:val="D13438"/>
                <w:sz w:val="20"/>
                <w:szCs w:val="20"/>
                <w:u w:val="single"/>
              </w:rPr>
            </w:pPr>
            <w:r w:rsidRPr="00D43D39">
              <w:rPr>
                <w:rFonts w:ascii="Times New Roman" w:hAnsi="Times New Roman" w:eastAsia="Times New Roman" w:cs="Times New Roman"/>
                <w:b w:val="0"/>
                <w:bCs w:val="0"/>
                <w:i w:val="0"/>
                <w:iCs w:val="0"/>
                <w:color w:val="auto"/>
                <w:sz w:val="20"/>
                <w:szCs w:val="20"/>
              </w:rPr>
              <w:t>For indirect accesses: peak funding required by the intermediary.</w:t>
            </w:r>
          </w:p>
        </w:tc>
      </w:tr>
      <w:tr w:rsidRPr="00D43D39" w:rsidR="00DE5943" w:rsidTr="005C5597" w14:paraId="04942B34" w14:textId="77777777">
        <w:tc>
          <w:tcPr>
            <w:tcW w:w="1183" w:type="dxa"/>
            <w:tcBorders>
              <w:top w:val="single" w:color="auto" w:sz="8" w:space="0"/>
              <w:bottom w:val="single" w:color="auto" w:sz="8" w:space="0"/>
              <w:right w:val="single" w:color="auto" w:sz="8" w:space="0"/>
            </w:tcBorders>
            <w:vAlign w:val="center"/>
          </w:tcPr>
          <w:p w:rsidRPr="00D43D39" w:rsidR="00DE5943" w:rsidP="005C5597" w:rsidRDefault="00DE5943" w14:paraId="4F458C87" w14:textId="77777777">
            <w:pPr>
              <w:rPr>
                <w:rFonts w:ascii="Times New Roman" w:hAnsi="Times New Roman" w:eastAsia="Times New Roman" w:cs="Times New Roman"/>
                <w:strike/>
                <w:sz w:val="20"/>
                <w:szCs w:val="20"/>
              </w:rPr>
            </w:pPr>
            <w:r w:rsidRPr="00D43D39">
              <w:rPr>
                <w:rFonts w:ascii="Times New Roman" w:hAnsi="Times New Roman" w:eastAsia="Times New Roman" w:cs="Times New Roman"/>
                <w:sz w:val="20"/>
                <w:szCs w:val="20"/>
              </w:rPr>
              <w:t>0150</w:t>
            </w:r>
          </w:p>
        </w:tc>
        <w:tc>
          <w:tcPr>
            <w:tcW w:w="7832" w:type="dxa"/>
            <w:tcBorders>
              <w:top w:val="single" w:color="auto" w:sz="8" w:space="0"/>
              <w:left w:val="single" w:color="auto" w:sz="8" w:space="0"/>
              <w:bottom w:val="single" w:color="auto" w:sz="8" w:space="0"/>
            </w:tcBorders>
            <w:vAlign w:val="bottom"/>
          </w:tcPr>
          <w:p w:rsidRPr="00D43D39" w:rsidR="00DE5943" w:rsidP="005C5597" w:rsidRDefault="00DE5943" w14:paraId="3A2CF9E0"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Estimated additional liquidity or collateral requirements in a stress situation</w:t>
            </w:r>
          </w:p>
          <w:p w:rsidRPr="00D43D39" w:rsidR="00DE5943" w:rsidP="005C5597" w:rsidRDefault="00DE5943" w14:paraId="6A7AD041" w14:textId="77777777">
            <w:pPr>
              <w:pStyle w:val="Heading4"/>
              <w:numPr>
                <w:ilvl w:val="3"/>
                <w:numId w:val="0"/>
              </w:numPr>
              <w:ind w:left="360"/>
              <w:rPr>
                <w:rFonts w:ascii="Times New Roman" w:hAnsi="Times New Roman" w:eastAsia="Times New Roman" w:cs="Times New Roman"/>
                <w:b w:val="0"/>
                <w:bCs w:val="0"/>
                <w:i w:val="0"/>
                <w:iCs w:val="0"/>
                <w:strike/>
                <w:color w:val="D13438"/>
                <w:sz w:val="20"/>
                <w:szCs w:val="20"/>
                <w:u w:val="single"/>
              </w:rPr>
            </w:pPr>
            <w:r w:rsidRPr="00D43D39">
              <w:rPr>
                <w:rFonts w:ascii="Times New Roman" w:hAnsi="Times New Roman" w:eastAsia="Times New Roman" w:cs="Times New Roman"/>
                <w:b w:val="0"/>
                <w:bCs w:val="0"/>
                <w:i w:val="0"/>
                <w:iCs w:val="0"/>
                <w:color w:val="auto"/>
                <w:sz w:val="20"/>
                <w:szCs w:val="20"/>
              </w:rPr>
              <w:t xml:space="preserve">Estimation of potential additional liquidity or collateral above the peak requirement in column 0140, that the User may face in a situation of severe stress. </w:t>
            </w:r>
          </w:p>
        </w:tc>
      </w:tr>
    </w:tbl>
    <w:p w:rsidRPr="00D43D39" w:rsidR="00DE5943" w:rsidP="005F5507" w:rsidRDefault="00DE5943" w14:paraId="042FA474" w14:textId="77777777">
      <w:pPr>
        <w:pStyle w:val="Instructionsberschrift2"/>
        <w:ind w:left="357"/>
        <w:rPr>
          <w:rFonts w:ascii="Times New Roman" w:hAnsi="Times New Roman" w:eastAsia="Calibri" w:cs="Times New Roman"/>
          <w:szCs w:val="20"/>
        </w:rPr>
      </w:pPr>
    </w:p>
    <w:p w:rsidRPr="005F5507" w:rsidR="00DE5943" w:rsidP="00DE5943" w:rsidRDefault="00DE5943" w14:paraId="7AF8CD0B" w14:textId="5E606593">
      <w:pPr>
        <w:pStyle w:val="Instructionsberschrift2"/>
        <w:numPr>
          <w:ilvl w:val="1"/>
          <w:numId w:val="49"/>
        </w:numPr>
        <w:ind w:left="357" w:hanging="357"/>
        <w:rPr>
          <w:rFonts w:ascii="Times New Roman" w:hAnsi="Times New Roman" w:eastAsia="Calibri" w:cs="Times New Roman"/>
          <w:szCs w:val="20"/>
        </w:rPr>
      </w:pPr>
      <w:bookmarkStart w:name="_Toc172732252" w:id="128"/>
      <w:r w:rsidRPr="00D43D39">
        <w:rPr>
          <w:rFonts w:ascii="Times New Roman" w:hAnsi="Times New Roman" w:eastAsia="Calibri" w:cs="Times New Roman"/>
          <w:szCs w:val="20"/>
        </w:rPr>
        <w:t>Z 09.04 - FMI Services – CCPs – Alternative Providers</w:t>
      </w:r>
      <w:r w:rsidR="00056E47">
        <w:rPr>
          <w:rFonts w:ascii="Times New Roman" w:hAnsi="Times New Roman" w:eastAsia="Calibri" w:cs="Times New Roman"/>
          <w:szCs w:val="20"/>
        </w:rPr>
        <w:t xml:space="preserve"> (FMI 4)</w:t>
      </w:r>
      <w:bookmarkEnd w:id="128"/>
    </w:p>
    <w:p w:rsidRPr="005F5507" w:rsidR="5AAF9F88" w:rsidP="5AAF9F88" w:rsidRDefault="5AAF9F88" w14:paraId="27C31603" w14:textId="4ED019ED">
      <w:pPr>
        <w:pStyle w:val="InstructionsText2"/>
        <w:numPr>
          <w:ilvl w:val="0"/>
          <w:numId w:val="0"/>
        </w:numPr>
        <w:spacing w:before="0"/>
        <w:rPr>
          <w:rFonts w:ascii="Times New Roman" w:hAnsi="Times New Roman" w:cs="Times New Roman"/>
          <w:lang w:val="en-GB"/>
        </w:rPr>
      </w:pPr>
      <w:bookmarkStart w:name="_Toc162265152" w:id="129"/>
      <w:bookmarkStart w:name="_Toc162265682" w:id="130"/>
      <w:bookmarkStart w:name="_Toc162265752" w:id="131"/>
      <w:bookmarkStart w:name="_Toc162266097" w:id="132"/>
      <w:bookmarkStart w:name="_Toc163639558" w:id="133"/>
      <w:bookmarkStart w:name="_Toc162265153" w:id="134"/>
      <w:bookmarkStart w:name="_Toc162265683" w:id="135"/>
      <w:bookmarkStart w:name="_Toc162265753" w:id="136"/>
      <w:bookmarkStart w:name="_Toc162266098" w:id="137"/>
      <w:bookmarkStart w:name="_Toc163639559" w:id="138"/>
      <w:bookmarkStart w:name="_Toc160027996" w:id="139"/>
      <w:bookmarkStart w:name="_Toc160028068" w:id="140"/>
      <w:bookmarkStart w:name="_Toc160028140" w:id="141"/>
      <w:bookmarkStart w:name="_Toc161034556" w:id="142"/>
      <w:bookmarkStart w:name="_Toc162265154" w:id="143"/>
      <w:bookmarkStart w:name="_Toc162265684" w:id="144"/>
      <w:bookmarkStart w:name="_Toc162265754" w:id="145"/>
      <w:bookmarkStart w:name="_Toc162266099" w:id="146"/>
      <w:bookmarkStart w:name="_Toc163639560" w:id="147"/>
      <w:bookmarkStart w:name="_Toc160027999" w:id="148"/>
      <w:bookmarkStart w:name="_Toc160028071" w:id="149"/>
      <w:bookmarkStart w:name="_Toc160028143" w:id="150"/>
      <w:bookmarkStart w:name="_Toc161034559" w:id="151"/>
      <w:bookmarkStart w:name="_Toc162265157" w:id="152"/>
      <w:bookmarkStart w:name="_Toc162265687" w:id="153"/>
      <w:bookmarkStart w:name="_Toc162265757" w:id="154"/>
      <w:bookmarkStart w:name="_Toc162266102" w:id="155"/>
      <w:bookmarkStart w:name="_Toc163639563" w:id="156"/>
      <w:bookmarkStart w:name="_Toc160028000" w:id="157"/>
      <w:bookmarkStart w:name="_Toc160028072" w:id="158"/>
      <w:bookmarkStart w:name="_Toc160028144" w:id="159"/>
      <w:bookmarkStart w:name="_Toc161034560" w:id="160"/>
      <w:bookmarkStart w:name="_Toc162265158" w:id="161"/>
      <w:bookmarkStart w:name="_Toc162265688" w:id="162"/>
      <w:bookmarkStart w:name="_Toc162265758" w:id="163"/>
      <w:bookmarkStart w:name="_Toc162266103" w:id="164"/>
      <w:bookmarkStart w:name="_Toc163639564" w:id="165"/>
      <w:bookmarkStart w:name="_Toc160028001" w:id="166"/>
      <w:bookmarkStart w:name="_Toc160028073" w:id="167"/>
      <w:bookmarkStart w:name="_Toc160028145" w:id="168"/>
      <w:bookmarkStart w:name="_Toc161034561" w:id="169"/>
      <w:bookmarkStart w:name="_Toc162265159" w:id="170"/>
      <w:bookmarkStart w:name="_Toc162265689" w:id="171"/>
      <w:bookmarkStart w:name="_Toc162265759" w:id="172"/>
      <w:bookmarkStart w:name="_Toc162266104" w:id="173"/>
      <w:bookmarkStart w:name="_Toc163639565" w:id="174"/>
      <w:bookmarkStart w:name="_Toc81454197" w:id="175"/>
      <w:bookmarkStart w:name="_Toc81485512" w:id="176"/>
      <w:bookmarkStart w:name="_Toc81485589" w:id="177"/>
      <w:bookmarkStart w:name="_Toc81485710" w:id="178"/>
      <w:bookmarkStart w:name="_Toc81485994" w:id="179"/>
      <w:bookmarkStart w:name="_Toc160028002" w:id="180"/>
      <w:bookmarkStart w:name="_Toc160028074" w:id="181"/>
      <w:bookmarkStart w:name="_Toc160028146" w:id="182"/>
      <w:bookmarkStart w:name="_Toc161034562" w:id="183"/>
      <w:bookmarkStart w:name="_Toc162265160" w:id="184"/>
      <w:bookmarkStart w:name="_Toc162265690" w:id="185"/>
      <w:bookmarkStart w:name="_Toc162265760" w:id="186"/>
      <w:bookmarkStart w:name="_Toc162266105" w:id="187"/>
      <w:bookmarkStart w:name="_Toc163639566" w:id="188"/>
      <w:bookmarkStart w:name="_Toc81454198" w:id="189"/>
      <w:bookmarkStart w:name="_Toc81485513" w:id="190"/>
      <w:bookmarkStart w:name="_Toc81485590" w:id="191"/>
      <w:bookmarkStart w:name="_Toc81485711" w:id="192"/>
      <w:bookmarkStart w:name="_Toc81485995" w:id="193"/>
      <w:bookmarkStart w:name="_Toc160028003" w:id="194"/>
      <w:bookmarkStart w:name="_Toc160028075" w:id="195"/>
      <w:bookmarkStart w:name="_Toc160028147" w:id="196"/>
      <w:bookmarkStart w:name="_Toc161034563" w:id="197"/>
      <w:bookmarkStart w:name="_Toc162265161" w:id="198"/>
      <w:bookmarkStart w:name="_Toc162265691" w:id="199"/>
      <w:bookmarkStart w:name="_Toc162265761" w:id="200"/>
      <w:bookmarkStart w:name="_Toc162266106" w:id="201"/>
      <w:bookmarkStart w:name="_Toc163639567" w:id="20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Pr="00D43D39" w:rsidR="009D1A3B" w:rsidP="009D1A3B" w:rsidRDefault="009D1A3B" w14:paraId="79202B58" w14:textId="01FE6B04">
      <w:pPr>
        <w:pStyle w:val="Numberedtitlelevel3"/>
        <w:rPr>
          <w:rFonts w:ascii="Times New Roman" w:hAnsi="Times New Roman" w:cs="Times New Roman"/>
          <w:color w:val="000000" w:themeColor="text1"/>
          <w:sz w:val="20"/>
          <w:szCs w:val="20"/>
          <w:u w:val="single"/>
          <w:lang w:val="en-GB"/>
        </w:rPr>
      </w:pPr>
      <w:r w:rsidRPr="00D43D39">
        <w:rPr>
          <w:rFonts w:ascii="Times New Roman" w:hAnsi="Times New Roman" w:cs="Times New Roman"/>
          <w:color w:val="000000" w:themeColor="text1"/>
          <w:sz w:val="20"/>
          <w:szCs w:val="20"/>
          <w:u w:val="single"/>
          <w:lang w:val="en-GB"/>
        </w:rPr>
        <w:t>Instructions concerning specific positions</w:t>
      </w:r>
    </w:p>
    <w:tbl>
      <w:tblPr>
        <w:tblW w:w="0" w:type="auto"/>
        <w:tblInd w:w="135" w:type="dxa"/>
        <w:tblLook w:val="04A0" w:firstRow="1" w:lastRow="0" w:firstColumn="1" w:lastColumn="0" w:noHBand="0" w:noVBand="1"/>
      </w:tblPr>
      <w:tblGrid>
        <w:gridCol w:w="1178"/>
        <w:gridCol w:w="7713"/>
      </w:tblGrid>
      <w:tr w:rsidRPr="00D43D39" w:rsidR="0F4EC08E" w:rsidTr="001C34E8" w14:paraId="76B086C8" w14:textId="77777777">
        <w:tc>
          <w:tcPr>
            <w:tcW w:w="1178" w:type="dxa"/>
            <w:tcBorders>
              <w:top w:val="single" w:color="1A171C" w:sz="8" w:space="0"/>
              <w:left w:val="nil"/>
              <w:bottom w:val="single" w:color="1A171C" w:sz="8" w:space="0"/>
              <w:right w:val="single" w:color="1A171C" w:sz="8" w:space="0"/>
            </w:tcBorders>
            <w:shd w:val="clear" w:color="auto" w:fill="D9D9D9" w:themeFill="background1" w:themeFillShade="D9"/>
          </w:tcPr>
          <w:p w:rsidRPr="00D43D39" w:rsidR="0F4EC08E" w:rsidP="001C34E8" w:rsidRDefault="0F4EC08E" w14:paraId="440FADAF" w14:textId="1BF0B566">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Columns </w:t>
            </w:r>
          </w:p>
        </w:tc>
        <w:tc>
          <w:tcPr>
            <w:tcW w:w="7713" w:type="dxa"/>
            <w:tcBorders>
              <w:top w:val="single" w:color="1A171C" w:sz="8" w:space="0"/>
              <w:left w:val="single" w:color="1A171C" w:sz="8" w:space="0"/>
              <w:bottom w:val="single" w:color="1A171C" w:sz="8" w:space="0"/>
              <w:right w:val="nil"/>
            </w:tcBorders>
            <w:shd w:val="clear" w:color="auto" w:fill="D9D9D9" w:themeFill="background1" w:themeFillShade="D9"/>
          </w:tcPr>
          <w:p w:rsidRPr="00D43D39" w:rsidR="0F4EC08E" w:rsidP="001C34E8" w:rsidRDefault="0F4EC08E" w14:paraId="2AA98B46" w14:textId="22FB82F7">
            <w:pPr>
              <w:pStyle w:val="TableParagraph"/>
              <w:spacing w:before="108"/>
              <w:ind w:left="85"/>
              <w:rPr>
                <w:rFonts w:ascii="Times New Roman" w:hAnsi="Times New Roman" w:eastAsia="Cambria" w:cs="Times New Roman"/>
                <w:color w:val="000000" w:themeColor="text1"/>
                <w:spacing w:val="-2"/>
                <w:w w:val="95"/>
                <w:sz w:val="20"/>
                <w:szCs w:val="20"/>
                <w:lang w:val="en-GB"/>
              </w:rPr>
            </w:pPr>
            <w:r w:rsidRPr="00D43D39">
              <w:rPr>
                <w:rFonts w:ascii="Times New Roman" w:hAnsi="Times New Roman" w:eastAsia="Cambria" w:cs="Times New Roman"/>
                <w:color w:val="000000" w:themeColor="text1"/>
                <w:spacing w:val="-2"/>
                <w:w w:val="95"/>
                <w:sz w:val="20"/>
                <w:szCs w:val="20"/>
                <w:lang w:val="en-GB"/>
              </w:rPr>
              <w:t xml:space="preserve">Instructions </w:t>
            </w:r>
          </w:p>
        </w:tc>
      </w:tr>
      <w:tr w:rsidRPr="00D43D39" w:rsidR="007753AA" w:rsidTr="001C34E8" w14:paraId="6C579127" w14:textId="77777777">
        <w:tc>
          <w:tcPr>
            <w:tcW w:w="1178" w:type="dxa"/>
            <w:tcBorders>
              <w:top w:val="single" w:color="1A171C" w:sz="8" w:space="0"/>
              <w:bottom w:val="single" w:color="auto" w:sz="8" w:space="0"/>
              <w:right w:val="single" w:color="auto" w:sz="8" w:space="0"/>
            </w:tcBorders>
            <w:vAlign w:val="center"/>
          </w:tcPr>
          <w:p w:rsidRPr="005F5507" w:rsidR="007753AA" w:rsidP="007753AA" w:rsidRDefault="007753AA" w14:paraId="2278F51F" w14:textId="0563C640">
            <w:pPr>
              <w:rPr>
                <w:rFonts w:ascii="Times New Roman" w:hAnsi="Times New Roman" w:cs="Times New Roman"/>
              </w:rPr>
            </w:pPr>
            <w:r w:rsidRPr="00D43D39">
              <w:rPr>
                <w:rFonts w:ascii="Times New Roman" w:hAnsi="Times New Roman" w:eastAsia="Times New Roman" w:cs="Times New Roman"/>
                <w:sz w:val="20"/>
                <w:szCs w:val="20"/>
              </w:rPr>
              <w:t>0010</w:t>
            </w:r>
          </w:p>
        </w:tc>
        <w:tc>
          <w:tcPr>
            <w:tcW w:w="7713" w:type="dxa"/>
            <w:tcBorders>
              <w:top w:val="single" w:color="1A171C" w:sz="8" w:space="0"/>
              <w:left w:val="single" w:color="auto" w:sz="8" w:space="0"/>
              <w:bottom w:val="single" w:color="auto" w:sz="8" w:space="0"/>
            </w:tcBorders>
            <w:vAlign w:val="bottom"/>
          </w:tcPr>
          <w:p w:rsidRPr="00D43D39" w:rsidR="007753AA" w:rsidP="007753AA" w:rsidRDefault="007753AA" w14:paraId="7B9463B4"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sz w:val="20"/>
                <w:szCs w:val="20"/>
              </w:rPr>
              <w:t>ID representing combination of user, FMI, system type and intermediary</w:t>
            </w:r>
          </w:p>
          <w:p w:rsidRPr="00D43D39" w:rsidR="007753AA" w:rsidP="007753AA" w:rsidRDefault="007753AA" w14:paraId="06C1DB3E" w14:textId="77777777">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Identifier of the CCP as provided in Z09.01, column 0010. </w:t>
            </w:r>
          </w:p>
          <w:p w:rsidRPr="00D43D39" w:rsidR="007753AA" w:rsidP="007753AA" w:rsidRDefault="007753AA" w14:paraId="20E361B1" w14:textId="3FEA4A75">
            <w:pPr>
              <w:pStyle w:val="TableParagraph"/>
              <w:spacing w:before="108"/>
              <w:ind w:left="85"/>
              <w:jc w:val="both"/>
              <w:rPr>
                <w:rFonts w:ascii="Times New Roman" w:hAnsi="Times New Roman" w:eastAsia="Times New Roman" w:cs="Times New Roman"/>
                <w:b/>
                <w:bCs/>
                <w:i/>
                <w:iCs/>
                <w:sz w:val="20"/>
                <w:szCs w:val="20"/>
              </w:rPr>
            </w:pPr>
            <w:r w:rsidRPr="00D43D39">
              <w:rPr>
                <w:rFonts w:ascii="Times New Roman" w:hAnsi="Times New Roman" w:eastAsia="Times New Roman" w:cs="Times New Roman"/>
                <w:sz w:val="20"/>
                <w:szCs w:val="20"/>
              </w:rPr>
              <w:t>Only report for CCPs accessed either directly or indirectly.</w:t>
            </w:r>
            <w:r w:rsidR="00B009B9">
              <w:rPr>
                <w:rFonts w:ascii="Times New Roman" w:hAnsi="Times New Roman" w:eastAsia="Times New Roman" w:cs="Times New Roman"/>
                <w:sz w:val="20"/>
                <w:szCs w:val="20"/>
              </w:rPr>
              <w:t xml:space="preserve"> Report a</w:t>
            </w:r>
            <w:r w:rsidRPr="00D43D39">
              <w:rPr>
                <w:rFonts w:ascii="Times New Roman" w:hAnsi="Times New Roman" w:eastAsia="Times New Roman" w:cs="Times New Roman"/>
                <w:sz w:val="20"/>
                <w:szCs w:val="20"/>
              </w:rPr>
              <w:t>ll accesses to CCPs.</w:t>
            </w:r>
          </w:p>
        </w:tc>
      </w:tr>
      <w:tr w:rsidRPr="00D43D39" w:rsidR="007753AA" w:rsidTr="001C34E8" w14:paraId="71AE4948" w14:textId="77777777">
        <w:tc>
          <w:tcPr>
            <w:tcW w:w="1178" w:type="dxa"/>
            <w:tcBorders>
              <w:top w:val="single" w:color="auto" w:sz="8" w:space="0"/>
              <w:bottom w:val="single" w:color="auto" w:sz="8" w:space="0"/>
              <w:right w:val="single" w:color="auto" w:sz="8" w:space="0"/>
            </w:tcBorders>
            <w:vAlign w:val="center"/>
          </w:tcPr>
          <w:p w:rsidRPr="005F5507" w:rsidR="007753AA" w:rsidP="007753AA" w:rsidRDefault="007753AA" w14:paraId="1EF733C6" w14:textId="1A374026">
            <w:pPr>
              <w:rPr>
                <w:rFonts w:ascii="Times New Roman" w:hAnsi="Times New Roman" w:cs="Times New Roman"/>
              </w:rPr>
            </w:pPr>
            <w:r w:rsidRPr="00D43D39">
              <w:rPr>
                <w:rFonts w:ascii="Times New Roman" w:hAnsi="Times New Roman" w:eastAsia="Times New Roman" w:cs="Times New Roman"/>
                <w:sz w:val="20"/>
                <w:szCs w:val="20"/>
              </w:rPr>
              <w:t>0020</w:t>
            </w:r>
          </w:p>
        </w:tc>
        <w:tc>
          <w:tcPr>
            <w:tcW w:w="7713" w:type="dxa"/>
            <w:tcBorders>
              <w:top w:val="single" w:color="auto" w:sz="8" w:space="0"/>
              <w:left w:val="single" w:color="auto" w:sz="8" w:space="0"/>
              <w:bottom w:val="single" w:color="auto" w:sz="8" w:space="0"/>
            </w:tcBorders>
            <w:vAlign w:val="bottom"/>
          </w:tcPr>
          <w:p w:rsidRPr="00D43D39" w:rsidR="007753AA" w:rsidP="007753AA" w:rsidRDefault="007753AA" w14:paraId="19CD3890" w14:textId="77777777">
            <w:pPr>
              <w:pStyle w:val="TableParagraph"/>
              <w:spacing w:before="108"/>
              <w:ind w:left="85"/>
              <w:jc w:val="both"/>
              <w:rPr>
                <w:rFonts w:ascii="Times New Roman" w:hAnsi="Times New Roman" w:eastAsia="Times New Roman" w:cs="Times New Roman"/>
                <w:b/>
                <w:bCs/>
                <w:sz w:val="20"/>
                <w:szCs w:val="20"/>
              </w:rPr>
            </w:pPr>
            <w:r w:rsidRPr="00D43D39">
              <w:rPr>
                <w:rFonts w:ascii="Times New Roman" w:hAnsi="Times New Roman" w:eastAsia="Times New Roman" w:cs="Times New Roman"/>
                <w:b/>
                <w:bCs/>
                <w:sz w:val="20"/>
                <w:szCs w:val="20"/>
              </w:rPr>
              <w:t>Product Type</w:t>
            </w:r>
          </w:p>
          <w:p w:rsidRPr="00D43D39" w:rsidR="007753AA" w:rsidP="007753AA" w:rsidRDefault="007753AA" w14:paraId="3DC5DAAC" w14:textId="325F5AD2">
            <w:pPr>
              <w:pStyle w:val="TableParagraph"/>
              <w:spacing w:before="108"/>
              <w:ind w:left="85"/>
              <w:jc w:val="both"/>
              <w:rPr>
                <w:rFonts w:ascii="Times New Roman" w:hAnsi="Times New Roman" w:eastAsia="Times New Roman" w:cs="Times New Roman"/>
                <w:b/>
                <w:bCs/>
                <w:i/>
                <w:iCs/>
                <w:sz w:val="20"/>
                <w:szCs w:val="20"/>
              </w:rPr>
            </w:pPr>
            <w:r w:rsidRPr="00D43D39">
              <w:rPr>
                <w:rFonts w:ascii="Times New Roman" w:hAnsi="Times New Roman" w:eastAsia="Times New Roman" w:cs="Times New Roman"/>
                <w:sz w:val="20"/>
                <w:szCs w:val="20"/>
              </w:rPr>
              <w:t xml:space="preserve">Product type covered by the clearing agreement. Report at appropriate level of granularity needed for the substitutability analysis. </w:t>
            </w:r>
          </w:p>
        </w:tc>
      </w:tr>
      <w:tr w:rsidRPr="00D43D39" w:rsidR="007753AA" w:rsidTr="001C34E8" w14:paraId="64521BE7" w14:textId="77777777">
        <w:tc>
          <w:tcPr>
            <w:tcW w:w="1178" w:type="dxa"/>
            <w:tcBorders>
              <w:top w:val="single" w:color="auto" w:sz="8" w:space="0"/>
              <w:bottom w:val="single" w:color="auto" w:sz="8" w:space="0"/>
              <w:right w:val="single" w:color="auto" w:sz="8" w:space="0"/>
            </w:tcBorders>
            <w:vAlign w:val="center"/>
          </w:tcPr>
          <w:p w:rsidRPr="005F5507" w:rsidR="007753AA" w:rsidP="007753AA" w:rsidRDefault="007753AA" w14:paraId="4943A3C4" w14:textId="0F2BE603">
            <w:pPr>
              <w:rPr>
                <w:rFonts w:ascii="Times New Roman" w:hAnsi="Times New Roman" w:cs="Times New Roman"/>
              </w:rPr>
            </w:pPr>
            <w:r w:rsidRPr="00D43D39">
              <w:rPr>
                <w:rFonts w:ascii="Times New Roman" w:hAnsi="Times New Roman" w:eastAsia="Times New Roman" w:cs="Times New Roman"/>
                <w:sz w:val="20"/>
                <w:szCs w:val="20"/>
              </w:rPr>
              <w:t>0030</w:t>
            </w:r>
          </w:p>
        </w:tc>
        <w:tc>
          <w:tcPr>
            <w:tcW w:w="7713" w:type="dxa"/>
            <w:tcBorders>
              <w:top w:val="single" w:color="auto" w:sz="8" w:space="0"/>
              <w:left w:val="single" w:color="auto" w:sz="8" w:space="0"/>
              <w:bottom w:val="single" w:color="auto" w:sz="8" w:space="0"/>
            </w:tcBorders>
            <w:vAlign w:val="bottom"/>
          </w:tcPr>
          <w:p w:rsidRPr="00D43D39" w:rsidR="007753AA" w:rsidP="007753AA" w:rsidRDefault="007753AA" w14:paraId="11E9A0F6" w14:textId="77777777">
            <w:pPr>
              <w:pStyle w:val="TableParagraph"/>
              <w:spacing w:before="108"/>
              <w:ind w:left="85"/>
              <w:jc w:val="both"/>
              <w:rPr>
                <w:rFonts w:ascii="Times New Roman" w:hAnsi="Times New Roman" w:eastAsia="Times New Roman" w:cs="Times New Roman"/>
                <w:b/>
                <w:sz w:val="20"/>
                <w:szCs w:val="20"/>
              </w:rPr>
            </w:pPr>
            <w:r w:rsidRPr="00D43D39">
              <w:rPr>
                <w:rFonts w:ascii="Times New Roman" w:hAnsi="Times New Roman" w:eastAsia="Times New Roman" w:cs="Times New Roman"/>
                <w:b/>
                <w:bCs/>
                <w:sz w:val="20"/>
                <w:szCs w:val="20"/>
              </w:rPr>
              <w:t>Substitutability Y/N</w:t>
            </w:r>
          </w:p>
          <w:p w:rsidRPr="00D43D39" w:rsidR="007753AA" w:rsidP="007753AA" w:rsidRDefault="007753AA" w14:paraId="4AD0AEF8" w14:textId="2F00D732">
            <w:pPr>
              <w:pStyle w:val="TableParagraph"/>
              <w:spacing w:before="108"/>
              <w:ind w:left="85"/>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Ability of User to substitute the clearing service provider in column 0020 with an alternative FMI/intermediary with which it has a contractual relationship at the reporting date. </w:t>
            </w:r>
            <w:r w:rsidR="00B009B9">
              <w:rPr>
                <w:rFonts w:ascii="Times New Roman" w:hAnsi="Times New Roman" w:eastAsia="Times New Roman" w:cs="Times New Roman"/>
                <w:sz w:val="20"/>
                <w:szCs w:val="20"/>
              </w:rPr>
              <w:t>Consider s</w:t>
            </w:r>
            <w:r w:rsidRPr="00D43D39">
              <w:rPr>
                <w:rFonts w:ascii="Times New Roman" w:hAnsi="Times New Roman" w:eastAsia="Times New Roman" w:cs="Times New Roman"/>
                <w:sz w:val="20"/>
                <w:szCs w:val="20"/>
              </w:rPr>
              <w:t>ubstitution to occur in a reasonable timeframe after a resolution event.</w:t>
            </w:r>
          </w:p>
          <w:p w:rsidRPr="00D43D39" w:rsidR="007753AA" w:rsidP="007753AA" w:rsidRDefault="007753AA" w14:paraId="3BA5BF79" w14:textId="6E5CB14A">
            <w:pPr>
              <w:pStyle w:val="TableParagraph"/>
              <w:numPr>
                <w:ilvl w:val="0"/>
                <w:numId w:val="256"/>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‘Y’ if substitution is possible</w:t>
            </w:r>
          </w:p>
          <w:p w:rsidRPr="00D43D39" w:rsidR="007753AA" w:rsidP="005F5507" w:rsidRDefault="007753AA" w14:paraId="750A5A1E" w14:textId="77D0699D">
            <w:pPr>
              <w:pStyle w:val="TableParagraph"/>
              <w:numPr>
                <w:ilvl w:val="0"/>
                <w:numId w:val="256"/>
              </w:numPr>
              <w:spacing w:before="108"/>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‘N’ if substitution is not possible</w:t>
            </w:r>
          </w:p>
          <w:p w:rsidRPr="00D43D39" w:rsidR="007753AA" w:rsidP="005F5507" w:rsidRDefault="007753AA" w14:paraId="618D4C90" w14:textId="62A510F8">
            <w:pPr>
              <w:pStyle w:val="TableParagraph"/>
              <w:spacing w:before="108"/>
              <w:jc w:val="both"/>
              <w:rPr>
                <w:rFonts w:ascii="Times New Roman" w:hAnsi="Times New Roman" w:eastAsia="Times New Roman" w:cs="Times New Roman"/>
                <w:b/>
                <w:sz w:val="20"/>
                <w:szCs w:val="20"/>
              </w:rPr>
            </w:pPr>
          </w:p>
        </w:tc>
      </w:tr>
      <w:tr w:rsidRPr="00D43D39" w:rsidR="007753AA" w:rsidTr="001C34E8" w14:paraId="10472BDE" w14:textId="77777777">
        <w:tc>
          <w:tcPr>
            <w:tcW w:w="1178" w:type="dxa"/>
            <w:tcBorders>
              <w:top w:val="single" w:color="auto" w:sz="8" w:space="0"/>
              <w:bottom w:val="single" w:color="auto" w:sz="8" w:space="0"/>
              <w:right w:val="single" w:color="auto" w:sz="8" w:space="0"/>
            </w:tcBorders>
            <w:vAlign w:val="center"/>
          </w:tcPr>
          <w:p w:rsidRPr="00D43D39" w:rsidR="007753AA" w:rsidP="007753AA" w:rsidRDefault="007753AA" w14:paraId="2AE0F0F2" w14:textId="65FD9ABF">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0040</w:t>
            </w:r>
          </w:p>
        </w:tc>
        <w:tc>
          <w:tcPr>
            <w:tcW w:w="7713" w:type="dxa"/>
            <w:tcBorders>
              <w:top w:val="single" w:color="auto" w:sz="8" w:space="0"/>
              <w:left w:val="single" w:color="auto" w:sz="8" w:space="0"/>
              <w:bottom w:val="single" w:color="auto" w:sz="8" w:space="0"/>
            </w:tcBorders>
            <w:vAlign w:val="bottom"/>
          </w:tcPr>
          <w:p w:rsidRPr="00D43D39" w:rsidR="007753AA" w:rsidP="007753AA" w:rsidRDefault="007753AA" w14:paraId="4D268ED1" w14:textId="77777777">
            <w:pPr>
              <w:pStyle w:val="TableParagraph"/>
              <w:spacing w:before="108" w:after="120"/>
              <w:jc w:val="both"/>
              <w:rPr>
                <w:rFonts w:ascii="Times New Roman" w:hAnsi="Times New Roman" w:eastAsia="Times New Roman" w:cs="Times New Roman"/>
                <w:b/>
                <w:bCs/>
                <w:sz w:val="20"/>
                <w:szCs w:val="20"/>
              </w:rPr>
            </w:pPr>
            <w:r w:rsidRPr="00D43D39">
              <w:rPr>
                <w:rFonts w:ascii="Times New Roman" w:hAnsi="Times New Roman" w:eastAsia="Times New Roman" w:cs="Times New Roman"/>
                <w:b/>
                <w:bCs/>
                <w:sz w:val="20"/>
                <w:szCs w:val="20"/>
              </w:rPr>
              <w:t>Alternative Provider</w:t>
            </w:r>
          </w:p>
          <w:p w:rsidRPr="00D43D39" w:rsidR="007753AA" w:rsidP="007753AA" w:rsidRDefault="007753AA" w14:paraId="5B41C450" w14:textId="77777777">
            <w:pPr>
              <w:spacing w:line="276" w:lineRule="auto"/>
              <w:jc w:val="both"/>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 xml:space="preserve">Name of FMI/intermediary identified as potential substitute. </w:t>
            </w:r>
          </w:p>
          <w:p w:rsidRPr="00D43D39" w:rsidR="007753AA" w:rsidP="007753AA" w:rsidRDefault="007753AA" w14:paraId="1288418B" w14:textId="40754AE3">
            <w:pPr>
              <w:pStyle w:val="TableParagraph"/>
              <w:spacing w:before="108"/>
              <w:ind w:left="85"/>
              <w:jc w:val="both"/>
              <w:rPr>
                <w:rFonts w:ascii="Times New Roman" w:hAnsi="Times New Roman" w:eastAsia="Times New Roman" w:cs="Times New Roman"/>
                <w:b/>
                <w:bCs/>
                <w:sz w:val="20"/>
                <w:szCs w:val="20"/>
              </w:rPr>
            </w:pPr>
            <w:r w:rsidRPr="00D43D39">
              <w:rPr>
                <w:rFonts w:ascii="Times New Roman" w:hAnsi="Times New Roman" w:eastAsia="Times New Roman" w:cs="Times New Roman"/>
                <w:sz w:val="20"/>
                <w:szCs w:val="20"/>
              </w:rPr>
              <w:t>Report only if 00</w:t>
            </w:r>
            <w:r w:rsidRPr="00D43D39" w:rsidR="00242B55">
              <w:rPr>
                <w:rFonts w:ascii="Times New Roman" w:hAnsi="Times New Roman" w:eastAsia="Times New Roman" w:cs="Times New Roman"/>
                <w:sz w:val="20"/>
                <w:szCs w:val="20"/>
              </w:rPr>
              <w:t>3</w:t>
            </w:r>
            <w:r w:rsidRPr="00D43D39">
              <w:rPr>
                <w:rFonts w:ascii="Times New Roman" w:hAnsi="Times New Roman" w:eastAsia="Times New Roman" w:cs="Times New Roman"/>
                <w:sz w:val="20"/>
                <w:szCs w:val="20"/>
              </w:rPr>
              <w:t>0 is Yes.</w:t>
            </w:r>
          </w:p>
        </w:tc>
      </w:tr>
      <w:tr w:rsidRPr="00D43D39" w:rsidR="007753AA" w:rsidTr="001C34E8" w14:paraId="111B4F1F" w14:textId="77777777">
        <w:tc>
          <w:tcPr>
            <w:tcW w:w="1178" w:type="dxa"/>
            <w:tcBorders>
              <w:top w:val="single" w:color="auto" w:sz="8" w:space="0"/>
              <w:bottom w:val="single" w:color="auto" w:sz="8" w:space="0"/>
              <w:right w:val="single" w:color="auto" w:sz="8" w:space="0"/>
            </w:tcBorders>
            <w:vAlign w:val="center"/>
          </w:tcPr>
          <w:p w:rsidRPr="00D43D39" w:rsidR="007753AA" w:rsidP="007753AA" w:rsidRDefault="007753AA" w14:paraId="156AAA3C" w14:textId="1319740D">
            <w:pPr>
              <w:rPr>
                <w:rFonts w:ascii="Times New Roman" w:hAnsi="Times New Roman" w:eastAsia="Times New Roman" w:cs="Times New Roman"/>
                <w:sz w:val="20"/>
                <w:szCs w:val="20"/>
              </w:rPr>
            </w:pPr>
            <w:r w:rsidRPr="00D43D39">
              <w:rPr>
                <w:rFonts w:ascii="Times New Roman" w:hAnsi="Times New Roman" w:eastAsia="Times New Roman" w:cs="Times New Roman"/>
                <w:sz w:val="20"/>
                <w:szCs w:val="20"/>
              </w:rPr>
              <w:t>0050</w:t>
            </w:r>
          </w:p>
        </w:tc>
        <w:tc>
          <w:tcPr>
            <w:tcW w:w="7713" w:type="dxa"/>
            <w:tcBorders>
              <w:top w:val="single" w:color="auto" w:sz="8" w:space="0"/>
              <w:left w:val="single" w:color="auto" w:sz="8" w:space="0"/>
              <w:bottom w:val="single" w:color="auto" w:sz="8" w:space="0"/>
            </w:tcBorders>
            <w:vAlign w:val="bottom"/>
          </w:tcPr>
          <w:p w:rsidRPr="00D43D39" w:rsidR="007753AA" w:rsidP="007753AA" w:rsidRDefault="007753AA" w14:paraId="5285CB52" w14:textId="77777777">
            <w:pPr>
              <w:pStyle w:val="TableParagraph"/>
              <w:spacing w:before="108"/>
              <w:jc w:val="both"/>
              <w:rPr>
                <w:rFonts w:ascii="Times New Roman" w:hAnsi="Times New Roman" w:eastAsia="Times New Roman" w:cs="Times New Roman"/>
                <w:b/>
                <w:bCs/>
                <w:sz w:val="20"/>
                <w:szCs w:val="20"/>
              </w:rPr>
            </w:pPr>
            <w:r w:rsidRPr="00D43D39">
              <w:rPr>
                <w:rFonts w:ascii="Times New Roman" w:hAnsi="Times New Roman" w:eastAsia="Times New Roman" w:cs="Times New Roman"/>
                <w:b/>
                <w:bCs/>
                <w:sz w:val="20"/>
                <w:szCs w:val="20"/>
              </w:rPr>
              <w:t>ID alternative provider</w:t>
            </w:r>
          </w:p>
          <w:p w:rsidRPr="00D43D39" w:rsidR="007753AA" w:rsidP="007753AA" w:rsidRDefault="007753AA" w14:paraId="71D5F642" w14:textId="77777777">
            <w:pPr>
              <w:spacing w:after="120" w:line="276" w:lineRule="auto"/>
              <w:jc w:val="both"/>
              <w:rPr>
                <w:rFonts w:ascii="Times New Roman" w:hAnsi="Times New Roman" w:eastAsia="Times New Roman" w:cs="Times New Roman"/>
                <w:b/>
                <w:bCs/>
                <w:sz w:val="20"/>
                <w:szCs w:val="20"/>
              </w:rPr>
            </w:pPr>
            <w:r w:rsidRPr="00D43D39">
              <w:rPr>
                <w:rFonts w:ascii="Times New Roman" w:hAnsi="Times New Roman" w:eastAsia="Times New Roman" w:cs="Times New Roman"/>
                <w:sz w:val="20"/>
                <w:szCs w:val="20"/>
              </w:rPr>
              <w:t>Unique ID representing combination of user, FMI, system type and intermediary of the Alternative Provider with which the User has an established contractual relationship as reported in Z09.01 column 0010.</w:t>
            </w:r>
            <w:r w:rsidRPr="00D43D39">
              <w:rPr>
                <w:rFonts w:ascii="Times New Roman" w:hAnsi="Times New Roman" w:eastAsia="Times New Roman" w:cs="Times New Roman"/>
                <w:b/>
                <w:bCs/>
                <w:sz w:val="20"/>
                <w:szCs w:val="20"/>
              </w:rPr>
              <w:t xml:space="preserve"> </w:t>
            </w:r>
          </w:p>
          <w:p w:rsidRPr="00D43D39" w:rsidR="007753AA" w:rsidP="007753AA" w:rsidRDefault="007753AA" w14:paraId="38117752" w14:textId="5995A477">
            <w:pPr>
              <w:pStyle w:val="TableParagraph"/>
              <w:spacing w:before="108"/>
              <w:ind w:left="85"/>
              <w:jc w:val="both"/>
              <w:rPr>
                <w:rFonts w:ascii="Times New Roman" w:hAnsi="Times New Roman" w:eastAsia="Times New Roman" w:cs="Times New Roman"/>
                <w:b/>
                <w:bCs/>
                <w:sz w:val="20"/>
                <w:szCs w:val="20"/>
              </w:rPr>
            </w:pPr>
            <w:r w:rsidRPr="00D43D39">
              <w:rPr>
                <w:rFonts w:ascii="Times New Roman" w:hAnsi="Times New Roman" w:eastAsia="Times New Roman" w:cs="Times New Roman"/>
                <w:sz w:val="20"/>
                <w:szCs w:val="20"/>
              </w:rPr>
              <w:t>Report only if 00</w:t>
            </w:r>
            <w:r w:rsidRPr="00D43D39" w:rsidR="00242B55">
              <w:rPr>
                <w:rFonts w:ascii="Times New Roman" w:hAnsi="Times New Roman" w:eastAsia="Times New Roman" w:cs="Times New Roman"/>
                <w:sz w:val="20"/>
                <w:szCs w:val="20"/>
              </w:rPr>
              <w:t>3</w:t>
            </w:r>
            <w:r w:rsidRPr="00D43D39">
              <w:rPr>
                <w:rFonts w:ascii="Times New Roman" w:hAnsi="Times New Roman" w:eastAsia="Times New Roman" w:cs="Times New Roman"/>
                <w:sz w:val="20"/>
                <w:szCs w:val="20"/>
              </w:rPr>
              <w:t>0 is Yes.</w:t>
            </w:r>
          </w:p>
        </w:tc>
      </w:tr>
    </w:tbl>
    <w:p w:rsidRPr="00D43D39" w:rsidR="00E77BFB" w:rsidP="00E77BFB" w:rsidRDefault="00E77BFB" w14:paraId="417C9B82" w14:textId="750FFA35">
      <w:pPr>
        <w:rPr>
          <w:rFonts w:ascii="Times New Roman" w:hAnsi="Times New Roman" w:cs="Times New Roman"/>
          <w:b/>
          <w:color w:val="000000" w:themeColor="text1"/>
          <w:sz w:val="20"/>
          <w:szCs w:val="20"/>
          <w:u w:val="single"/>
          <w:lang w:val="en-GB"/>
        </w:rPr>
      </w:pPr>
      <w:bookmarkStart w:name="_Toc80891744" w:id="203"/>
      <w:bookmarkStart w:name="_Toc81454206" w:id="204"/>
      <w:bookmarkStart w:name="_Toc81485521" w:id="205"/>
      <w:bookmarkStart w:name="_Toc81485598" w:id="206"/>
      <w:bookmarkStart w:name="_Toc81485719" w:id="207"/>
      <w:bookmarkStart w:name="_Toc81486003" w:id="208"/>
      <w:bookmarkStart w:name="_Toc160028011" w:id="209"/>
      <w:bookmarkStart w:name="_Toc160028083" w:id="210"/>
      <w:bookmarkStart w:name="_Toc160028155" w:id="211"/>
      <w:bookmarkStart w:name="_Toc80891746" w:id="212"/>
      <w:bookmarkStart w:name="_Toc81454208" w:id="213"/>
      <w:bookmarkStart w:name="_Toc81485523" w:id="214"/>
      <w:bookmarkStart w:name="_Toc81485600" w:id="215"/>
      <w:bookmarkStart w:name="_Toc81485721" w:id="216"/>
      <w:bookmarkStart w:name="_Toc81486005" w:id="217"/>
      <w:bookmarkStart w:name="_Toc160028013" w:id="218"/>
      <w:bookmarkStart w:name="_Toc160028085" w:id="219"/>
      <w:bookmarkStart w:name="_Toc160028157" w:id="22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Pr="00D43D39" w:rsidR="005B682F" w:rsidP="005B682F" w:rsidRDefault="005B682F" w14:paraId="41532D06" w14:textId="77777777">
      <w:pPr>
        <w:pStyle w:val="Instructionsberschrift2"/>
        <w:ind w:left="357"/>
        <w:rPr>
          <w:rFonts w:ascii="Times New Roman" w:hAnsi="Times New Roman" w:eastAsia="Calibri" w:cs="Times New Roman"/>
          <w:szCs w:val="20"/>
        </w:rPr>
      </w:pPr>
    </w:p>
    <w:p w:rsidRPr="005F5507" w:rsidR="005B682F" w:rsidP="00ED2B1D" w:rsidRDefault="005B682F" w14:paraId="572F1CDA" w14:textId="77777777">
      <w:pPr>
        <w:pStyle w:val="Instructionsberschrift2"/>
        <w:numPr>
          <w:ilvl w:val="1"/>
          <w:numId w:val="49"/>
        </w:numPr>
        <w:spacing w:before="0"/>
        <w:ind w:left="357" w:hanging="357"/>
        <w:rPr>
          <w:rFonts w:ascii="Times New Roman" w:hAnsi="Times New Roman" w:cs="Times New Roman"/>
        </w:rPr>
      </w:pPr>
      <w:bookmarkStart w:name="_Toc172732253" w:id="221"/>
      <w:r w:rsidRPr="005F5507">
        <w:rPr>
          <w:rFonts w:ascii="Times New Roman" w:hAnsi="Times New Roman" w:cs="Times New Roman" w:eastAsiaTheme="minorEastAsia"/>
        </w:rPr>
        <w:t>Liability Analysis</w:t>
      </w:r>
      <w:bookmarkEnd w:id="221"/>
    </w:p>
    <w:p w:rsidRPr="005F5507" w:rsidR="005B682F" w:rsidP="005F5507" w:rsidRDefault="005B682F" w14:paraId="3D533AAA" w14:textId="47A8EDB6">
      <w:pPr>
        <w:pStyle w:val="Instructionsberschrift2"/>
        <w:numPr>
          <w:ilvl w:val="1"/>
          <w:numId w:val="49"/>
        </w:numPr>
        <w:spacing w:before="0"/>
        <w:ind w:left="357" w:hanging="357"/>
        <w:rPr>
          <w:rFonts w:ascii="Times New Roman" w:hAnsi="Times New Roman" w:cs="Times New Roman"/>
          <w:lang w:val="fr-BE"/>
        </w:rPr>
      </w:pPr>
      <w:bookmarkStart w:name="_Toc172732254" w:id="222"/>
      <w:r w:rsidRPr="00056E47">
        <w:rPr>
          <w:rFonts w:ascii="Times New Roman" w:hAnsi="Times New Roman" w:cs="Times New Roman"/>
          <w:color w:val="000000" w:themeColor="text1"/>
          <w:lang w:val="fr-BE"/>
        </w:rPr>
        <w:t>Z10.01 Intragroup Liabilities</w:t>
      </w:r>
      <w:r w:rsidRPr="00056E47">
        <w:rPr>
          <w:rFonts w:ascii="Times New Roman" w:hAnsi="Times New Roman" w:eastAsia="Calibri" w:cs="Times New Roman"/>
          <w:szCs w:val="20"/>
          <w:lang w:val="fr-BE"/>
        </w:rPr>
        <w:t xml:space="preserve"> </w:t>
      </w:r>
      <w:r w:rsidRPr="00056E47" w:rsidR="00056E47">
        <w:rPr>
          <w:rFonts w:ascii="Times New Roman" w:hAnsi="Times New Roman" w:eastAsia="Calibri" w:cs="Times New Roman"/>
          <w:szCs w:val="20"/>
          <w:lang w:val="fr-BE"/>
        </w:rPr>
        <w:t>(LIAB-G-1)</w:t>
      </w:r>
      <w:bookmarkEnd w:id="222"/>
    </w:p>
    <w:p w:rsidRPr="005F5507" w:rsidR="009C6E85" w:rsidP="005F5507" w:rsidRDefault="009C6E85" w14:paraId="5E68DA84" w14:textId="5241A2E0">
      <w:pPr>
        <w:pStyle w:val="Numberedtitlelevel3"/>
        <w:rPr>
          <w:rFonts w:ascii="Times New Roman" w:hAnsi="Times New Roman" w:cs="Times New Roman"/>
          <w:color w:val="auto"/>
          <w:szCs w:val="20"/>
          <w:lang w:eastAsia="de-DE"/>
        </w:rPr>
      </w:pPr>
      <w:bookmarkStart w:name="_Toc81454213" w:id="223"/>
      <w:r w:rsidRPr="005F5507">
        <w:rPr>
          <w:rFonts w:ascii="Times New Roman" w:hAnsi="Times New Roman" w:eastAsia="Times New Roman" w:cs="Times New Roman"/>
          <w:b w:val="0"/>
          <w:color w:val="auto"/>
          <w:sz w:val="20"/>
          <w:szCs w:val="20"/>
          <w:lang w:val="en-GB" w:eastAsia="de-DE"/>
        </w:rPr>
        <w:t>General remarks</w:t>
      </w:r>
    </w:p>
    <w:p w:rsidRPr="005F5507" w:rsidR="003D0EB0" w:rsidP="005F5507" w:rsidRDefault="003D0EB0" w14:paraId="7F19AF4B" w14:textId="52EF2679">
      <w:pPr>
        <w:pStyle w:val="InstructionsText2"/>
        <w:numPr>
          <w:ilvl w:val="2"/>
          <w:numId w:val="209"/>
        </w:numPr>
        <w:spacing w:before="0"/>
        <w:ind w:left="1276"/>
        <w:rPr>
          <w:rFonts w:ascii="Times New Roman" w:hAnsi="Times New Roman" w:cs="Times New Roman" w:eastAsiaTheme="majorEastAsia"/>
          <w:sz w:val="20"/>
          <w:szCs w:val="20"/>
          <w:lang w:val="en-GB"/>
        </w:rPr>
      </w:pPr>
      <w:r w:rsidRPr="00D43D39">
        <w:rPr>
          <w:rFonts w:ascii="Times New Roman" w:hAnsi="Times New Roman" w:cs="Times New Roman"/>
          <w:sz w:val="20"/>
          <w:szCs w:val="20"/>
          <w:lang w:val="en-GB"/>
        </w:rPr>
        <w:t>This table requires information on intragroup liabilities covers all own funds and liabilities</w:t>
      </w:r>
      <w:r w:rsidR="00E41ECE">
        <w:rPr>
          <w:rFonts w:ascii="Times New Roman" w:hAnsi="Times New Roman" w:cs="Times New Roman"/>
          <w:sz w:val="20"/>
          <w:szCs w:val="20"/>
          <w:lang w:val="en-GB"/>
        </w:rPr>
        <w:t>.</w:t>
      </w:r>
    </w:p>
    <w:p w:rsidRPr="005F5507" w:rsidR="003D0EB0" w:rsidP="005F5507" w:rsidRDefault="003D0EB0" w14:paraId="405452B4" w14:textId="2D5E01CF">
      <w:pPr>
        <w:pStyle w:val="InstructionsText2"/>
        <w:numPr>
          <w:ilvl w:val="2"/>
          <w:numId w:val="209"/>
        </w:numPr>
        <w:spacing w:before="0"/>
        <w:ind w:left="1276"/>
        <w:rPr>
          <w:rFonts w:ascii="Times New Roman" w:hAnsi="Times New Roman" w:cs="Times New Roman" w:eastAsiaTheme="majorEastAsia"/>
          <w:sz w:val="20"/>
          <w:szCs w:val="20"/>
          <w:lang w:val="en-GB"/>
        </w:rPr>
      </w:pPr>
      <w:r w:rsidRPr="00D43D39">
        <w:rPr>
          <w:rFonts w:ascii="Times New Roman" w:hAnsi="Times New Roman" w:cs="Times New Roman"/>
          <w:sz w:val="20"/>
          <w:szCs w:val="20"/>
          <w:lang w:val="en-GB"/>
        </w:rPr>
        <w:t>Entities to be considered as intragroup are those that - in line with the definition of column 0100 of Z02.00 - belong to the accounting scope of consolidation of the ultimate parent entity. As a result, these liabilities shall not be reported under the detailed tabs Z1</w:t>
      </w:r>
      <w:r w:rsidRPr="00D43D39" w:rsidR="004B7506">
        <w:rPr>
          <w:rFonts w:ascii="Times New Roman" w:hAnsi="Times New Roman" w:cs="Times New Roman"/>
          <w:sz w:val="20"/>
          <w:szCs w:val="20"/>
          <w:lang w:val="en-GB"/>
        </w:rPr>
        <w:t>0</w:t>
      </w:r>
      <w:r w:rsidRPr="00D43D39">
        <w:rPr>
          <w:rFonts w:ascii="Times New Roman" w:hAnsi="Times New Roman" w:cs="Times New Roman"/>
          <w:sz w:val="20"/>
          <w:szCs w:val="20"/>
          <w:lang w:val="en-GB"/>
        </w:rPr>
        <w:t>.0</w:t>
      </w:r>
      <w:r w:rsidRPr="00D43D39" w:rsidR="0018213C">
        <w:rPr>
          <w:rFonts w:ascii="Times New Roman" w:hAnsi="Times New Roman" w:cs="Times New Roman"/>
          <w:sz w:val="20"/>
          <w:szCs w:val="20"/>
          <w:lang w:val="en-GB"/>
        </w:rPr>
        <w:t>2</w:t>
      </w:r>
      <w:r w:rsidRPr="00D43D39">
        <w:rPr>
          <w:rFonts w:ascii="Times New Roman" w:hAnsi="Times New Roman" w:cs="Times New Roman"/>
          <w:sz w:val="20"/>
          <w:szCs w:val="20"/>
          <w:lang w:val="en-GB"/>
        </w:rPr>
        <w:t xml:space="preserve"> through Z1</w:t>
      </w:r>
      <w:r w:rsidRPr="00D43D39" w:rsidR="004B7506">
        <w:rPr>
          <w:rFonts w:ascii="Times New Roman" w:hAnsi="Times New Roman" w:cs="Times New Roman"/>
          <w:sz w:val="20"/>
          <w:szCs w:val="20"/>
          <w:lang w:val="en-GB"/>
        </w:rPr>
        <w:t>0</w:t>
      </w:r>
      <w:r w:rsidRPr="00D43D39">
        <w:rPr>
          <w:rFonts w:ascii="Times New Roman" w:hAnsi="Times New Roman" w:cs="Times New Roman"/>
          <w:sz w:val="20"/>
          <w:szCs w:val="20"/>
          <w:lang w:val="en-GB"/>
        </w:rPr>
        <w:t>.0</w:t>
      </w:r>
      <w:r w:rsidRPr="00D43D39" w:rsidR="004B7506">
        <w:rPr>
          <w:rFonts w:ascii="Times New Roman" w:hAnsi="Times New Roman" w:cs="Times New Roman"/>
          <w:sz w:val="20"/>
          <w:szCs w:val="20"/>
          <w:lang w:val="en-GB"/>
        </w:rPr>
        <w:t>7</w:t>
      </w:r>
      <w:r w:rsidRPr="00D43D39" w:rsidR="0018213C">
        <w:rPr>
          <w:rFonts w:ascii="Times New Roman" w:hAnsi="Times New Roman" w:cs="Times New Roman"/>
          <w:sz w:val="20"/>
          <w:szCs w:val="20"/>
          <w:lang w:val="en-GB"/>
        </w:rPr>
        <w:t>, except for Z10.05 Derivatives (</w:t>
      </w:r>
      <w:r w:rsidRPr="00D43D39" w:rsidR="0041076C">
        <w:rPr>
          <w:rFonts w:ascii="Times New Roman" w:hAnsi="Times New Roman" w:cs="Times New Roman"/>
          <w:sz w:val="20"/>
          <w:szCs w:val="20"/>
          <w:lang w:val="en-GB"/>
        </w:rPr>
        <w:t>see below</w:t>
      </w:r>
      <w:r w:rsidRPr="00D43D39" w:rsidR="0018213C">
        <w:rPr>
          <w:rFonts w:ascii="Times New Roman" w:hAnsi="Times New Roman" w:cs="Times New Roman"/>
          <w:sz w:val="20"/>
          <w:szCs w:val="20"/>
          <w:lang w:val="en-GB"/>
        </w:rPr>
        <w:t>)</w:t>
      </w:r>
      <w:r w:rsidRPr="00D43D39">
        <w:rPr>
          <w:rFonts w:ascii="Times New Roman" w:hAnsi="Times New Roman" w:cs="Times New Roman"/>
          <w:sz w:val="20"/>
          <w:szCs w:val="20"/>
          <w:lang w:val="en-GB"/>
        </w:rPr>
        <w:t>.</w:t>
      </w:r>
    </w:p>
    <w:p w:rsidRPr="005F5507" w:rsidR="003D0EB0" w:rsidP="005F5507" w:rsidRDefault="003D0EB0" w14:paraId="515600D9" w14:textId="39B0B2F2">
      <w:pPr>
        <w:pStyle w:val="InstructionsText2"/>
        <w:numPr>
          <w:ilvl w:val="2"/>
          <w:numId w:val="209"/>
        </w:numPr>
        <w:spacing w:before="0"/>
        <w:ind w:left="1276"/>
        <w:rPr>
          <w:rFonts w:ascii="Times New Roman" w:hAnsi="Times New Roman" w:cs="Times New Roman" w:eastAsiaTheme="majorEastAsia"/>
          <w:sz w:val="20"/>
          <w:szCs w:val="20"/>
          <w:lang w:val="en-GB"/>
        </w:rPr>
      </w:pPr>
      <w:r w:rsidRPr="00D43D39">
        <w:rPr>
          <w:rFonts w:ascii="Times New Roman" w:hAnsi="Times New Roman" w:cs="Times New Roman"/>
          <w:sz w:val="20"/>
          <w:szCs w:val="20"/>
          <w:lang w:val="en-GB"/>
        </w:rPr>
        <w:t xml:space="preserve">Derivatives are specific in nature and </w:t>
      </w:r>
      <w:r w:rsidR="00B009B9">
        <w:rPr>
          <w:rFonts w:ascii="Times New Roman" w:hAnsi="Times New Roman" w:cs="Times New Roman"/>
          <w:sz w:val="20"/>
          <w:szCs w:val="20"/>
          <w:lang w:val="en-GB"/>
        </w:rPr>
        <w:t>are</w:t>
      </w:r>
      <w:r w:rsidRPr="00D43D39">
        <w:rPr>
          <w:rFonts w:ascii="Times New Roman" w:hAnsi="Times New Roman" w:cs="Times New Roman"/>
          <w:sz w:val="20"/>
          <w:szCs w:val="20"/>
          <w:lang w:val="en-GB"/>
        </w:rPr>
        <w:t xml:space="preserve"> not be reported under </w:t>
      </w:r>
      <w:r w:rsidRPr="005F5507">
        <w:rPr>
          <w:rFonts w:ascii="Times New Roman" w:hAnsi="Times New Roman" w:cs="Times New Roman"/>
          <w:sz w:val="20"/>
          <w:szCs w:val="20"/>
          <w:lang w:val="en-GB"/>
        </w:rPr>
        <w:t>Z1</w:t>
      </w:r>
      <w:r w:rsidRPr="005F5507" w:rsidR="004B7506">
        <w:rPr>
          <w:rFonts w:ascii="Times New Roman" w:hAnsi="Times New Roman" w:cs="Times New Roman"/>
          <w:sz w:val="20"/>
          <w:szCs w:val="20"/>
          <w:lang w:val="en-GB"/>
        </w:rPr>
        <w:t>0</w:t>
      </w:r>
      <w:r w:rsidRPr="00D43D39">
        <w:rPr>
          <w:rFonts w:ascii="Times New Roman" w:hAnsi="Times New Roman" w:cs="Times New Roman"/>
          <w:sz w:val="20"/>
          <w:szCs w:val="20"/>
          <w:lang w:val="en-GB"/>
        </w:rPr>
        <w:t>.01 but always in Z1</w:t>
      </w:r>
      <w:r w:rsidRPr="00D43D39" w:rsidR="004B7506">
        <w:rPr>
          <w:rFonts w:ascii="Times New Roman" w:hAnsi="Times New Roman" w:cs="Times New Roman"/>
          <w:sz w:val="20"/>
          <w:szCs w:val="20"/>
          <w:lang w:val="en-GB"/>
        </w:rPr>
        <w:t>0</w:t>
      </w:r>
      <w:r w:rsidRPr="00D43D39">
        <w:rPr>
          <w:rFonts w:ascii="Times New Roman" w:hAnsi="Times New Roman" w:cs="Times New Roman"/>
          <w:sz w:val="20"/>
          <w:szCs w:val="20"/>
          <w:lang w:val="en-GB"/>
        </w:rPr>
        <w:t>.0</w:t>
      </w:r>
      <w:r w:rsidRPr="00D43D39" w:rsidR="004B7506">
        <w:rPr>
          <w:rFonts w:ascii="Times New Roman" w:hAnsi="Times New Roman" w:cs="Times New Roman"/>
          <w:sz w:val="20"/>
          <w:szCs w:val="20"/>
          <w:lang w:val="en-GB"/>
        </w:rPr>
        <w:t>5</w:t>
      </w:r>
      <w:r w:rsidRPr="00D43D39">
        <w:rPr>
          <w:rFonts w:ascii="Times New Roman" w:hAnsi="Times New Roman" w:cs="Times New Roman"/>
          <w:sz w:val="20"/>
          <w:szCs w:val="20"/>
          <w:lang w:val="en-GB"/>
        </w:rPr>
        <w:t>.</w:t>
      </w:r>
    </w:p>
    <w:p w:rsidRPr="005F5507" w:rsidR="003D0EB0" w:rsidP="005F5507" w:rsidRDefault="003D0EB0" w14:paraId="20D8B2C6" w14:textId="32E8EE8F">
      <w:pPr>
        <w:pStyle w:val="InstructionsText2"/>
        <w:numPr>
          <w:ilvl w:val="2"/>
          <w:numId w:val="209"/>
        </w:numPr>
        <w:spacing w:before="0"/>
        <w:ind w:left="1276"/>
        <w:rPr>
          <w:rFonts w:ascii="Times New Roman" w:hAnsi="Times New Roman" w:cs="Times New Roman" w:eastAsiaTheme="majorEastAsia"/>
          <w:sz w:val="20"/>
          <w:szCs w:val="20"/>
          <w:lang w:val="en-GB"/>
        </w:rPr>
      </w:pPr>
      <w:r w:rsidRPr="00D43D39">
        <w:rPr>
          <w:rFonts w:ascii="Times New Roman" w:hAnsi="Times New Roman" w:cs="Times New Roman"/>
          <w:sz w:val="20"/>
          <w:szCs w:val="20"/>
          <w:lang w:val="en-GB"/>
        </w:rPr>
        <w:t>All liabilities issued to entities within the accounting scope of consolidation</w:t>
      </w:r>
      <w:r w:rsidRPr="00D43D39" w:rsidR="00F906DE">
        <w:rPr>
          <w:rFonts w:ascii="Times New Roman" w:hAnsi="Times New Roman" w:cs="Times New Roman"/>
          <w:sz w:val="20"/>
          <w:szCs w:val="20"/>
          <w:lang w:val="en-GB"/>
        </w:rPr>
        <w:t xml:space="preserve"> (including SPVs under the scope of consolidation)</w:t>
      </w:r>
      <w:r w:rsidRPr="00D43D39">
        <w:rPr>
          <w:rFonts w:ascii="Times New Roman" w:hAnsi="Times New Roman" w:cs="Times New Roman"/>
          <w:sz w:val="20"/>
          <w:szCs w:val="20"/>
          <w:lang w:val="en-GB"/>
        </w:rPr>
        <w:t xml:space="preserve"> both inside and outside of the resolution group shall be reported in template Z1</w:t>
      </w:r>
      <w:r w:rsidRPr="00D43D39" w:rsidR="004B7506">
        <w:rPr>
          <w:rFonts w:ascii="Times New Roman" w:hAnsi="Times New Roman" w:cs="Times New Roman"/>
          <w:sz w:val="20"/>
          <w:szCs w:val="20"/>
          <w:lang w:val="en-GB"/>
        </w:rPr>
        <w:t>0</w:t>
      </w:r>
      <w:r w:rsidRPr="00D43D39">
        <w:rPr>
          <w:rFonts w:ascii="Times New Roman" w:hAnsi="Times New Roman" w:cs="Times New Roman"/>
          <w:sz w:val="20"/>
          <w:szCs w:val="20"/>
          <w:lang w:val="en-GB"/>
        </w:rPr>
        <w:t>.01. For the purposes of this table, liabilities have to be reported on a transaction basis, i.e. each transaction reported as an individual row item. However, transactions must be reported in multiple row items in case they pertain to different insolvency rankings.</w:t>
      </w:r>
    </w:p>
    <w:p w:rsidRPr="00D43D39" w:rsidR="00451DEE" w:rsidP="005F5507" w:rsidRDefault="00451DEE" w14:paraId="1290AB26" w14:textId="7B76D2FF">
      <w:pPr>
        <w:pStyle w:val="Numberedtitlelevel3"/>
        <w:rPr>
          <w:rFonts w:ascii="Times New Roman" w:hAnsi="Times New Roman" w:cs="Times New Roman"/>
          <w:b w:val="0"/>
          <w:color w:val="000000" w:themeColor="text1"/>
          <w:sz w:val="20"/>
          <w:szCs w:val="20"/>
          <w:u w:val="single"/>
          <w:lang w:val="en-GB"/>
        </w:rPr>
      </w:pPr>
      <w:r w:rsidRPr="00D43D39">
        <w:rPr>
          <w:rFonts w:ascii="Times New Roman" w:hAnsi="Times New Roman" w:cs="Times New Roman"/>
          <w:b w:val="0"/>
          <w:color w:val="000000" w:themeColor="text1"/>
          <w:sz w:val="20"/>
          <w:szCs w:val="20"/>
          <w:u w:val="single"/>
          <w:lang w:val="en-GB"/>
        </w:rPr>
        <w:t>Instructions concerning specific positions</w:t>
      </w:r>
    </w:p>
    <w:tbl>
      <w:tblPr>
        <w:tblW w:w="0" w:type="auto"/>
        <w:tblLook w:val="01E0" w:firstRow="1" w:lastRow="1" w:firstColumn="1" w:lastColumn="1" w:noHBand="0" w:noVBand="0"/>
      </w:tblPr>
      <w:tblGrid>
        <w:gridCol w:w="1244"/>
        <w:gridCol w:w="7717"/>
        <w:gridCol w:w="65"/>
      </w:tblGrid>
      <w:tr w:rsidRPr="00D43D39" w:rsidR="009C6E85" w:rsidTr="005F5507" w14:paraId="3FAA7286" w14:textId="77777777">
        <w:trPr>
          <w:gridAfter w:val="1"/>
          <w:wAfter w:w="65" w:type="dxa"/>
          <w:tblHeader/>
        </w:trPr>
        <w:tc>
          <w:tcPr>
            <w:tcW w:w="1244" w:type="dxa"/>
            <w:tcBorders>
              <w:top w:val="single" w:color="1A171C" w:sz="4" w:space="0"/>
              <w:left w:val="nil"/>
              <w:bottom w:val="single" w:color="1A171C" w:sz="4" w:space="0"/>
              <w:right w:val="single" w:color="1A171C" w:sz="4" w:space="0"/>
            </w:tcBorders>
            <w:shd w:val="clear" w:color="auto" w:fill="E4E5E5"/>
          </w:tcPr>
          <w:p w:rsidRPr="00D43D39" w:rsidR="009C6E85" w:rsidP="005B062B" w:rsidRDefault="00F30147" w14:paraId="04056CFE" w14:textId="7F1AFA4C">
            <w:pPr>
              <w:pStyle w:val="TableParagraph"/>
              <w:spacing w:before="108"/>
              <w:ind w:left="85"/>
              <w:rPr>
                <w:rFonts w:ascii="Times New Roman" w:hAnsi="Times New Roman" w:eastAsia="Cambria" w:cs="Times New Roman"/>
                <w:color w:val="000000" w:themeColor="text1"/>
                <w:sz w:val="20"/>
                <w:szCs w:val="20"/>
                <w:lang w:val="en-GB"/>
              </w:rPr>
            </w:pPr>
            <w:r>
              <w:rPr>
                <w:rFonts w:ascii="Times New Roman" w:hAnsi="Times New Roman" w:eastAsia="Cambria" w:cs="Times New Roman"/>
                <w:color w:val="000000" w:themeColor="text1"/>
                <w:sz w:val="20"/>
                <w:szCs w:val="20"/>
                <w:lang w:val="en-GB"/>
              </w:rPr>
              <w:t>Columns</w:t>
            </w:r>
            <w:r w:rsidRPr="00D43D39" w:rsidR="003D0EB0">
              <w:rPr>
                <w:rFonts w:ascii="Times New Roman" w:hAnsi="Times New Roman" w:eastAsia="Cambria" w:cs="Times New Roman"/>
                <w:color w:val="000000" w:themeColor="text1"/>
                <w:sz w:val="20"/>
                <w:szCs w:val="20"/>
                <w:lang w:val="en-GB"/>
              </w:rPr>
              <w:t xml:space="preserve"> </w:t>
            </w:r>
          </w:p>
        </w:tc>
        <w:tc>
          <w:tcPr>
            <w:tcW w:w="7717" w:type="dxa"/>
            <w:tcBorders>
              <w:top w:val="single" w:color="1A171C" w:sz="4" w:space="0"/>
              <w:left w:val="single" w:color="1A171C" w:sz="4" w:space="0"/>
              <w:bottom w:val="single" w:color="1A171C" w:sz="4" w:space="0"/>
              <w:right w:val="nil"/>
            </w:tcBorders>
            <w:shd w:val="clear" w:color="auto" w:fill="E4E5E5"/>
          </w:tcPr>
          <w:p w:rsidRPr="00D43D39" w:rsidR="009C6E85" w:rsidP="005B062B" w:rsidRDefault="009C6E85" w14:paraId="5F32EC91" w14:textId="77777777">
            <w:pPr>
              <w:pStyle w:val="TableParagraph"/>
              <w:spacing w:before="108"/>
              <w:ind w:left="85" w:right="1"/>
              <w:rPr>
                <w:rFonts w:ascii="Times New Roman" w:hAnsi="Times New Roman" w:eastAsia="Cambria"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Instructions</w:t>
            </w:r>
          </w:p>
        </w:tc>
      </w:tr>
      <w:tr w:rsidRPr="00D43D39" w:rsidR="009C6E85" w:rsidTr="005F5507" w14:paraId="42725EFE"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08F852E7" w14:textId="77777777">
            <w:pPr>
              <w:rPr>
                <w:rFonts w:ascii="Times New Roman" w:hAnsi="Times New Roman" w:cs="Times New Roman"/>
              </w:rPr>
            </w:pPr>
            <w:r w:rsidRPr="005F5507">
              <w:rPr>
                <w:rFonts w:ascii="Times New Roman" w:hAnsi="Times New Roman" w:eastAsia="Times New Roman" w:cs="Times New Roman"/>
                <w:sz w:val="20"/>
                <w:szCs w:val="20"/>
              </w:rPr>
              <w:t>0010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C6E85" w:rsidP="005F5507" w:rsidRDefault="009C6E85" w14:paraId="399121B0"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N° </w:t>
            </w:r>
          </w:p>
          <w:p w:rsidRPr="005F5507" w:rsidR="009C6E85" w:rsidP="005F5507" w:rsidRDefault="009C6E85" w14:paraId="0FC63881" w14:textId="0317464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Unique number/primary key to identify the row items.</w:t>
            </w:r>
            <w:r w:rsidRPr="005F5507" w:rsidR="00842EC3">
              <w:rPr>
                <w:rFonts w:ascii="Times New Roman" w:hAnsi="Times New Roman" w:eastAsia="Times New Roman" w:cs="Times New Roman"/>
                <w:sz w:val="20"/>
                <w:szCs w:val="20"/>
              </w:rPr>
              <w:t xml:space="preserve"> </w:t>
            </w:r>
          </w:p>
        </w:tc>
      </w:tr>
      <w:tr w:rsidRPr="00D43D39" w:rsidR="009C6E85" w:rsidTr="005F5507" w14:paraId="4B88D215"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38B2FD9B" w14:textId="77777777">
            <w:pPr>
              <w:rPr>
                <w:rFonts w:ascii="Times New Roman" w:hAnsi="Times New Roman" w:cs="Times New Roman"/>
              </w:rPr>
            </w:pPr>
            <w:r w:rsidRPr="005F5507">
              <w:rPr>
                <w:rFonts w:ascii="Times New Roman" w:hAnsi="Times New Roman" w:eastAsia="Times New Roman" w:cs="Times New Roman"/>
                <w:sz w:val="20"/>
                <w:szCs w:val="20"/>
              </w:rPr>
              <w:t>0020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C6E85" w:rsidP="005F5507" w:rsidRDefault="009C6E85" w14:paraId="45B7FA27"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Row </w:t>
            </w:r>
          </w:p>
          <w:p w:rsidRPr="005F5507" w:rsidR="009C6E85" w:rsidP="005F5507" w:rsidRDefault="009C6E85" w14:paraId="3E0471A6" w14:textId="37CF7B3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For each instrument, a reconciliation with the categories of liabilities of the liability structure in Z02.00 has to be provided from a predefined list of values.</w:t>
            </w:r>
          </w:p>
        </w:tc>
      </w:tr>
      <w:tr w:rsidRPr="00D43D39" w:rsidR="009C6E85" w:rsidTr="005F5507" w14:paraId="09F99AC8"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5AF0553B" w14:textId="6ADA6732">
            <w:pPr>
              <w:rPr>
                <w:rFonts w:ascii="Times New Roman" w:hAnsi="Times New Roman" w:cs="Times New Roman"/>
              </w:rPr>
            </w:pPr>
            <w:r w:rsidRPr="005F5507">
              <w:rPr>
                <w:rFonts w:ascii="Times New Roman" w:hAnsi="Times New Roman" w:eastAsia="Times New Roman" w:cs="Times New Roman"/>
                <w:sz w:val="20"/>
                <w:szCs w:val="20"/>
              </w:rPr>
              <w:t>0021</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C6E85" w:rsidP="005F5507" w:rsidRDefault="009C6E85" w14:paraId="51029DF6"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Column </w:t>
            </w:r>
          </w:p>
          <w:p w:rsidRPr="005F5507" w:rsidR="009C6E85" w:rsidP="005F5507" w:rsidRDefault="009C6E85" w14:paraId="6C72C4ED" w14:textId="2ED803A0">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For each instrument, a reconciliation with the counterparty class in Z02.00 to which the liability is owed has to be provided from predefined list of values.</w:t>
            </w:r>
          </w:p>
        </w:tc>
      </w:tr>
      <w:tr w:rsidRPr="00D43D39" w:rsidR="009C6E85" w:rsidTr="005F5507" w14:paraId="237A63B4"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1A926CBE" w14:textId="367770C3">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0030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C6E85" w:rsidP="005F5507" w:rsidRDefault="009C6E85" w14:paraId="1418BBE4" w14:textId="2DB70383">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Insolvency Ranking</w:t>
            </w:r>
          </w:p>
          <w:p w:rsidRPr="005F5507" w:rsidR="009C6E85" w:rsidP="005F5507" w:rsidRDefault="00842EC3" w14:paraId="7E627DA0" w14:textId="610E8F3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insolvency rank shall be one of the ranks included in the insolvency rankings published by the resolution authority of that jurisdiction.</w:t>
            </w:r>
          </w:p>
        </w:tc>
      </w:tr>
      <w:tr w:rsidRPr="00D43D39" w:rsidR="009C6E85" w:rsidTr="005F5507" w14:paraId="763B9960"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47B3A6AC" w14:textId="77777777">
            <w:pPr>
              <w:rPr>
                <w:rFonts w:ascii="Times New Roman" w:hAnsi="Times New Roman" w:cs="Times New Roman"/>
              </w:rPr>
            </w:pPr>
            <w:r w:rsidRPr="005F5507">
              <w:rPr>
                <w:rFonts w:ascii="Times New Roman" w:hAnsi="Times New Roman" w:eastAsia="Times New Roman" w:cs="Times New Roman"/>
                <w:sz w:val="20"/>
                <w:szCs w:val="20"/>
              </w:rPr>
              <w:t>0040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C6E85" w:rsidP="005F5507" w:rsidRDefault="009C6E85" w14:paraId="544923E9"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Contract identifier</w:t>
            </w:r>
          </w:p>
          <w:p w:rsidRPr="005F5507" w:rsidR="009C6E85" w:rsidP="005F5507" w:rsidRDefault="00842EC3" w14:paraId="7E53F71A" w14:textId="0698BD3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ISIN or, in case the ISIN is not available, another contract identifier of the instrument shall be reported.</w:t>
            </w:r>
          </w:p>
        </w:tc>
      </w:tr>
      <w:tr w:rsidRPr="00D43D39" w:rsidR="009C6E85" w:rsidTr="005F5507" w14:paraId="0E52AFBB"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6777FEAB" w14:textId="5E298212">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0045</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C6E85" w:rsidP="005F5507" w:rsidRDefault="00842EC3" w14:paraId="5C2F5A66" w14:textId="36F90FDD">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N</w:t>
            </w:r>
            <w:r w:rsidRPr="005F5507" w:rsidR="009C6E85">
              <w:rPr>
                <w:rFonts w:ascii="Times New Roman" w:hAnsi="Times New Roman" w:eastAsia="Times New Roman" w:cs="Times New Roman"/>
                <w:b/>
                <w:bCs/>
                <w:sz w:val="20"/>
                <w:szCs w:val="20"/>
              </w:rPr>
              <w:t xml:space="preserve">ame of the </w:t>
            </w:r>
            <w:r w:rsidRPr="005F5507" w:rsidR="0042328E">
              <w:rPr>
                <w:rFonts w:ascii="Times New Roman" w:hAnsi="Times New Roman" w:eastAsia="Times New Roman" w:cs="Times New Roman"/>
                <w:b/>
                <w:bCs/>
                <w:sz w:val="20"/>
                <w:szCs w:val="20"/>
              </w:rPr>
              <w:t>counterparty</w:t>
            </w:r>
          </w:p>
          <w:p w:rsidRPr="005F5507" w:rsidR="009C6E85" w:rsidP="005F5507" w:rsidRDefault="00842EC3" w14:paraId="08505ED4" w14:textId="0BE26E6D">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w:t>
            </w:r>
            <w:r w:rsidRPr="005F5507" w:rsidR="00945B6F">
              <w:rPr>
                <w:rFonts w:ascii="Times New Roman" w:hAnsi="Times New Roman" w:eastAsia="Times New Roman" w:cs="Times New Roman"/>
                <w:sz w:val="20"/>
                <w:szCs w:val="20"/>
              </w:rPr>
              <w:t xml:space="preserve">entity </w:t>
            </w:r>
            <w:r w:rsidRPr="005F5507">
              <w:rPr>
                <w:rFonts w:ascii="Times New Roman" w:hAnsi="Times New Roman" w:eastAsia="Times New Roman" w:cs="Times New Roman"/>
                <w:sz w:val="20"/>
                <w:szCs w:val="20"/>
              </w:rPr>
              <w:t>name of the counterparty of the liability</w:t>
            </w:r>
            <w:r w:rsidRPr="005F5507" w:rsidR="005D731F">
              <w:rPr>
                <w:rFonts w:ascii="Times New Roman" w:hAnsi="Times New Roman" w:eastAsia="Times New Roman" w:cs="Times New Roman"/>
                <w:sz w:val="20"/>
                <w:szCs w:val="20"/>
              </w:rPr>
              <w:t>.</w:t>
            </w:r>
          </w:p>
        </w:tc>
      </w:tr>
      <w:tr w:rsidRPr="00D43D39" w:rsidR="005D731F" w:rsidTr="005F5507" w14:paraId="6150A3D9" w14:textId="77777777">
        <w:tc>
          <w:tcPr>
            <w:tcW w:w="1244" w:type="dxa"/>
            <w:tcBorders>
              <w:top w:val="single" w:color="1A171C" w:sz="8" w:space="0"/>
              <w:left w:val="nil"/>
              <w:bottom w:val="single" w:color="1A171C" w:sz="8" w:space="0"/>
              <w:right w:val="single" w:color="1A171C" w:sz="8" w:space="0"/>
            </w:tcBorders>
            <w:vAlign w:val="center"/>
          </w:tcPr>
          <w:p w:rsidRPr="005F5507" w:rsidR="005D731F" w:rsidP="005B062B" w:rsidRDefault="005D731F" w14:paraId="2D566419" w14:textId="29E57A5E">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0050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5D731F" w:rsidP="005F5507" w:rsidRDefault="005D731F" w14:paraId="5E15DC39" w14:textId="08B2F69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Identifier of the </w:t>
            </w:r>
            <w:r w:rsidRPr="005F5507" w:rsidR="0042328E">
              <w:rPr>
                <w:rFonts w:ascii="Times New Roman" w:hAnsi="Times New Roman" w:eastAsia="Times New Roman" w:cs="Times New Roman"/>
                <w:b/>
                <w:bCs/>
                <w:sz w:val="20"/>
                <w:szCs w:val="20"/>
              </w:rPr>
              <w:t>counterparty</w:t>
            </w:r>
          </w:p>
          <w:p w:rsidRPr="005F5507" w:rsidR="005D731F" w:rsidP="005F5507" w:rsidRDefault="005D731F" w14:paraId="57B68076" w14:textId="04ECA810">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unique LEI code of the </w:t>
            </w:r>
            <w:r w:rsidRPr="00D43D39" w:rsidR="0042328E">
              <w:rPr>
                <w:rFonts w:ascii="Times New Roman" w:hAnsi="Times New Roman" w:eastAsia="Times New Roman" w:cs="Times New Roman"/>
                <w:sz w:val="20"/>
                <w:szCs w:val="20"/>
              </w:rPr>
              <w:t>counterparty</w:t>
            </w:r>
            <w:r w:rsidRPr="005F5507">
              <w:rPr>
                <w:rFonts w:ascii="Times New Roman" w:hAnsi="Times New Roman" w:eastAsia="Times New Roman" w:cs="Times New Roman"/>
                <w:sz w:val="20"/>
                <w:szCs w:val="20"/>
              </w:rPr>
              <w:t xml:space="preserve">. In the absence of a LEI, the ECB Monetary Financial Institutions unique Identifier (MFI ID) of the credit institution for use in RIAD </w:t>
            </w:r>
            <w:r w:rsidR="00B009B9">
              <w:rPr>
                <w:rFonts w:ascii="Times New Roman" w:hAnsi="Times New Roman" w:eastAsia="Times New Roman" w:cs="Times New Roman"/>
                <w:sz w:val="20"/>
                <w:szCs w:val="20"/>
              </w:rPr>
              <w:t>is</w:t>
            </w:r>
            <w:r w:rsidRPr="005F5507">
              <w:rPr>
                <w:rFonts w:ascii="Times New Roman" w:hAnsi="Times New Roman" w:eastAsia="Times New Roman" w:cs="Times New Roman"/>
                <w:sz w:val="20"/>
                <w:szCs w:val="20"/>
              </w:rPr>
              <w:t>s</w:t>
            </w:r>
            <w:r w:rsidR="00117109">
              <w:rPr>
                <w:rFonts w:ascii="Times New Roman" w:hAnsi="Times New Roman" w:eastAsia="Times New Roman" w:cs="Times New Roman"/>
                <w:sz w:val="20"/>
                <w:szCs w:val="20"/>
              </w:rPr>
              <w:t>u</w:t>
            </w:r>
            <w:r w:rsidRPr="005F5507">
              <w:rPr>
                <w:rFonts w:ascii="Times New Roman" w:hAnsi="Times New Roman" w:eastAsia="Times New Roman" w:cs="Times New Roman"/>
                <w:sz w:val="20"/>
                <w:szCs w:val="20"/>
              </w:rPr>
              <w:t>ed. In the absence of both such identifiers, the internal identifier can be used.</w:t>
            </w:r>
          </w:p>
          <w:p w:rsidRPr="005F5507" w:rsidR="00C473FC" w:rsidDel="00842EC3" w:rsidP="005F5507" w:rsidRDefault="00C473FC" w14:paraId="664ADEC2" w14:textId="10CAA8F0">
            <w:pPr>
              <w:pStyle w:val="TableParagraph"/>
              <w:spacing w:before="108"/>
              <w:ind w:left="85"/>
              <w:jc w:val="both"/>
              <w:rPr>
                <w:rFonts w:ascii="Times New Roman" w:hAnsi="Times New Roman" w:eastAsia="Times New Roman" w:cs="Times New Roman"/>
                <w:sz w:val="20"/>
                <w:szCs w:val="20"/>
              </w:rPr>
            </w:pPr>
          </w:p>
        </w:tc>
      </w:tr>
      <w:tr w:rsidRPr="00D43D39" w:rsidR="009C6E85" w:rsidTr="005F5507" w14:paraId="1D0FFB86"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5D731F" w14:paraId="152C4734" w14:textId="49BFC53F">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0053</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1EA58187"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Type of Identifier</w:t>
            </w:r>
          </w:p>
          <w:p w:rsidRPr="005F5507" w:rsidR="009C6E85" w:rsidP="005F5507" w:rsidRDefault="009532AA" w14:paraId="493F50EA" w14:textId="4E66E3F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To be chosen among the following options: “LEI code”, “MFI code” or “Type of identifier, other than LEI or MFI code”.</w:t>
            </w:r>
          </w:p>
        </w:tc>
      </w:tr>
      <w:tr w:rsidRPr="00D43D39" w:rsidR="009C6E85" w:rsidTr="005F5507" w14:paraId="2394FB2E"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09310758" w14:textId="5CFED55B">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005</w:t>
            </w:r>
            <w:r w:rsidRPr="005F5507" w:rsidR="005D731F">
              <w:rPr>
                <w:rFonts w:ascii="Times New Roman" w:hAnsi="Times New Roman" w:eastAsia="Times New Roman" w:cs="Times New Roman"/>
                <w:sz w:val="20"/>
                <w:szCs w:val="20"/>
              </w:rPr>
              <w:t>5</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5163EBCF" w14:textId="374BEB3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Relationship with </w:t>
            </w:r>
            <w:r w:rsidRPr="005F5507" w:rsidR="0042328E">
              <w:rPr>
                <w:rFonts w:ascii="Times New Roman" w:hAnsi="Times New Roman" w:eastAsia="Times New Roman" w:cs="Times New Roman"/>
                <w:b/>
                <w:bCs/>
                <w:sz w:val="20"/>
                <w:szCs w:val="20"/>
              </w:rPr>
              <w:t>counterparty</w:t>
            </w:r>
          </w:p>
          <w:p w:rsidRPr="005F5507" w:rsidR="009C6E85" w:rsidP="005F5507" w:rsidRDefault="009532AA" w14:paraId="6E007BA9" w14:textId="768C3B3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This field indicates the relationship of the lending entity to the reporting entity. A list of values is foreseen for this field: the </w:t>
            </w:r>
            <w:r w:rsidRPr="00D43D39" w:rsidR="0042328E">
              <w:rPr>
                <w:rFonts w:ascii="Times New Roman" w:hAnsi="Times New Roman" w:eastAsia="Times New Roman" w:cs="Times New Roman"/>
                <w:sz w:val="20"/>
                <w:szCs w:val="20"/>
              </w:rPr>
              <w:t>counterparty</w:t>
            </w:r>
            <w:r w:rsidRPr="005F5507">
              <w:rPr>
                <w:rFonts w:ascii="Times New Roman" w:hAnsi="Times New Roman" w:eastAsia="Times New Roman" w:cs="Times New Roman"/>
                <w:sz w:val="20"/>
                <w:szCs w:val="20"/>
              </w:rPr>
              <w:t xml:space="preserve"> can either be a “Parent” (direct or indirect), a “Subsidiary” of the reporting entity (direct or indirect) or alternatively a “Sister”.</w:t>
            </w:r>
          </w:p>
        </w:tc>
      </w:tr>
      <w:tr w:rsidRPr="00D43D39" w:rsidR="0069637A" w:rsidTr="005F5507" w14:paraId="0A2B294F" w14:textId="77777777">
        <w:tc>
          <w:tcPr>
            <w:tcW w:w="1244" w:type="dxa"/>
            <w:tcBorders>
              <w:top w:val="single" w:color="1A171C" w:sz="8" w:space="0"/>
              <w:left w:val="nil"/>
              <w:bottom w:val="single" w:color="1A171C" w:sz="8" w:space="0"/>
              <w:right w:val="single" w:color="1A171C" w:sz="8" w:space="0"/>
            </w:tcBorders>
            <w:vAlign w:val="center"/>
          </w:tcPr>
          <w:p w:rsidRPr="005F5507" w:rsidR="0069637A" w:rsidP="00443079" w:rsidRDefault="0069637A" w14:paraId="49368497" w14:textId="0AA3D412">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0056</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69637A" w:rsidP="005F5507" w:rsidRDefault="009B50A7" w14:paraId="4B897D75" w14:textId="7CC834FF">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Type of Liability</w:t>
            </w:r>
          </w:p>
          <w:p w:rsidRPr="005F5507" w:rsidR="0069637A" w:rsidP="005F5507" w:rsidRDefault="0069637A" w14:paraId="749EC652" w14:textId="77777777">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For liabilities which are reported under c0020-Row as “r0210 - Liabilities towards other entities of the resolution group”, indicate the type of liability as it would have been reported in Z01.00, had the liability not been considered as excluded</w:t>
            </w:r>
          </w:p>
        </w:tc>
      </w:tr>
      <w:tr w:rsidRPr="00D43D39" w:rsidR="009C6E85" w:rsidTr="005F5507" w14:paraId="0B36A0AA"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59A9D8E9" w14:textId="4D04E94B">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w:t>
            </w:r>
            <w:r w:rsidRPr="005F5507" w:rsidR="005D731F">
              <w:rPr>
                <w:rFonts w:ascii="Times New Roman" w:hAnsi="Times New Roman" w:eastAsia="Times New Roman" w:cs="Times New Roman"/>
                <w:sz w:val="20"/>
                <w:szCs w:val="20"/>
              </w:rPr>
              <w:t>60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6A5C4FFC" w14:textId="5076BF28">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Governing Law</w:t>
            </w:r>
          </w:p>
          <w:p w:rsidRPr="005F5507" w:rsidR="009C6E85" w:rsidP="005F5507" w:rsidRDefault="00C81829" w14:paraId="0766BB93" w14:textId="40CAF07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ISO 3166-1 alpha-2 code of the country whose law governs the instrument (use the ISO 3166-2 code when the law of an administrative subdivision is relevant, e.g. ‘US-NY’)</w:t>
            </w:r>
            <w:r w:rsidRPr="005F5507" w:rsidR="009532AA">
              <w:rPr>
                <w:rFonts w:ascii="Times New Roman" w:hAnsi="Times New Roman" w:eastAsia="Times New Roman" w:cs="Times New Roman"/>
                <w:sz w:val="20"/>
                <w:szCs w:val="20"/>
              </w:rPr>
              <w:t xml:space="preserve">. If the contract is governed by the law of more than one country, the country the law of which has the highest relevance for the recognition of write down and conversion powers shall be reported.  </w:t>
            </w:r>
          </w:p>
        </w:tc>
      </w:tr>
      <w:tr w:rsidRPr="00D43D39" w:rsidR="009C6E85" w:rsidTr="005F5507" w14:paraId="5BA70C00"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49BE5E51" w14:textId="27D3F10F">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0070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5D731F" w:rsidP="005F5507" w:rsidRDefault="005D731F" w14:paraId="5D582830" w14:textId="6F49C85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If third-country law, contractual recognition</w:t>
            </w:r>
            <w:r w:rsidRPr="005F5507" w:rsidR="009532AA">
              <w:rPr>
                <w:rFonts w:ascii="Times New Roman" w:hAnsi="Times New Roman" w:eastAsia="Times New Roman" w:cs="Times New Roman"/>
                <w:b/>
                <w:bCs/>
                <w:sz w:val="20"/>
                <w:szCs w:val="20"/>
              </w:rPr>
              <w:t xml:space="preserve"> </w:t>
            </w:r>
          </w:p>
          <w:p w:rsidRPr="005F5507" w:rsidR="00CE59C6" w:rsidP="005F5507" w:rsidRDefault="009532AA" w14:paraId="77DCDDF2" w14:textId="77777777">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Identification of contractual provisions for the recognition of bail-in powers in line with article 55 of the BRRD, either </w:t>
            </w:r>
          </w:p>
          <w:p w:rsidRPr="005F5507" w:rsidR="00CE59C6" w:rsidP="005F5507" w:rsidRDefault="00CE59C6" w14:paraId="5816D4E9"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“Yes, supported by Legal Opinion” = the liability includes a bail-in recognition clause in line with Article 55 BRRD that is supported by a legal opinion;</w:t>
            </w:r>
          </w:p>
          <w:p w:rsidRPr="005F5507" w:rsidR="00CE59C6" w:rsidP="005F5507" w:rsidRDefault="00CE59C6" w14:paraId="241B72E5"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“Yes, not supported by Legal Opinion” = the liability includes a bail-in recognition clause in line with Article 55 BRRD that is currently not supported by a legal opinion;</w:t>
            </w:r>
          </w:p>
          <w:p w:rsidRPr="005F5507" w:rsidR="00CE59C6" w:rsidP="005F5507" w:rsidRDefault="00CE59C6" w14:paraId="149287F7" w14:textId="37975B1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“No” = the liability does not include a bail-in recognition clause;</w:t>
            </w:r>
          </w:p>
          <w:p w:rsidRPr="005F5507" w:rsidR="009C6E85" w:rsidP="005F5507" w:rsidRDefault="00CE59C6" w14:paraId="3DBECC0E" w14:textId="448E56D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“Not applicable”. </w:t>
            </w:r>
            <w:r w:rsidRPr="005F5507" w:rsidR="009532AA">
              <w:rPr>
                <w:rFonts w:ascii="Times New Roman" w:hAnsi="Times New Roman" w:eastAsia="Times New Roman" w:cs="Times New Roman"/>
                <w:sz w:val="20"/>
                <w:szCs w:val="20"/>
              </w:rPr>
              <w:t xml:space="preserve"> from a predefined list.</w:t>
            </w:r>
          </w:p>
        </w:tc>
      </w:tr>
      <w:tr w:rsidRPr="00D43D39" w:rsidR="009C6E85" w:rsidTr="005F5507" w14:paraId="33F11D5C" w14:textId="77777777">
        <w:tc>
          <w:tcPr>
            <w:tcW w:w="1244" w:type="dxa"/>
            <w:vAlign w:val="center"/>
          </w:tcPr>
          <w:p w:rsidRPr="005F5507" w:rsidR="009C6E85" w:rsidP="005B062B" w:rsidRDefault="009C6E85" w14:paraId="383BC75E" w14:textId="4064F776">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0080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7847BAFB" w14:textId="4B48137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Outstanding Principal Amount </w:t>
            </w:r>
          </w:p>
          <w:p w:rsidRPr="005F5507" w:rsidR="009C6E85" w:rsidP="005F5507" w:rsidRDefault="009532AA" w14:paraId="685C31D8" w14:textId="0E0D151F">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outstanding principal amount of the </w:t>
            </w:r>
            <w:r w:rsidRPr="005F5507" w:rsidR="005D731F">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w:t>
            </w:r>
          </w:p>
        </w:tc>
      </w:tr>
      <w:tr w:rsidRPr="00D43D39" w:rsidR="009C6E85" w:rsidTr="005F5507" w14:paraId="0A4A7AA5"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44002FDC" w14:textId="5B686D6F">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0090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11C826C0"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Accrued Interest</w:t>
            </w:r>
          </w:p>
          <w:p w:rsidRPr="005F5507" w:rsidR="009C6E85" w:rsidP="005F5507" w:rsidRDefault="009532AA" w14:paraId="5CD59F3B" w14:textId="5E19072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outstanding accrued interest on the</w:t>
            </w:r>
            <w:r w:rsidRPr="005F5507" w:rsidR="005D731F">
              <w:rPr>
                <w:rFonts w:ascii="Times New Roman" w:hAnsi="Times New Roman" w:eastAsia="Times New Roman" w:cs="Times New Roman"/>
                <w:sz w:val="20"/>
                <w:szCs w:val="20"/>
              </w:rPr>
              <w:t xml:space="preserve"> liability</w:t>
            </w:r>
            <w:r w:rsidRPr="005F5507">
              <w:rPr>
                <w:rFonts w:ascii="Times New Roman" w:hAnsi="Times New Roman" w:eastAsia="Times New Roman" w:cs="Times New Roman"/>
                <w:sz w:val="20"/>
                <w:szCs w:val="20"/>
              </w:rPr>
              <w:t>.</w:t>
            </w:r>
          </w:p>
        </w:tc>
      </w:tr>
      <w:tr w:rsidRPr="00D43D39" w:rsidR="009C6E85" w:rsidTr="005F5507" w14:paraId="6B0CE835"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664FC81B" w14:textId="6059639D">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0100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31605752" w14:textId="0134E8F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Currency</w:t>
            </w:r>
          </w:p>
          <w:p w:rsidRPr="005F5507" w:rsidR="009C6E85" w:rsidP="005F5507" w:rsidRDefault="009532AA" w14:paraId="6A80D233" w14:textId="65DA3E9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currency </w:t>
            </w:r>
            <w:r w:rsidRPr="005F5507" w:rsidR="005D731F">
              <w:rPr>
                <w:rFonts w:ascii="Times New Roman" w:hAnsi="Times New Roman" w:eastAsia="Times New Roman" w:cs="Times New Roman"/>
                <w:sz w:val="20"/>
                <w:szCs w:val="20"/>
              </w:rPr>
              <w:t>of the liability</w:t>
            </w:r>
            <w:r w:rsidRPr="005F5507" w:rsidR="00682385">
              <w:rPr>
                <w:rFonts w:ascii="Times New Roman" w:hAnsi="Times New Roman" w:eastAsia="Times New Roman" w:cs="Times New Roman"/>
                <w:sz w:val="20"/>
                <w:szCs w:val="20"/>
              </w:rPr>
              <w:t xml:space="preserve"> in line with its 3-letter ISO 4217 code</w:t>
            </w:r>
            <w:r w:rsidRPr="005F5507">
              <w:rPr>
                <w:rFonts w:ascii="Times New Roman" w:hAnsi="Times New Roman" w:eastAsia="Times New Roman" w:cs="Times New Roman"/>
                <w:sz w:val="20"/>
                <w:szCs w:val="20"/>
              </w:rPr>
              <w:t>.</w:t>
            </w:r>
          </w:p>
        </w:tc>
      </w:tr>
      <w:tr w:rsidRPr="00D43D39" w:rsidR="009C6E85" w:rsidTr="005F5507" w14:paraId="246DAB28"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693538DB" w14:textId="415BA8D0">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0110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1447CA85"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Issuance Date</w:t>
            </w:r>
          </w:p>
          <w:p w:rsidRPr="005F5507" w:rsidR="009C6E85" w:rsidP="005F5507" w:rsidRDefault="009532AA" w14:paraId="71249B7B" w14:textId="72CF98D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Date of the original issuance of the liability. For securities financing transactions subject to a netting arrangement and reported as a netting set, the reporting date can be used as the issuance date.</w:t>
            </w:r>
          </w:p>
        </w:tc>
      </w:tr>
      <w:tr w:rsidRPr="00D43D39" w:rsidR="009532AA" w:rsidTr="005F5507" w14:paraId="23EE7385" w14:textId="77777777">
        <w:tc>
          <w:tcPr>
            <w:tcW w:w="1244" w:type="dxa"/>
            <w:tcBorders>
              <w:top w:val="single" w:color="1A171C" w:sz="8" w:space="0"/>
              <w:left w:val="nil"/>
              <w:bottom w:val="single" w:color="1A171C" w:sz="8" w:space="0"/>
              <w:right w:val="single" w:color="1A171C" w:sz="8" w:space="0"/>
            </w:tcBorders>
            <w:vAlign w:val="center"/>
          </w:tcPr>
          <w:p w:rsidRPr="005F5507" w:rsidR="009532AA" w:rsidP="005B062B" w:rsidRDefault="009532AA" w14:paraId="53F63E0E" w14:textId="1332026D">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0120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5B4365B6"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Earliest Redemption Date</w:t>
            </w:r>
          </w:p>
          <w:p w:rsidRPr="005F5507" w:rsidR="009532AA" w:rsidP="005F5507" w:rsidRDefault="009532AA" w14:paraId="28B78823" w14:textId="00A0388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If an option exists for the </w:t>
            </w:r>
            <w:r w:rsidRPr="005F5507" w:rsidR="00C27089">
              <w:rPr>
                <w:rFonts w:ascii="Times New Roman" w:hAnsi="Times New Roman" w:eastAsia="Times New Roman" w:cs="Times New Roman"/>
                <w:sz w:val="20"/>
                <w:szCs w:val="20"/>
              </w:rPr>
              <w:t>creditor</w:t>
            </w:r>
            <w:r w:rsidRPr="005F5507">
              <w:rPr>
                <w:rFonts w:ascii="Times New Roman" w:hAnsi="Times New Roman" w:eastAsia="Times New Roman" w:cs="Times New Roman"/>
                <w:sz w:val="20"/>
                <w:szCs w:val="20"/>
              </w:rPr>
              <w:t xml:space="preserve"> to request early reimbursement, or conditions for early reimbursement </w:t>
            </w:r>
            <w:r w:rsidRPr="005F5507" w:rsidR="00C27089">
              <w:rPr>
                <w:rFonts w:ascii="Times New Roman" w:hAnsi="Times New Roman" w:eastAsia="Times New Roman" w:cs="Times New Roman"/>
                <w:sz w:val="20"/>
                <w:szCs w:val="20"/>
              </w:rPr>
              <w:t xml:space="preserve">of the liability </w:t>
            </w:r>
            <w:r w:rsidRPr="005F5507">
              <w:rPr>
                <w:rFonts w:ascii="Times New Roman" w:hAnsi="Times New Roman" w:eastAsia="Times New Roman" w:cs="Times New Roman"/>
                <w:sz w:val="20"/>
                <w:szCs w:val="20"/>
              </w:rPr>
              <w:t xml:space="preserve">are contractually foreseen, </w:t>
            </w:r>
            <w:r w:rsidR="00B009B9">
              <w:rPr>
                <w:rFonts w:ascii="Times New Roman" w:hAnsi="Times New Roman" w:eastAsia="Times New Roman" w:cs="Times New Roman"/>
                <w:sz w:val="20"/>
                <w:szCs w:val="20"/>
              </w:rPr>
              <w:t xml:space="preserve">provide </w:t>
            </w:r>
            <w:r w:rsidRPr="005F5507">
              <w:rPr>
                <w:rFonts w:ascii="Times New Roman" w:hAnsi="Times New Roman" w:eastAsia="Times New Roman" w:cs="Times New Roman"/>
                <w:sz w:val="20"/>
                <w:szCs w:val="20"/>
              </w:rPr>
              <w:t xml:space="preserve">the earliest occurrence date. If the early reimbursement relates to only a portion of the liability (e.g. early reimbursement of 50% of the nominal amount), </w:t>
            </w:r>
            <w:r w:rsidR="009162B4">
              <w:rPr>
                <w:rFonts w:ascii="Times New Roman" w:hAnsi="Times New Roman" w:eastAsia="Times New Roman" w:cs="Times New Roman"/>
                <w:sz w:val="20"/>
                <w:szCs w:val="20"/>
              </w:rPr>
              <w:t xml:space="preserve">split </w:t>
            </w:r>
            <w:r w:rsidRPr="005F5507">
              <w:rPr>
                <w:rFonts w:ascii="Times New Roman" w:hAnsi="Times New Roman" w:eastAsia="Times New Roman" w:cs="Times New Roman"/>
                <w:sz w:val="20"/>
                <w:szCs w:val="20"/>
              </w:rPr>
              <w:t>the liability to take into account this partial early redemption clause.</w:t>
            </w:r>
            <w:r w:rsidRPr="005F5507" w:rsidR="002E0749">
              <w:rPr>
                <w:rFonts w:ascii="Times New Roman" w:hAnsi="Times New Roman" w:eastAsia="Times New Roman" w:cs="Times New Roman"/>
                <w:sz w:val="20"/>
                <w:szCs w:val="20"/>
              </w:rPr>
              <w:t xml:space="preserve"> </w:t>
            </w:r>
            <w:r w:rsidRPr="005F5507">
              <w:rPr>
                <w:rFonts w:ascii="Times New Roman" w:hAnsi="Times New Roman" w:eastAsia="Times New Roman" w:cs="Times New Roman"/>
                <w:sz w:val="20"/>
                <w:szCs w:val="20"/>
              </w:rPr>
              <w:t xml:space="preserve">For securities financing transactions subject to a netting arrangement and reported as a netting set, </w:t>
            </w:r>
            <w:r w:rsidR="009162B4">
              <w:rPr>
                <w:rFonts w:ascii="Times New Roman" w:hAnsi="Times New Roman" w:eastAsia="Times New Roman" w:cs="Times New Roman"/>
                <w:sz w:val="20"/>
                <w:szCs w:val="20"/>
              </w:rPr>
              <w:t xml:space="preserve">use </w:t>
            </w:r>
            <w:r w:rsidRPr="005F5507">
              <w:rPr>
                <w:rFonts w:ascii="Times New Roman" w:hAnsi="Times New Roman" w:eastAsia="Times New Roman" w:cs="Times New Roman"/>
                <w:sz w:val="20"/>
                <w:szCs w:val="20"/>
              </w:rPr>
              <w:t>the day following the reporting date.</w:t>
            </w:r>
          </w:p>
        </w:tc>
      </w:tr>
      <w:tr w:rsidRPr="00D43D39" w:rsidR="009C6E85" w:rsidTr="005F5507" w14:paraId="2484603C"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1E4BDF8C" w14:textId="185C59FE">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0130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42544F79"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Legal Maturity</w:t>
            </w:r>
          </w:p>
          <w:p w:rsidRPr="005F5507" w:rsidR="009532AA" w:rsidP="005F5507" w:rsidRDefault="009532AA" w14:paraId="3779A129" w14:textId="1DA5097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Date of the legal, final maturity of the </w:t>
            </w:r>
            <w:r w:rsidRPr="005F5507" w:rsidR="00C27089">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 xml:space="preserve">. For perpetual instruments, </w:t>
            </w:r>
            <w:r w:rsidR="009162B4">
              <w:rPr>
                <w:rFonts w:ascii="Times New Roman" w:hAnsi="Times New Roman" w:eastAsia="Times New Roman" w:cs="Times New Roman"/>
                <w:sz w:val="20"/>
                <w:szCs w:val="20"/>
              </w:rPr>
              <w:t>use</w:t>
            </w:r>
            <w:r w:rsidRPr="005F5507">
              <w:rPr>
                <w:rFonts w:ascii="Times New Roman" w:hAnsi="Times New Roman" w:eastAsia="Times New Roman" w:cs="Times New Roman"/>
                <w:sz w:val="20"/>
                <w:szCs w:val="20"/>
              </w:rPr>
              <w:t xml:space="preserve"> ‘2099-01-31’.</w:t>
            </w:r>
          </w:p>
          <w:p w:rsidRPr="005F5507" w:rsidR="009C6E85" w:rsidP="005F5507" w:rsidRDefault="009532AA" w14:paraId="5FCBB24F" w14:textId="5BC3710C">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securities financing transactions subject to a netting arrangement and reported as a netting set, </w:t>
            </w:r>
            <w:r w:rsidR="009162B4">
              <w:rPr>
                <w:rFonts w:ascii="Times New Roman" w:hAnsi="Times New Roman" w:eastAsia="Times New Roman" w:cs="Times New Roman"/>
                <w:sz w:val="20"/>
                <w:szCs w:val="20"/>
              </w:rPr>
              <w:t xml:space="preserve">use </w:t>
            </w:r>
            <w:r w:rsidRPr="005F5507">
              <w:rPr>
                <w:rFonts w:ascii="Times New Roman" w:hAnsi="Times New Roman" w:eastAsia="Times New Roman" w:cs="Times New Roman"/>
                <w:sz w:val="20"/>
                <w:szCs w:val="20"/>
              </w:rPr>
              <w:t>the day following the reporting date.</w:t>
            </w:r>
          </w:p>
        </w:tc>
      </w:tr>
      <w:tr w:rsidRPr="00D43D39" w:rsidR="009C6E85" w:rsidTr="005F5507" w14:paraId="522B0B76"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2ECFAF68" w14:textId="03496331">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0150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1ECA8886" w14:textId="5F687763">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Amount of pledge, lien or collateral</w:t>
            </w:r>
          </w:p>
          <w:p w:rsidRPr="005F5507" w:rsidR="009C6E85" w:rsidP="005F5507" w:rsidRDefault="009532AA" w14:paraId="7088FBA6" w14:textId="77C309F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Where a liability is secured by a pledge, lien or collateral, the gross value of the latter shall be provided. Otherwise, for unsecured liabilities this category shall be reported as nil. This amount will determine the collateralized and eventually the uncollateralized part of any secured liability. For collateral pools securing multiple row items, </w:t>
            </w:r>
            <w:r w:rsidR="009162B4">
              <w:rPr>
                <w:rFonts w:ascii="Times New Roman" w:hAnsi="Times New Roman" w:eastAsia="Times New Roman" w:cs="Times New Roman"/>
                <w:sz w:val="20"/>
                <w:szCs w:val="20"/>
              </w:rPr>
              <w:t xml:space="preserve">determine </w:t>
            </w:r>
            <w:r w:rsidRPr="005F5507">
              <w:rPr>
                <w:rFonts w:ascii="Times New Roman" w:hAnsi="Times New Roman" w:eastAsia="Times New Roman" w:cs="Times New Roman"/>
                <w:sz w:val="20"/>
                <w:szCs w:val="20"/>
              </w:rPr>
              <w:t>the overall coverage ratio and appl</w:t>
            </w:r>
            <w:r w:rsidR="009162B4">
              <w:rPr>
                <w:rFonts w:ascii="Times New Roman" w:hAnsi="Times New Roman" w:eastAsia="Times New Roman" w:cs="Times New Roman"/>
                <w:sz w:val="20"/>
                <w:szCs w:val="20"/>
              </w:rPr>
              <w:t>y</w:t>
            </w:r>
            <w:r w:rsidRPr="005F5507">
              <w:rPr>
                <w:rFonts w:ascii="Times New Roman" w:hAnsi="Times New Roman" w:eastAsia="Times New Roman" w:cs="Times New Roman"/>
                <w:sz w:val="20"/>
                <w:szCs w:val="20"/>
              </w:rPr>
              <w:t xml:space="preserve"> pro rata to all row items covered by this pool.</w:t>
            </w:r>
          </w:p>
        </w:tc>
      </w:tr>
      <w:tr w:rsidRPr="00D43D39" w:rsidR="009C6E85" w:rsidTr="005F5507" w14:paraId="31759815"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586386F5" w14:textId="3F173749">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0160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2CF0710E"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Guarantor if applicable</w:t>
            </w:r>
          </w:p>
          <w:p w:rsidRPr="005F5507" w:rsidR="009C6E85" w:rsidP="005F5507" w:rsidRDefault="009532AA" w14:paraId="7D3D3DB7" w14:textId="6EF8AEE0">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If there are guarantees provided for the instrument, provide a detailed identification of the guarantor (LEI code, ISO 3166-1 alpha-2 country code for government, etc.). Where multiple guarantors are present, </w:t>
            </w:r>
            <w:r w:rsidR="009162B4">
              <w:rPr>
                <w:rFonts w:ascii="Times New Roman" w:hAnsi="Times New Roman" w:eastAsia="Times New Roman" w:cs="Times New Roman"/>
                <w:sz w:val="20"/>
                <w:szCs w:val="20"/>
              </w:rPr>
              <w:t xml:space="preserve">report all </w:t>
            </w:r>
            <w:r w:rsidRPr="005F5507">
              <w:rPr>
                <w:rFonts w:ascii="Times New Roman" w:hAnsi="Times New Roman" w:eastAsia="Times New Roman" w:cs="Times New Roman"/>
                <w:sz w:val="20"/>
                <w:szCs w:val="20"/>
              </w:rPr>
              <w:t>identifiers, separated by a semicolon.</w:t>
            </w:r>
          </w:p>
        </w:tc>
      </w:tr>
      <w:tr w:rsidRPr="00D43D39" w:rsidR="009C6E85" w:rsidTr="005F5507" w14:paraId="6CD61E2F"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1D542795" w14:textId="082DDF5D">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0175</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532AA" w:rsidP="005F5507" w:rsidRDefault="009532AA" w14:paraId="219AB846" w14:textId="45B90AE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Amount meeting the conditions for </w:t>
            </w:r>
            <w:r w:rsidR="00117109">
              <w:rPr>
                <w:rFonts w:ascii="Times New Roman" w:hAnsi="Times New Roman" w:eastAsia="Times New Roman" w:cs="Times New Roman"/>
                <w:b/>
                <w:bCs/>
                <w:sz w:val="20"/>
                <w:szCs w:val="20"/>
              </w:rPr>
              <w:t xml:space="preserve">Internal </w:t>
            </w:r>
            <w:r w:rsidRPr="005F5507">
              <w:rPr>
                <w:rFonts w:ascii="Times New Roman" w:hAnsi="Times New Roman" w:eastAsia="Times New Roman" w:cs="Times New Roman"/>
                <w:b/>
                <w:bCs/>
                <w:sz w:val="20"/>
                <w:szCs w:val="20"/>
              </w:rPr>
              <w:t>MREL eligibility</w:t>
            </w:r>
          </w:p>
          <w:p w:rsidRPr="005F5507" w:rsidR="009C6E85" w:rsidP="005F5507" w:rsidRDefault="009532AA" w14:paraId="407F4064" w14:textId="6420E3DD">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outstanding amount of the own funds and eligible liabilities </w:t>
            </w:r>
            <w:r w:rsidRPr="005F5507" w:rsidR="00551254">
              <w:rPr>
                <w:rFonts w:ascii="Times New Roman" w:hAnsi="Times New Roman" w:eastAsia="Times New Roman" w:cs="Times New Roman"/>
                <w:sz w:val="20"/>
                <w:szCs w:val="20"/>
              </w:rPr>
              <w:t xml:space="preserve">counting towards the requirement set in accordance with </w:t>
            </w:r>
            <w:r w:rsidRPr="005F5507">
              <w:rPr>
                <w:rFonts w:ascii="Times New Roman" w:hAnsi="Times New Roman" w:eastAsia="Times New Roman" w:cs="Times New Roman"/>
                <w:sz w:val="20"/>
                <w:szCs w:val="20"/>
              </w:rPr>
              <w:t>Article 45</w:t>
            </w:r>
            <w:r w:rsidRPr="005F5507" w:rsidR="00551254">
              <w:rPr>
                <w:rFonts w:ascii="Times New Roman" w:hAnsi="Times New Roman" w:eastAsia="Times New Roman" w:cs="Times New Roman"/>
                <w:sz w:val="20"/>
                <w:szCs w:val="20"/>
              </w:rPr>
              <w:t>a(1)</w:t>
            </w:r>
            <w:r w:rsidRPr="005F5507">
              <w:rPr>
                <w:rFonts w:ascii="Times New Roman" w:hAnsi="Times New Roman" w:eastAsia="Times New Roman" w:cs="Times New Roman"/>
                <w:sz w:val="20"/>
                <w:szCs w:val="20"/>
              </w:rPr>
              <w:t xml:space="preserve"> of the Directive 2014/59/EU. </w:t>
            </w:r>
          </w:p>
        </w:tc>
      </w:tr>
      <w:tr w:rsidRPr="00D43D39" w:rsidR="009C6E85" w:rsidTr="005F5507" w14:paraId="6206A814"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6D50D374" w14:textId="38250351">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0180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C6E85" w:rsidP="005F5507" w:rsidRDefault="009C6E85" w14:paraId="6D1EF9FC"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Qualifying as Own Funds</w:t>
            </w:r>
          </w:p>
          <w:p w:rsidRPr="005F5507" w:rsidR="009C6E85" w:rsidP="005F5507" w:rsidRDefault="00486437" w14:paraId="50CCF603" w14:textId="21951635">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w:t>
            </w:r>
            <w:r w:rsidRPr="005F5507" w:rsidR="009C6E85">
              <w:rPr>
                <w:rFonts w:ascii="Times New Roman" w:hAnsi="Times New Roman" w:eastAsia="Times New Roman" w:cs="Times New Roman"/>
                <w:sz w:val="20"/>
                <w:szCs w:val="20"/>
              </w:rPr>
              <w:t>ndicate if and at which level the instrument is included in the own funds, alongside information on the phase-out regime and grandfathering arrangements. Value can be ‘No’, ‘Partially (A)T1 and T2’, ‘T2 in phase-out’, ‘Grandfathered T2’, ‘Fully Compliant T2’, ‘Grandfathered AT1’, ‘Fully Compliant AT1’ or ‘CET1’ from a predefined list.</w:t>
            </w:r>
          </w:p>
        </w:tc>
      </w:tr>
      <w:tr w:rsidRPr="00D43D39" w:rsidR="009C6E85" w:rsidTr="005F5507" w14:paraId="02AE9A8C" w14:textId="77777777">
        <w:tc>
          <w:tcPr>
            <w:tcW w:w="1244" w:type="dxa"/>
            <w:tcBorders>
              <w:top w:val="single" w:color="1A171C" w:sz="8" w:space="0"/>
              <w:left w:val="nil"/>
              <w:bottom w:val="single" w:color="1A171C" w:sz="8" w:space="0"/>
              <w:right w:val="single" w:color="1A171C" w:sz="8" w:space="0"/>
            </w:tcBorders>
            <w:vAlign w:val="center"/>
          </w:tcPr>
          <w:p w:rsidRPr="005F5507" w:rsidR="009C6E85" w:rsidP="005B062B" w:rsidRDefault="009C6E85" w14:paraId="346B030C" w14:textId="078D7B38">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0190</w:t>
            </w:r>
          </w:p>
        </w:tc>
        <w:tc>
          <w:tcPr>
            <w:tcW w:w="7782" w:type="dxa"/>
            <w:gridSpan w:val="2"/>
            <w:tcBorders>
              <w:top w:val="single" w:color="1A171C" w:sz="8" w:space="0"/>
              <w:left w:val="single" w:color="1A171C" w:sz="8" w:space="0"/>
              <w:bottom w:val="single" w:color="1A171C" w:sz="8" w:space="0"/>
              <w:right w:val="nil"/>
            </w:tcBorders>
            <w:vAlign w:val="bottom"/>
          </w:tcPr>
          <w:p w:rsidRPr="005F5507" w:rsidR="009C6E85" w:rsidP="005F5507" w:rsidRDefault="009C6E85" w14:paraId="7B8B6C5E" w14:textId="3385CC68">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Amount </w:t>
            </w:r>
            <w:r w:rsidRPr="005F5507" w:rsidR="00A529CC">
              <w:rPr>
                <w:rFonts w:ascii="Times New Roman" w:hAnsi="Times New Roman" w:eastAsia="Times New Roman" w:cs="Times New Roman"/>
                <w:b/>
                <w:bCs/>
                <w:sz w:val="20"/>
                <w:szCs w:val="20"/>
              </w:rPr>
              <w:t xml:space="preserve">Qualifying </w:t>
            </w:r>
            <w:r w:rsidRPr="005F5507" w:rsidR="009B50A7">
              <w:rPr>
                <w:rFonts w:ascii="Times New Roman" w:hAnsi="Times New Roman" w:eastAsia="Times New Roman" w:cs="Times New Roman"/>
                <w:b/>
                <w:bCs/>
                <w:sz w:val="20"/>
                <w:szCs w:val="20"/>
              </w:rPr>
              <w:t>as</w:t>
            </w:r>
            <w:r w:rsidRPr="005F5507">
              <w:rPr>
                <w:rFonts w:ascii="Times New Roman" w:hAnsi="Times New Roman" w:eastAsia="Times New Roman" w:cs="Times New Roman"/>
                <w:b/>
                <w:bCs/>
                <w:sz w:val="20"/>
                <w:szCs w:val="20"/>
              </w:rPr>
              <w:t xml:space="preserve"> Own Funds</w:t>
            </w:r>
          </w:p>
          <w:p w:rsidRPr="005F5507" w:rsidR="009C6E85" w:rsidP="005F5507" w:rsidRDefault="009C6E85" w14:paraId="0860BFE6" w14:textId="1D3A3D5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amount of the instrument qualifying as own funds.</w:t>
            </w:r>
          </w:p>
        </w:tc>
      </w:tr>
    </w:tbl>
    <w:p w:rsidRPr="00D43D39" w:rsidR="005B682F" w:rsidP="005B682F" w:rsidRDefault="005B682F" w14:paraId="1939008C" w14:textId="77777777">
      <w:pPr>
        <w:pStyle w:val="Instructionsberschrift2"/>
        <w:ind w:left="357"/>
        <w:rPr>
          <w:rFonts w:ascii="Times New Roman" w:hAnsi="Times New Roman" w:eastAsia="Calibri" w:cs="Times New Roman"/>
          <w:szCs w:val="20"/>
        </w:rPr>
      </w:pPr>
    </w:p>
    <w:p w:rsidRPr="005F5507" w:rsidR="11A96971" w:rsidP="005F5507" w:rsidRDefault="009C6E85" w14:paraId="54CCC536" w14:textId="5EF00192">
      <w:pPr>
        <w:pStyle w:val="Instructionsberschrift2"/>
        <w:numPr>
          <w:ilvl w:val="1"/>
          <w:numId w:val="49"/>
        </w:numPr>
        <w:spacing w:before="0"/>
        <w:ind w:left="357" w:hanging="357"/>
        <w:rPr>
          <w:rFonts w:ascii="Times New Roman" w:hAnsi="Times New Roman" w:cs="Times New Roman"/>
        </w:rPr>
      </w:pPr>
      <w:bookmarkStart w:name="_Toc172732255" w:id="224"/>
      <w:r w:rsidRPr="00D43D39">
        <w:rPr>
          <w:rFonts w:ascii="Times New Roman" w:hAnsi="Times New Roman" w:cs="Times New Roman"/>
          <w:color w:val="000000" w:themeColor="text1"/>
        </w:rPr>
        <w:t>Z1</w:t>
      </w:r>
      <w:r w:rsidRPr="00D43D39" w:rsidR="002A4C45">
        <w:rPr>
          <w:rFonts w:ascii="Times New Roman" w:hAnsi="Times New Roman" w:cs="Times New Roman"/>
          <w:color w:val="000000" w:themeColor="text1"/>
        </w:rPr>
        <w:t>0</w:t>
      </w:r>
      <w:r w:rsidRPr="00D43D39">
        <w:rPr>
          <w:rFonts w:ascii="Times New Roman" w:hAnsi="Times New Roman" w:cs="Times New Roman"/>
          <w:color w:val="000000" w:themeColor="text1"/>
        </w:rPr>
        <w:t>.0</w:t>
      </w:r>
      <w:r w:rsidRPr="00D43D39" w:rsidR="002242E8">
        <w:rPr>
          <w:rFonts w:ascii="Times New Roman" w:hAnsi="Times New Roman" w:cs="Times New Roman"/>
          <w:color w:val="000000" w:themeColor="text1"/>
        </w:rPr>
        <w:t>2</w:t>
      </w:r>
      <w:r w:rsidRPr="00D43D39">
        <w:rPr>
          <w:rFonts w:ascii="Times New Roman" w:hAnsi="Times New Roman" w:cs="Times New Roman"/>
          <w:color w:val="000000" w:themeColor="text1"/>
        </w:rPr>
        <w:t xml:space="preserve"> </w:t>
      </w:r>
      <w:r w:rsidRPr="00D43D39" w:rsidR="11A96971">
        <w:rPr>
          <w:rFonts w:ascii="Times New Roman" w:hAnsi="Times New Roman" w:cs="Times New Roman"/>
          <w:color w:val="000000" w:themeColor="text1"/>
        </w:rPr>
        <w:t xml:space="preserve">- </w:t>
      </w:r>
      <w:r w:rsidRPr="005F5507" w:rsidR="0D31A445">
        <w:rPr>
          <w:rFonts w:ascii="Times New Roman" w:hAnsi="Times New Roman" w:eastAsia="Cambria" w:cs="Times New Roman"/>
        </w:rPr>
        <w:t>Securities (including CET1, AT1 &amp; Tier 2 instruments; excluding intragroup)</w:t>
      </w:r>
      <w:bookmarkEnd w:id="223"/>
      <w:r w:rsidR="00056E47">
        <w:rPr>
          <w:rFonts w:ascii="Times New Roman" w:hAnsi="Times New Roman" w:eastAsia="Cambria" w:cs="Times New Roman"/>
        </w:rPr>
        <w:t xml:space="preserve"> </w:t>
      </w:r>
      <w:r w:rsidRPr="00056E47" w:rsidR="00056E47">
        <w:rPr>
          <w:rFonts w:ascii="Times New Roman" w:hAnsi="Times New Roman" w:eastAsia="Calibri" w:cs="Times New Roman"/>
          <w:szCs w:val="20"/>
        </w:rPr>
        <w:t>(LIAB-G-</w:t>
      </w:r>
      <w:r w:rsidR="00056E47">
        <w:rPr>
          <w:rFonts w:ascii="Times New Roman" w:hAnsi="Times New Roman" w:eastAsia="Calibri" w:cs="Times New Roman"/>
          <w:szCs w:val="20"/>
        </w:rPr>
        <w:t>2</w:t>
      </w:r>
      <w:r w:rsidRPr="00056E47" w:rsidR="00056E47">
        <w:rPr>
          <w:rFonts w:ascii="Times New Roman" w:hAnsi="Times New Roman" w:eastAsia="Calibri" w:cs="Times New Roman"/>
          <w:szCs w:val="20"/>
        </w:rPr>
        <w:t>)</w:t>
      </w:r>
      <w:bookmarkEnd w:id="224"/>
    </w:p>
    <w:p w:rsidRPr="00D43D39" w:rsidR="11A96971" w:rsidP="5E2F2DB1" w:rsidRDefault="11A96971" w14:paraId="763C35BB" w14:textId="77777777">
      <w:pPr>
        <w:pStyle w:val="Numberedtitlelevel3"/>
        <w:rPr>
          <w:rFonts w:ascii="Times New Roman" w:hAnsi="Times New Roman" w:cs="Times New Roman"/>
          <w:b w:val="0"/>
          <w:color w:val="000000" w:themeColor="text1"/>
          <w:sz w:val="20"/>
          <w:szCs w:val="20"/>
          <w:u w:val="single"/>
          <w:lang w:val="en-GB"/>
        </w:rPr>
      </w:pPr>
      <w:r w:rsidRPr="00D43D39">
        <w:rPr>
          <w:rFonts w:ascii="Times New Roman" w:hAnsi="Times New Roman" w:cs="Times New Roman"/>
          <w:b w:val="0"/>
          <w:color w:val="000000" w:themeColor="text1"/>
          <w:sz w:val="20"/>
          <w:szCs w:val="20"/>
          <w:u w:val="single"/>
          <w:lang w:val="en-GB"/>
        </w:rPr>
        <w:t>General remarks</w:t>
      </w:r>
    </w:p>
    <w:p w:rsidRPr="005F5507" w:rsidR="358D109E" w:rsidP="005F5507" w:rsidRDefault="358D109E" w14:paraId="53A1638A" w14:textId="28F77941">
      <w:pPr>
        <w:pStyle w:val="InstructionsText2"/>
        <w:numPr>
          <w:ilvl w:val="2"/>
          <w:numId w:val="209"/>
        </w:numPr>
        <w:spacing w:before="0"/>
        <w:ind w:left="1134"/>
        <w:rPr>
          <w:rFonts w:ascii="Times New Roman" w:hAnsi="Times New Roman" w:cs="Times New Roman" w:eastAsiaTheme="majorEastAsia"/>
          <w:sz w:val="20"/>
          <w:szCs w:val="20"/>
          <w:lang w:val="en-GB"/>
        </w:rPr>
      </w:pPr>
      <w:r w:rsidRPr="005F5507">
        <w:rPr>
          <w:rFonts w:ascii="Times New Roman" w:hAnsi="Times New Roman" w:eastAsia="Cambria" w:cs="Times New Roman"/>
          <w:sz w:val="20"/>
          <w:szCs w:val="20"/>
          <w:lang w:val="en-GB"/>
        </w:rPr>
        <w:t>A security is a fungible, negotiable financial instrument that represents a financial value,</w:t>
      </w:r>
      <w:r w:rsidRPr="005F5507" w:rsidR="001A10F6">
        <w:rPr>
          <w:rFonts w:ascii="Times New Roman" w:hAnsi="Times New Roman" w:eastAsia="Cambria" w:cs="Times New Roman"/>
          <w:sz w:val="20"/>
          <w:szCs w:val="20"/>
          <w:lang w:val="en-GB"/>
        </w:rPr>
        <w:t xml:space="preserve"> </w:t>
      </w:r>
      <w:r w:rsidRPr="005F5507">
        <w:rPr>
          <w:rFonts w:ascii="Times New Roman" w:hAnsi="Times New Roman" w:eastAsia="Cambria" w:cs="Times New Roman"/>
          <w:sz w:val="20"/>
          <w:szCs w:val="20"/>
          <w:lang w:val="en-GB"/>
        </w:rPr>
        <w:t xml:space="preserve">irrespective of its actual specificities (e.g. these instruments </w:t>
      </w:r>
      <w:r w:rsidR="004771B1">
        <w:rPr>
          <w:rFonts w:ascii="Times New Roman" w:hAnsi="Times New Roman" w:eastAsia="Cambria" w:cs="Times New Roman"/>
          <w:sz w:val="20"/>
          <w:szCs w:val="20"/>
          <w:lang w:val="en-GB"/>
        </w:rPr>
        <w:t>are</w:t>
      </w:r>
      <w:r w:rsidRPr="005F5507">
        <w:rPr>
          <w:rFonts w:ascii="Times New Roman" w:hAnsi="Times New Roman" w:eastAsia="Cambria" w:cs="Times New Roman"/>
          <w:sz w:val="20"/>
          <w:szCs w:val="20"/>
          <w:lang w:val="en-GB"/>
        </w:rPr>
        <w:t xml:space="preserve"> either secured or unsecured).</w:t>
      </w:r>
      <w:r w:rsidRPr="005F5507" w:rsidR="0085724E">
        <w:rPr>
          <w:rFonts w:ascii="Times New Roman" w:hAnsi="Times New Roman" w:eastAsia="Cambria" w:cs="Times New Roman"/>
          <w:sz w:val="20"/>
          <w:szCs w:val="20"/>
          <w:lang w:val="en-GB"/>
        </w:rPr>
        <w:t xml:space="preserve"> </w:t>
      </w:r>
      <w:r w:rsidRPr="005F5507">
        <w:rPr>
          <w:rFonts w:ascii="Times New Roman" w:hAnsi="Times New Roman" w:eastAsia="Cambria" w:cs="Times New Roman"/>
          <w:sz w:val="20"/>
          <w:szCs w:val="20"/>
          <w:lang w:val="en-GB"/>
        </w:rPr>
        <w:t>This</w:t>
      </w:r>
      <w:r w:rsidRPr="005F5507" w:rsidR="0085724E">
        <w:rPr>
          <w:rFonts w:ascii="Times New Roman" w:hAnsi="Times New Roman" w:eastAsia="Cambria" w:cs="Times New Roman"/>
          <w:sz w:val="20"/>
          <w:szCs w:val="20"/>
          <w:lang w:val="en-GB"/>
        </w:rPr>
        <w:t xml:space="preserve"> table</w:t>
      </w:r>
      <w:r w:rsidRPr="005F5507">
        <w:rPr>
          <w:rFonts w:ascii="Times New Roman" w:hAnsi="Times New Roman" w:eastAsia="Cambria" w:cs="Times New Roman"/>
          <w:sz w:val="20"/>
          <w:szCs w:val="20"/>
          <w:lang w:val="en-GB"/>
        </w:rPr>
        <w:t xml:space="preserve"> </w:t>
      </w:r>
      <w:r w:rsidRPr="005F5507" w:rsidR="003F7491">
        <w:rPr>
          <w:rFonts w:ascii="Times New Roman" w:hAnsi="Times New Roman" w:eastAsia="Cambria" w:cs="Times New Roman"/>
          <w:sz w:val="20"/>
          <w:szCs w:val="20"/>
          <w:lang w:val="en-GB"/>
        </w:rPr>
        <w:t>shall</w:t>
      </w:r>
      <w:r w:rsidRPr="005F5507">
        <w:rPr>
          <w:rFonts w:ascii="Times New Roman" w:hAnsi="Times New Roman" w:eastAsia="Cambria" w:cs="Times New Roman"/>
          <w:sz w:val="20"/>
          <w:szCs w:val="20"/>
          <w:lang w:val="en-GB"/>
        </w:rPr>
        <w:t xml:space="preserve"> also include </w:t>
      </w:r>
      <w:r w:rsidR="000A00D6">
        <w:rPr>
          <w:rFonts w:ascii="Times New Roman" w:hAnsi="Times New Roman" w:eastAsia="Cambria" w:cs="Times New Roman"/>
          <w:sz w:val="20"/>
          <w:szCs w:val="20"/>
          <w:lang w:val="en-GB"/>
        </w:rPr>
        <w:t>Own Funds</w:t>
      </w:r>
      <w:r w:rsidRPr="005F5507">
        <w:rPr>
          <w:rFonts w:ascii="Times New Roman" w:hAnsi="Times New Roman" w:eastAsia="Cambria" w:cs="Times New Roman"/>
          <w:sz w:val="20"/>
          <w:szCs w:val="20"/>
          <w:lang w:val="en-GB"/>
        </w:rPr>
        <w:t xml:space="preserve"> instruments</w:t>
      </w:r>
      <w:r w:rsidR="000A00D6">
        <w:rPr>
          <w:rStyle w:val="FootnoteReference"/>
          <w:rFonts w:eastAsia="Cambria" w:cs="Times New Roman"/>
          <w:lang w:val="en-GB"/>
        </w:rPr>
        <w:footnoteReference w:id="33"/>
      </w:r>
      <w:r w:rsidRPr="005F5507">
        <w:rPr>
          <w:rFonts w:ascii="Times New Roman" w:hAnsi="Times New Roman" w:eastAsia="Cambria" w:cs="Times New Roman"/>
          <w:sz w:val="20"/>
          <w:szCs w:val="20"/>
          <w:lang w:val="en-GB"/>
        </w:rPr>
        <w:t xml:space="preserve">. </w:t>
      </w:r>
      <w:r w:rsidR="004A7776">
        <w:rPr>
          <w:rFonts w:ascii="Times New Roman" w:hAnsi="Times New Roman" w:eastAsia="Cambria" w:cs="Times New Roman"/>
          <w:sz w:val="20"/>
          <w:szCs w:val="20"/>
          <w:lang w:val="en-GB"/>
        </w:rPr>
        <w:t>For the purposes of CET1 capital instruments, the residual claim of shares on total accounting equity (as defined by Z02.00-r0511) shall be reported on instrument level.</w:t>
      </w:r>
    </w:p>
    <w:p w:rsidRPr="005F5507" w:rsidR="358D109E" w:rsidP="005F5507" w:rsidRDefault="0085724E" w14:paraId="05E19CF1" w14:textId="69BFD2D2">
      <w:pPr>
        <w:pStyle w:val="InstructionsText2"/>
        <w:numPr>
          <w:ilvl w:val="2"/>
          <w:numId w:val="209"/>
        </w:numPr>
        <w:spacing w:before="0"/>
        <w:ind w:left="1134"/>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Wh</w:t>
      </w:r>
      <w:r w:rsidRPr="005F5507" w:rsidR="003F7491">
        <w:rPr>
          <w:rFonts w:ascii="Times New Roman" w:hAnsi="Times New Roman" w:eastAsia="Cambria" w:cs="Times New Roman"/>
          <w:sz w:val="20"/>
          <w:szCs w:val="20"/>
          <w:lang w:val="en-GB"/>
        </w:rPr>
        <w:t>ere the creditor identifier</w:t>
      </w:r>
      <w:r w:rsidRPr="005F5507" w:rsidR="358D109E">
        <w:rPr>
          <w:rFonts w:ascii="Times New Roman" w:hAnsi="Times New Roman" w:eastAsia="Cambria" w:cs="Times New Roman"/>
          <w:sz w:val="20"/>
          <w:szCs w:val="20"/>
          <w:lang w:val="en-GB"/>
        </w:rPr>
        <w:t xml:space="preserve"> </w:t>
      </w:r>
      <w:r w:rsidRPr="005F5507" w:rsidR="003F7491">
        <w:rPr>
          <w:rFonts w:ascii="Times New Roman" w:hAnsi="Times New Roman" w:eastAsia="Cambria" w:cs="Times New Roman"/>
          <w:sz w:val="20"/>
          <w:szCs w:val="20"/>
          <w:lang w:val="en-GB"/>
        </w:rPr>
        <w:t>(column 0210) is</w:t>
      </w:r>
      <w:r w:rsidRPr="005F5507" w:rsidR="358D109E">
        <w:rPr>
          <w:rFonts w:ascii="Times New Roman" w:hAnsi="Times New Roman" w:eastAsia="Cambria" w:cs="Times New Roman"/>
          <w:sz w:val="20"/>
          <w:szCs w:val="20"/>
          <w:lang w:val="en-GB"/>
        </w:rPr>
        <w:t xml:space="preserve"> not available (e.g.</w:t>
      </w:r>
      <w:r w:rsidRPr="005F5507" w:rsidR="003F7491">
        <w:rPr>
          <w:rFonts w:ascii="Times New Roman" w:hAnsi="Times New Roman" w:eastAsia="Cambria" w:cs="Times New Roman"/>
          <w:sz w:val="20"/>
          <w:szCs w:val="20"/>
          <w:lang w:val="en-GB"/>
        </w:rPr>
        <w:t xml:space="preserve"> in case of</w:t>
      </w:r>
      <w:r w:rsidRPr="005F5507" w:rsidR="358D109E">
        <w:rPr>
          <w:rFonts w:ascii="Times New Roman" w:hAnsi="Times New Roman" w:eastAsia="Cambria" w:cs="Times New Roman"/>
          <w:sz w:val="20"/>
          <w:szCs w:val="20"/>
          <w:lang w:val="en-GB"/>
        </w:rPr>
        <w:t xml:space="preserve"> instruments traded on platforms), </w:t>
      </w:r>
      <w:r w:rsidRPr="005F5507" w:rsidR="003F7491">
        <w:rPr>
          <w:rFonts w:ascii="Times New Roman" w:hAnsi="Times New Roman" w:eastAsia="Cambria" w:cs="Times New Roman"/>
          <w:sz w:val="20"/>
          <w:szCs w:val="20"/>
          <w:lang w:val="en-GB"/>
        </w:rPr>
        <w:t xml:space="preserve">each row shall be </w:t>
      </w:r>
      <w:r w:rsidRPr="005F5507" w:rsidR="002F2B88">
        <w:rPr>
          <w:rFonts w:ascii="Times New Roman" w:hAnsi="Times New Roman" w:eastAsia="Cambria" w:cs="Times New Roman"/>
          <w:sz w:val="20"/>
          <w:szCs w:val="20"/>
          <w:lang w:val="en-GB"/>
        </w:rPr>
        <w:t>report</w:t>
      </w:r>
      <w:r w:rsidRPr="005F5507" w:rsidR="003F7491">
        <w:rPr>
          <w:rFonts w:ascii="Times New Roman" w:hAnsi="Times New Roman" w:eastAsia="Cambria" w:cs="Times New Roman"/>
          <w:sz w:val="20"/>
          <w:szCs w:val="20"/>
          <w:lang w:val="en-GB"/>
        </w:rPr>
        <w:t>ed at the aggregate level with respect to this field</w:t>
      </w:r>
      <w:r w:rsidRPr="005F5507" w:rsidR="358D109E">
        <w:rPr>
          <w:rFonts w:ascii="Times New Roman" w:hAnsi="Times New Roman" w:eastAsia="Cambria" w:cs="Times New Roman"/>
          <w:sz w:val="20"/>
          <w:szCs w:val="20"/>
          <w:lang w:val="en-GB"/>
        </w:rPr>
        <w:t>.</w:t>
      </w:r>
    </w:p>
    <w:p w:rsidRPr="005F5507" w:rsidR="001A299F" w:rsidP="005F5507" w:rsidRDefault="001A299F" w14:paraId="1A2BE2CA" w14:textId="20A80DEA">
      <w:pPr>
        <w:pStyle w:val="InstructionsText2"/>
        <w:numPr>
          <w:ilvl w:val="2"/>
          <w:numId w:val="209"/>
        </w:numPr>
        <w:spacing w:before="0"/>
        <w:ind w:left="1134"/>
        <w:rPr>
          <w:rFonts w:ascii="Times New Roman" w:hAnsi="Times New Roman" w:cs="Times New Roman"/>
          <w:sz w:val="20"/>
          <w:szCs w:val="20"/>
          <w:lang w:val="en-GB"/>
        </w:rPr>
      </w:pPr>
      <w:r w:rsidRPr="005F5507">
        <w:rPr>
          <w:rFonts w:ascii="Times New Roman" w:hAnsi="Times New Roman" w:eastAsia="Cambria" w:cs="Times New Roman"/>
          <w:sz w:val="20"/>
          <w:szCs w:val="20"/>
          <w:lang w:val="en-GB"/>
        </w:rPr>
        <w:t>For the purposes of this table, liabilities shall be reported in rows at the granularity level defined by the requested fields.</w:t>
      </w:r>
    </w:p>
    <w:p w:rsidRPr="005F5507" w:rsidR="5E2F2DB1" w:rsidP="001C34E8" w:rsidRDefault="5E2F2DB1" w14:paraId="61AF3DF9" w14:textId="26F85015">
      <w:pPr>
        <w:spacing w:line="276" w:lineRule="auto"/>
        <w:rPr>
          <w:rFonts w:ascii="Times New Roman" w:hAnsi="Times New Roman" w:cs="Times New Roman"/>
          <w:sz w:val="20"/>
          <w:szCs w:val="20"/>
          <w:lang w:val="en-GB"/>
        </w:rPr>
      </w:pPr>
    </w:p>
    <w:p w:rsidRPr="00D43D39" w:rsidR="11A96971" w:rsidP="5E2F2DB1" w:rsidRDefault="11A96971" w14:paraId="6B3E0AD9" w14:textId="77777777">
      <w:pPr>
        <w:pStyle w:val="Numberedtitlelevel3"/>
        <w:rPr>
          <w:rFonts w:ascii="Times New Roman" w:hAnsi="Times New Roman" w:cs="Times New Roman"/>
          <w:b w:val="0"/>
          <w:color w:val="000000" w:themeColor="text1"/>
          <w:sz w:val="20"/>
          <w:szCs w:val="20"/>
          <w:u w:val="single"/>
          <w:lang w:val="en-GB"/>
        </w:rPr>
      </w:pPr>
      <w:r w:rsidRPr="00D43D39">
        <w:rPr>
          <w:rFonts w:ascii="Times New Roman" w:hAnsi="Times New Roman" w:cs="Times New Roman"/>
          <w:b w:val="0"/>
          <w:color w:val="000000" w:themeColor="text1"/>
          <w:sz w:val="20"/>
          <w:szCs w:val="20"/>
          <w:u w:val="single"/>
          <w:lang w:val="en-GB"/>
        </w:rPr>
        <w:t>Instructions concerning specific positions</w:t>
      </w:r>
    </w:p>
    <w:p w:rsidRPr="00D43D39" w:rsidR="5E2F2DB1" w:rsidP="5E2F2DB1" w:rsidRDefault="5E2F2DB1" w14:paraId="0AC9FD84" w14:textId="77777777">
      <w:pPr>
        <w:pStyle w:val="body"/>
        <w:rPr>
          <w:rFonts w:ascii="Times New Roman" w:hAnsi="Times New Roman" w:cs="Times New Roman"/>
          <w:color w:val="000000" w:themeColor="text1"/>
          <w:sz w:val="20"/>
          <w:szCs w:val="20"/>
          <w:lang w:val="en-GB"/>
        </w:rPr>
      </w:pPr>
    </w:p>
    <w:tbl>
      <w:tblPr>
        <w:tblW w:w="0" w:type="auto"/>
        <w:tblLook w:val="01E0" w:firstRow="1" w:lastRow="1" w:firstColumn="1" w:lastColumn="1" w:noHBand="0" w:noVBand="0"/>
      </w:tblPr>
      <w:tblGrid>
        <w:gridCol w:w="1415"/>
        <w:gridCol w:w="7547"/>
        <w:gridCol w:w="64"/>
      </w:tblGrid>
      <w:tr w:rsidRPr="00D43D39" w:rsidR="5E2F2DB1" w:rsidTr="005F5507" w14:paraId="58F451BB" w14:textId="77777777">
        <w:trPr>
          <w:gridAfter w:val="1"/>
          <w:wAfter w:w="64" w:type="dxa"/>
          <w:tblHeader/>
        </w:trPr>
        <w:tc>
          <w:tcPr>
            <w:tcW w:w="1415" w:type="dxa"/>
            <w:tcBorders>
              <w:top w:val="single" w:color="1A171C" w:sz="4" w:space="0"/>
              <w:left w:val="nil"/>
              <w:bottom w:val="single" w:color="1A171C" w:sz="4" w:space="0"/>
              <w:right w:val="single" w:color="1A171C" w:sz="4" w:space="0"/>
            </w:tcBorders>
            <w:shd w:val="clear" w:color="auto" w:fill="E4E5E5"/>
          </w:tcPr>
          <w:p w:rsidRPr="00D43D39" w:rsidR="5E2F2DB1" w:rsidP="5E2F2DB1" w:rsidRDefault="5E2F2DB1" w14:paraId="4001EF09" w14:textId="77777777">
            <w:pPr>
              <w:pStyle w:val="TableParagraph"/>
              <w:spacing w:before="108"/>
              <w:ind w:left="85"/>
              <w:rPr>
                <w:rFonts w:ascii="Times New Roman" w:hAnsi="Times New Roman" w:eastAsia="Cambria"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Columns</w:t>
            </w:r>
          </w:p>
        </w:tc>
        <w:tc>
          <w:tcPr>
            <w:tcW w:w="7547" w:type="dxa"/>
            <w:tcBorders>
              <w:top w:val="single" w:color="1A171C" w:sz="4" w:space="0"/>
              <w:left w:val="single" w:color="1A171C" w:sz="4" w:space="0"/>
              <w:bottom w:val="single" w:color="1A171C" w:sz="4" w:space="0"/>
              <w:right w:val="nil"/>
            </w:tcBorders>
            <w:shd w:val="clear" w:color="auto" w:fill="E4E5E5"/>
          </w:tcPr>
          <w:p w:rsidRPr="00D43D39" w:rsidR="5E2F2DB1" w:rsidP="5E2F2DB1" w:rsidRDefault="5E2F2DB1" w14:paraId="62DCEEE7" w14:textId="77777777">
            <w:pPr>
              <w:pStyle w:val="TableParagraph"/>
              <w:spacing w:before="108"/>
              <w:ind w:left="85" w:right="1"/>
              <w:rPr>
                <w:rFonts w:ascii="Times New Roman" w:hAnsi="Times New Roman" w:eastAsia="Cambria"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Instructions</w:t>
            </w:r>
          </w:p>
        </w:tc>
      </w:tr>
      <w:tr w:rsidRPr="00D43D39" w:rsidR="5E2F2DB1" w:rsidTr="005F5507" w14:paraId="3272166C"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5C416BFE" w14:textId="1D16EB92">
            <w:pPr>
              <w:rPr>
                <w:rFonts w:ascii="Times New Roman" w:hAnsi="Times New Roman" w:cs="Times New Roman"/>
              </w:rPr>
            </w:pPr>
            <w:r w:rsidRPr="005F5507">
              <w:rPr>
                <w:rFonts w:ascii="Times New Roman" w:hAnsi="Times New Roman" w:eastAsia="Times New Roman" w:cs="Times New Roman"/>
                <w:sz w:val="20"/>
                <w:szCs w:val="20"/>
              </w:rPr>
              <w:t>0010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2195EC50" w14:textId="1772A8F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N° </w:t>
            </w:r>
          </w:p>
          <w:p w:rsidRPr="005F5507" w:rsidR="5E2F2DB1" w:rsidP="005F5507" w:rsidRDefault="5E2F2DB1" w14:paraId="61C40895" w14:textId="4E9D0C8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Unique number/primary key to identify the row items.</w:t>
            </w:r>
          </w:p>
        </w:tc>
      </w:tr>
      <w:tr w:rsidRPr="00D43D39" w:rsidR="5E2F2DB1" w:rsidTr="005F5507" w14:paraId="20F51389"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61494AAF" w14:textId="36CEF057">
            <w:pPr>
              <w:rPr>
                <w:rFonts w:ascii="Times New Roman" w:hAnsi="Times New Roman" w:cs="Times New Roman"/>
              </w:rPr>
            </w:pPr>
            <w:r w:rsidRPr="005F5507">
              <w:rPr>
                <w:rFonts w:ascii="Times New Roman" w:hAnsi="Times New Roman" w:eastAsia="Times New Roman" w:cs="Times New Roman"/>
                <w:sz w:val="20"/>
                <w:szCs w:val="20"/>
              </w:rPr>
              <w:t>0020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008E145C" w14:paraId="1C404AD8" w14:textId="663CC7C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Line</w:t>
            </w:r>
          </w:p>
          <w:p w:rsidRPr="005F5507" w:rsidR="5E2F2DB1" w:rsidP="005F5507" w:rsidRDefault="5E2F2DB1" w14:paraId="6243D21D" w14:textId="1D8F48A6">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each </w:t>
            </w:r>
            <w:r w:rsidRPr="005F5507" w:rsidR="00D2405F">
              <w:rPr>
                <w:rFonts w:ascii="Times New Roman" w:hAnsi="Times New Roman" w:eastAsia="Times New Roman" w:cs="Times New Roman"/>
                <w:sz w:val="20"/>
                <w:szCs w:val="20"/>
              </w:rPr>
              <w:t xml:space="preserve">reported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a reconciliation with the categories of liabilities of the liability structure in </w:t>
            </w:r>
            <w:r w:rsidRPr="005F5507" w:rsidR="006106E1">
              <w:rPr>
                <w:rFonts w:ascii="Times New Roman" w:hAnsi="Times New Roman" w:eastAsia="Times New Roman" w:cs="Times New Roman"/>
                <w:sz w:val="20"/>
                <w:szCs w:val="20"/>
              </w:rPr>
              <w:t>Z</w:t>
            </w:r>
            <w:r w:rsidRPr="005F5507">
              <w:rPr>
                <w:rFonts w:ascii="Times New Roman" w:hAnsi="Times New Roman" w:eastAsia="Times New Roman" w:cs="Times New Roman"/>
                <w:sz w:val="20"/>
                <w:szCs w:val="20"/>
              </w:rPr>
              <w:t>0</w:t>
            </w:r>
            <w:r w:rsidRPr="005F5507" w:rsidR="006106E1">
              <w:rPr>
                <w:rFonts w:ascii="Times New Roman" w:hAnsi="Times New Roman" w:eastAsia="Times New Roman" w:cs="Times New Roman"/>
                <w:sz w:val="20"/>
                <w:szCs w:val="20"/>
              </w:rPr>
              <w:t>2</w:t>
            </w:r>
            <w:r w:rsidRPr="005F5507">
              <w:rPr>
                <w:rFonts w:ascii="Times New Roman" w:hAnsi="Times New Roman" w:eastAsia="Times New Roman" w:cs="Times New Roman"/>
                <w:sz w:val="20"/>
                <w:szCs w:val="20"/>
              </w:rPr>
              <w:t>.00 has to be provided at the level of maturity from a predefined list of values.</w:t>
            </w:r>
          </w:p>
        </w:tc>
      </w:tr>
      <w:tr w:rsidRPr="00D43D39" w:rsidR="5E2F2DB1" w:rsidTr="005F5507" w14:paraId="3791444A"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1ACE3195" w14:textId="4B81C306">
            <w:pPr>
              <w:rPr>
                <w:rFonts w:ascii="Times New Roman" w:hAnsi="Times New Roman" w:cs="Times New Roman"/>
              </w:rPr>
            </w:pPr>
            <w:r w:rsidRPr="005F5507">
              <w:rPr>
                <w:rFonts w:ascii="Times New Roman" w:hAnsi="Times New Roman" w:eastAsia="Times New Roman" w:cs="Times New Roman"/>
                <w:sz w:val="20"/>
                <w:szCs w:val="20"/>
              </w:rPr>
              <w:t>0030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4AD1E030" w14:textId="3C3A2FF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Column </w:t>
            </w:r>
          </w:p>
          <w:p w:rsidRPr="005F5507" w:rsidR="5E2F2DB1" w:rsidP="005F5507" w:rsidRDefault="5E2F2DB1" w14:paraId="31BC6D64" w14:textId="00041A70">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each </w:t>
            </w:r>
            <w:r w:rsidRPr="005F5507" w:rsidR="00D2405F">
              <w:rPr>
                <w:rFonts w:ascii="Times New Roman" w:hAnsi="Times New Roman" w:eastAsia="Times New Roman" w:cs="Times New Roman"/>
                <w:sz w:val="20"/>
                <w:szCs w:val="20"/>
              </w:rPr>
              <w:t xml:space="preserve">reported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a reconciliation with the counterparty class in </w:t>
            </w:r>
            <w:r w:rsidRPr="005F5507" w:rsidR="00360BE3">
              <w:rPr>
                <w:rFonts w:ascii="Times New Roman" w:hAnsi="Times New Roman" w:eastAsia="Times New Roman" w:cs="Times New Roman"/>
                <w:sz w:val="20"/>
                <w:szCs w:val="20"/>
              </w:rPr>
              <w:t>Ζ</w:t>
            </w:r>
            <w:r w:rsidRPr="005F5507">
              <w:rPr>
                <w:rFonts w:ascii="Times New Roman" w:hAnsi="Times New Roman" w:eastAsia="Times New Roman" w:cs="Times New Roman"/>
                <w:sz w:val="20"/>
                <w:szCs w:val="20"/>
              </w:rPr>
              <w:t>0</w:t>
            </w:r>
            <w:r w:rsidRPr="005F5507" w:rsidR="00360BE3">
              <w:rPr>
                <w:rFonts w:ascii="Times New Roman" w:hAnsi="Times New Roman" w:eastAsia="Times New Roman" w:cs="Times New Roman"/>
                <w:sz w:val="20"/>
                <w:szCs w:val="20"/>
              </w:rPr>
              <w:t>2</w:t>
            </w:r>
            <w:r w:rsidRPr="005F5507">
              <w:rPr>
                <w:rFonts w:ascii="Times New Roman" w:hAnsi="Times New Roman" w:eastAsia="Times New Roman" w:cs="Times New Roman"/>
                <w:sz w:val="20"/>
                <w:szCs w:val="20"/>
              </w:rPr>
              <w:t>.00 to which the liability is owed has to be provided from predefined list of values.</w:t>
            </w:r>
          </w:p>
        </w:tc>
      </w:tr>
      <w:tr w:rsidRPr="00D43D39" w:rsidR="5E2F2DB1" w:rsidTr="005F5507" w14:paraId="3190104E"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00C62F7F" w14:textId="19B567AC">
            <w:pPr>
              <w:rPr>
                <w:rFonts w:ascii="Times New Roman" w:hAnsi="Times New Roman" w:cs="Times New Roman"/>
              </w:rPr>
            </w:pPr>
            <w:r w:rsidRPr="005F5507">
              <w:rPr>
                <w:rFonts w:ascii="Times New Roman" w:hAnsi="Times New Roman" w:eastAsia="Times New Roman" w:cs="Times New Roman"/>
                <w:sz w:val="20"/>
                <w:szCs w:val="20"/>
              </w:rPr>
              <w:t>0040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0303E2A1" w14:textId="3876E998">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Insolvency </w:t>
            </w:r>
            <w:r w:rsidRPr="005F5507" w:rsidR="00C026E4">
              <w:rPr>
                <w:rFonts w:ascii="Times New Roman" w:hAnsi="Times New Roman" w:eastAsia="Times New Roman" w:cs="Times New Roman"/>
                <w:b/>
                <w:bCs/>
                <w:sz w:val="20"/>
                <w:szCs w:val="20"/>
              </w:rPr>
              <w:t>r</w:t>
            </w:r>
            <w:r w:rsidRPr="005F5507">
              <w:rPr>
                <w:rFonts w:ascii="Times New Roman" w:hAnsi="Times New Roman" w:eastAsia="Times New Roman" w:cs="Times New Roman"/>
                <w:b/>
                <w:bCs/>
                <w:sz w:val="20"/>
                <w:szCs w:val="20"/>
              </w:rPr>
              <w:t xml:space="preserve">anking  </w:t>
            </w:r>
          </w:p>
          <w:p w:rsidRPr="005F5507" w:rsidR="5E2F2DB1" w:rsidP="005F5507" w:rsidRDefault="00D2405F" w14:paraId="12AD732D" w14:textId="44EC3AD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insolvency rank shall be one of the ranks included in the insolvency rankings published by the resolution authority of that jurisdiction. </w:t>
            </w:r>
          </w:p>
        </w:tc>
      </w:tr>
      <w:tr w:rsidRPr="00D43D39" w:rsidR="5E2F2DB1" w:rsidTr="005F5507" w14:paraId="0CCFD316"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59F67A32" w14:textId="121EC60B">
            <w:pPr>
              <w:rPr>
                <w:rFonts w:ascii="Times New Roman" w:hAnsi="Times New Roman" w:cs="Times New Roman"/>
              </w:rPr>
            </w:pPr>
            <w:r w:rsidRPr="005F5507">
              <w:rPr>
                <w:rFonts w:ascii="Times New Roman" w:hAnsi="Times New Roman" w:eastAsia="Times New Roman" w:cs="Times New Roman"/>
                <w:sz w:val="20"/>
                <w:szCs w:val="20"/>
              </w:rPr>
              <w:t>0050</w:t>
            </w:r>
          </w:p>
        </w:tc>
        <w:tc>
          <w:tcPr>
            <w:tcW w:w="7611" w:type="dxa"/>
            <w:gridSpan w:val="2"/>
            <w:tcBorders>
              <w:top w:val="single" w:color="1A171C" w:sz="8" w:space="0"/>
              <w:left w:val="single" w:color="1A171C" w:sz="8" w:space="0"/>
              <w:bottom w:val="single" w:color="1A171C" w:sz="8" w:space="0"/>
              <w:right w:val="nil"/>
            </w:tcBorders>
            <w:vAlign w:val="bottom"/>
          </w:tcPr>
          <w:p w:rsidRPr="005F5507" w:rsidR="4CD87313" w:rsidP="005F5507" w:rsidRDefault="4CD87313" w14:paraId="2764F0C0" w14:textId="746D869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ISIN</w:t>
            </w:r>
          </w:p>
          <w:p w:rsidRPr="005F5507" w:rsidR="5E2F2DB1" w:rsidP="005F5507" w:rsidRDefault="00D2405F" w14:paraId="0B253E91" w14:textId="58135E20">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ISIN or, in case the ISIN is not available, another contract identifier of the instrument shall be reported.</w:t>
            </w:r>
          </w:p>
        </w:tc>
      </w:tr>
      <w:tr w:rsidRPr="00D43D39" w:rsidR="5E2F2DB1" w:rsidTr="005F5507" w14:paraId="74353292"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1278B53A" w14:textId="4F9C72B7">
            <w:pPr>
              <w:rPr>
                <w:rFonts w:ascii="Times New Roman" w:hAnsi="Times New Roman" w:cs="Times New Roman"/>
              </w:rPr>
            </w:pPr>
            <w:r w:rsidRPr="005F5507">
              <w:rPr>
                <w:rFonts w:ascii="Times New Roman" w:hAnsi="Times New Roman" w:eastAsia="Times New Roman" w:cs="Times New Roman"/>
                <w:sz w:val="20"/>
                <w:szCs w:val="20"/>
              </w:rPr>
              <w:t>0060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7C4BEE9C" w14:textId="7A0ED93F">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Type of </w:t>
            </w:r>
            <w:r w:rsidRPr="005F5507" w:rsidR="00620E33">
              <w:rPr>
                <w:rFonts w:ascii="Times New Roman" w:hAnsi="Times New Roman" w:eastAsia="Times New Roman" w:cs="Times New Roman"/>
                <w:b/>
                <w:bCs/>
                <w:sz w:val="20"/>
                <w:szCs w:val="20"/>
              </w:rPr>
              <w:t xml:space="preserve">instrument  </w:t>
            </w:r>
          </w:p>
          <w:p w:rsidRPr="005F5507" w:rsidR="00E82C27" w:rsidP="005F5507" w:rsidRDefault="5E2F2DB1" w14:paraId="211731B7" w14:textId="77777777">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Identification of the type of instrument, either </w:t>
            </w:r>
          </w:p>
          <w:p w:rsidRPr="005F5507" w:rsidR="009B50A7" w:rsidP="005F5507" w:rsidRDefault="00E82C27" w14:paraId="4DF0E442" w14:textId="16D843A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 </w:t>
            </w:r>
            <w:r w:rsidRPr="005F5507" w:rsidR="009B50A7">
              <w:rPr>
                <w:rFonts w:ascii="Times New Roman" w:hAnsi="Times New Roman" w:eastAsia="Times New Roman" w:cs="Times New Roman"/>
                <w:sz w:val="20"/>
                <w:szCs w:val="20"/>
              </w:rPr>
              <w:t>Registered Bond</w:t>
            </w:r>
          </w:p>
          <w:p w:rsidR="009B50A7" w:rsidRDefault="009B50A7" w14:paraId="2D718946" w14:textId="5865458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Bearer Bond</w:t>
            </w:r>
          </w:p>
          <w:p w:rsidRPr="005F5507" w:rsidR="00E83511" w:rsidP="005F5507" w:rsidRDefault="00E83511" w14:paraId="4028B172" w14:textId="3D0D0E5C">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-Borrower Note Loan</w:t>
            </w:r>
          </w:p>
          <w:p w:rsidRPr="005F5507" w:rsidR="009B50A7" w:rsidP="005F5507" w:rsidRDefault="009B50A7" w14:paraId="213B2F70" w14:textId="2CCCEBA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Certificate of Deposit</w:t>
            </w:r>
            <w:r w:rsidR="00E83511">
              <w:rPr>
                <w:rFonts w:ascii="Times New Roman" w:hAnsi="Times New Roman" w:eastAsia="Times New Roman" w:cs="Times New Roman"/>
                <w:sz w:val="20"/>
                <w:szCs w:val="20"/>
              </w:rPr>
              <w:t>/Commercial paper</w:t>
            </w:r>
          </w:p>
          <w:p w:rsidRPr="005F5507" w:rsidR="00E82C27" w:rsidP="005F5507" w:rsidRDefault="009B50A7" w14:paraId="0786BAB6" w14:textId="77777777">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Title of ownership</w:t>
            </w:r>
          </w:p>
          <w:p w:rsidRPr="005F5507" w:rsidR="00E82C27" w:rsidP="005F5507" w:rsidRDefault="00E82C27" w14:paraId="72544014" w14:textId="77777777">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Other</w:t>
            </w:r>
          </w:p>
          <w:p w:rsidRPr="005F5507" w:rsidR="009B50A7" w:rsidP="005F5507" w:rsidRDefault="5E2F2DB1" w14:paraId="34600E33" w14:textId="062415A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 </w:t>
            </w:r>
          </w:p>
          <w:p w:rsidRPr="005F5507" w:rsidR="5E2F2DB1" w:rsidP="005F5507" w:rsidRDefault="5E2F2DB1" w14:paraId="65767EC2" w14:textId="32BA692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from a predefined list.</w:t>
            </w:r>
          </w:p>
        </w:tc>
      </w:tr>
      <w:tr w:rsidRPr="00D43D39" w:rsidR="5E2F2DB1" w:rsidTr="005F5507" w14:paraId="7B5AE907"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38E54EF2" w14:textId="002AE61E">
            <w:pPr>
              <w:rPr>
                <w:rFonts w:ascii="Times New Roman" w:hAnsi="Times New Roman" w:cs="Times New Roman"/>
              </w:rPr>
            </w:pPr>
            <w:r w:rsidRPr="005F5507">
              <w:rPr>
                <w:rFonts w:ascii="Times New Roman" w:hAnsi="Times New Roman" w:eastAsia="Times New Roman" w:cs="Times New Roman"/>
                <w:sz w:val="20"/>
                <w:szCs w:val="20"/>
              </w:rPr>
              <w:t>0070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2816F95D" w14:textId="3160712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Governing </w:t>
            </w:r>
            <w:r w:rsidRPr="005F5507" w:rsidR="00C026E4">
              <w:rPr>
                <w:rFonts w:ascii="Times New Roman" w:hAnsi="Times New Roman" w:eastAsia="Times New Roman" w:cs="Times New Roman"/>
                <w:b/>
                <w:bCs/>
                <w:sz w:val="20"/>
                <w:szCs w:val="20"/>
              </w:rPr>
              <w:t>l</w:t>
            </w:r>
            <w:r w:rsidRPr="005F5507">
              <w:rPr>
                <w:rFonts w:ascii="Times New Roman" w:hAnsi="Times New Roman" w:eastAsia="Times New Roman" w:cs="Times New Roman"/>
                <w:b/>
                <w:bCs/>
                <w:sz w:val="20"/>
                <w:szCs w:val="20"/>
              </w:rPr>
              <w:t xml:space="preserve">aw  </w:t>
            </w:r>
          </w:p>
          <w:p w:rsidRPr="005F5507" w:rsidR="5E2F2DB1" w:rsidP="005F5507" w:rsidRDefault="00945B6F" w14:paraId="2459B1DB" w14:textId="5A0B044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ISO 3166-1 alpha-2 code of the country whose law governs the instrument (use the ISO 3166-2 code when the law of an administrative subdivision is relevant, e.g. ‘US-NY’). </w:t>
            </w:r>
            <w:r w:rsidRPr="005F5507" w:rsidR="5E2F2DB1">
              <w:rPr>
                <w:rFonts w:ascii="Times New Roman" w:hAnsi="Times New Roman" w:eastAsia="Times New Roman" w:cs="Times New Roman"/>
                <w:sz w:val="20"/>
                <w:szCs w:val="20"/>
              </w:rPr>
              <w:t xml:space="preserve">If the contract is governed by the law of more than one country, the country the law of which has the highest relevance for the recognition of write down and conversion powers shall be reported.  </w:t>
            </w:r>
          </w:p>
        </w:tc>
      </w:tr>
      <w:tr w:rsidRPr="00D43D39" w:rsidR="5E2F2DB1" w:rsidTr="005F5507" w14:paraId="57E415B1"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61DFAF26" w14:textId="64380E57">
            <w:pPr>
              <w:rPr>
                <w:rFonts w:ascii="Times New Roman" w:hAnsi="Times New Roman" w:cs="Times New Roman"/>
              </w:rPr>
            </w:pPr>
            <w:r w:rsidRPr="005F5507">
              <w:rPr>
                <w:rFonts w:ascii="Times New Roman" w:hAnsi="Times New Roman" w:eastAsia="Times New Roman" w:cs="Times New Roman"/>
                <w:sz w:val="20"/>
                <w:szCs w:val="20"/>
              </w:rPr>
              <w:t>0080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0CD26182" w14:textId="0ED5850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If </w:t>
            </w:r>
            <w:r w:rsidRPr="005F5507" w:rsidR="00C026E4">
              <w:rPr>
                <w:rFonts w:ascii="Times New Roman" w:hAnsi="Times New Roman" w:eastAsia="Times New Roman" w:cs="Times New Roman"/>
                <w:b/>
                <w:bCs/>
                <w:sz w:val="20"/>
                <w:szCs w:val="20"/>
              </w:rPr>
              <w:t>t</w:t>
            </w:r>
            <w:r w:rsidRPr="005F5507">
              <w:rPr>
                <w:rFonts w:ascii="Times New Roman" w:hAnsi="Times New Roman" w:eastAsia="Times New Roman" w:cs="Times New Roman"/>
                <w:b/>
                <w:bCs/>
                <w:sz w:val="20"/>
                <w:szCs w:val="20"/>
              </w:rPr>
              <w:t xml:space="preserve">hird </w:t>
            </w:r>
            <w:r w:rsidRPr="005F5507" w:rsidR="00C026E4">
              <w:rPr>
                <w:rFonts w:ascii="Times New Roman" w:hAnsi="Times New Roman" w:eastAsia="Times New Roman" w:cs="Times New Roman"/>
                <w:b/>
                <w:bCs/>
                <w:sz w:val="20"/>
                <w:szCs w:val="20"/>
              </w:rPr>
              <w:t>c</w:t>
            </w:r>
            <w:r w:rsidRPr="005F5507">
              <w:rPr>
                <w:rFonts w:ascii="Times New Roman" w:hAnsi="Times New Roman" w:eastAsia="Times New Roman" w:cs="Times New Roman"/>
                <w:b/>
                <w:bCs/>
                <w:sz w:val="20"/>
                <w:szCs w:val="20"/>
              </w:rPr>
              <w:t xml:space="preserve">ountry </w:t>
            </w:r>
            <w:r w:rsidRPr="005F5507" w:rsidR="00C026E4">
              <w:rPr>
                <w:rFonts w:ascii="Times New Roman" w:hAnsi="Times New Roman" w:eastAsia="Times New Roman" w:cs="Times New Roman"/>
                <w:b/>
                <w:bCs/>
                <w:sz w:val="20"/>
                <w:szCs w:val="20"/>
              </w:rPr>
              <w:t>l</w:t>
            </w:r>
            <w:r w:rsidRPr="005F5507">
              <w:rPr>
                <w:rFonts w:ascii="Times New Roman" w:hAnsi="Times New Roman" w:eastAsia="Times New Roman" w:cs="Times New Roman"/>
                <w:b/>
                <w:bCs/>
                <w:sz w:val="20"/>
                <w:szCs w:val="20"/>
              </w:rPr>
              <w:t>aw</w:t>
            </w:r>
            <w:r w:rsidRPr="005F5507" w:rsidR="00C026E4">
              <w:rPr>
                <w:rFonts w:ascii="Times New Roman" w:hAnsi="Times New Roman" w:eastAsia="Times New Roman" w:cs="Times New Roman"/>
                <w:b/>
                <w:bCs/>
                <w:sz w:val="20"/>
                <w:szCs w:val="20"/>
              </w:rPr>
              <w:t>, contractual recognition</w:t>
            </w:r>
            <w:r w:rsidRPr="005F5507">
              <w:rPr>
                <w:rFonts w:ascii="Times New Roman" w:hAnsi="Times New Roman" w:eastAsia="Times New Roman" w:cs="Times New Roman"/>
                <w:b/>
                <w:bCs/>
                <w:sz w:val="20"/>
                <w:szCs w:val="20"/>
              </w:rPr>
              <w:t xml:space="preserve"> </w:t>
            </w:r>
          </w:p>
          <w:p w:rsidR="001F447D" w:rsidRDefault="5E2F2DB1" w14:paraId="1770555F" w14:textId="305DE4D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Identification of contractual provisions for the recognition of bail-in powers in line with article 55 of the BRRD, either</w:t>
            </w:r>
            <w:r w:rsidR="001F447D">
              <w:rPr>
                <w:rFonts w:ascii="Times New Roman" w:hAnsi="Times New Roman" w:eastAsia="Times New Roman" w:cs="Times New Roman"/>
                <w:sz w:val="20"/>
                <w:szCs w:val="20"/>
              </w:rPr>
              <w:t>:</w:t>
            </w:r>
          </w:p>
          <w:p w:rsidRPr="005F5507" w:rsidR="00CE59C6" w:rsidP="005F5507" w:rsidRDefault="00CE59C6" w14:paraId="001AA066" w14:textId="1D20F0E3">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“Yes, supported by Legal Opinion” = the liability includes a bail-in recognition clause in line with Article 55 BRRD that is supported by a legal opinion;</w:t>
            </w:r>
          </w:p>
          <w:p w:rsidRPr="005F5507" w:rsidR="00CE59C6" w:rsidP="005F5507" w:rsidRDefault="00CE59C6" w14:paraId="188807DA"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“Yes, not supported by Legal Opinion” = the liability includes a bail-in recognition clause in line with Article 55 BRRD that is currently not supported by a legal opinion;</w:t>
            </w:r>
          </w:p>
          <w:p w:rsidRPr="005F5507" w:rsidR="00CE59C6" w:rsidP="005F5507" w:rsidRDefault="00CE59C6" w14:paraId="35A202C6"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“No” = the liability does not include a bail-in recognition clause;</w:t>
            </w:r>
          </w:p>
          <w:p w:rsidR="001F447D" w:rsidRDefault="00CE59C6" w14:paraId="79A44728" w14:textId="5B7286E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“Not applicable”</w:t>
            </w:r>
            <w:r w:rsidR="001F447D">
              <w:rPr>
                <w:rFonts w:ascii="Times New Roman" w:hAnsi="Times New Roman" w:eastAsia="Times New Roman" w:cs="Times New Roman"/>
                <w:sz w:val="20"/>
                <w:szCs w:val="20"/>
              </w:rPr>
              <w:t>,</w:t>
            </w:r>
            <w:r w:rsidRPr="005F5507">
              <w:rPr>
                <w:rFonts w:ascii="Times New Roman" w:hAnsi="Times New Roman" w:eastAsia="Times New Roman" w:cs="Times New Roman"/>
                <w:sz w:val="20"/>
                <w:szCs w:val="20"/>
              </w:rPr>
              <w:t xml:space="preserve"> </w:t>
            </w:r>
            <w:r w:rsidRPr="005F5507" w:rsidR="5E2F2DB1">
              <w:rPr>
                <w:rFonts w:ascii="Times New Roman" w:hAnsi="Times New Roman" w:eastAsia="Times New Roman" w:cs="Times New Roman"/>
                <w:sz w:val="20"/>
                <w:szCs w:val="20"/>
              </w:rPr>
              <w:t xml:space="preserve"> </w:t>
            </w:r>
          </w:p>
          <w:p w:rsidRPr="005F5507" w:rsidR="5E2F2DB1" w:rsidP="005F5507" w:rsidRDefault="5E2F2DB1" w14:paraId="46CDB180" w14:textId="520DE20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from a predefined list.</w:t>
            </w:r>
          </w:p>
        </w:tc>
      </w:tr>
      <w:tr w:rsidRPr="00D43D39" w:rsidR="5E2F2DB1" w:rsidTr="005F5507" w14:paraId="245AAA12"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630E936A" w14:textId="2440F51E">
            <w:pPr>
              <w:rPr>
                <w:rFonts w:ascii="Times New Roman" w:hAnsi="Times New Roman" w:cs="Times New Roman"/>
              </w:rPr>
            </w:pPr>
            <w:r w:rsidRPr="005F5507">
              <w:rPr>
                <w:rFonts w:ascii="Times New Roman" w:hAnsi="Times New Roman" w:eastAsia="Times New Roman" w:cs="Times New Roman"/>
                <w:sz w:val="20"/>
                <w:szCs w:val="20"/>
              </w:rPr>
              <w:t>0090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02373734" w14:textId="53AF3B24">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Currency </w:t>
            </w:r>
          </w:p>
          <w:p w:rsidRPr="005F5507" w:rsidR="5E2F2DB1" w:rsidP="005F5507" w:rsidRDefault="5E2F2DB1" w14:paraId="2AF1057A" w14:textId="047CB66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currency </w:t>
            </w:r>
            <w:r w:rsidRPr="005F5507" w:rsidR="00C026E4">
              <w:rPr>
                <w:rFonts w:ascii="Times New Roman" w:hAnsi="Times New Roman" w:eastAsia="Times New Roman" w:cs="Times New Roman"/>
                <w:sz w:val="20"/>
                <w:szCs w:val="20"/>
              </w:rPr>
              <w:t>of the liability</w:t>
            </w:r>
            <w:r w:rsidRPr="005F5507" w:rsidR="00682385">
              <w:rPr>
                <w:rFonts w:ascii="Times New Roman" w:hAnsi="Times New Roman" w:eastAsia="Times New Roman" w:cs="Times New Roman"/>
                <w:sz w:val="20"/>
                <w:szCs w:val="20"/>
              </w:rPr>
              <w:t xml:space="preserve"> in line with its 3-letter ISO 4217 code</w:t>
            </w:r>
            <w:r w:rsidRPr="005F5507">
              <w:rPr>
                <w:rFonts w:ascii="Times New Roman" w:hAnsi="Times New Roman" w:eastAsia="Times New Roman" w:cs="Times New Roman"/>
                <w:sz w:val="20"/>
                <w:szCs w:val="20"/>
              </w:rPr>
              <w:t>.</w:t>
            </w:r>
          </w:p>
        </w:tc>
      </w:tr>
      <w:tr w:rsidRPr="00D43D39" w:rsidR="001F447D" w:rsidTr="00282C97" w14:paraId="055C0854" w14:textId="77777777">
        <w:trPr>
          <w:trHeight w:val="2292"/>
        </w:trPr>
        <w:tc>
          <w:tcPr>
            <w:tcW w:w="1415" w:type="dxa"/>
            <w:tcBorders>
              <w:top w:val="single" w:color="1A171C" w:sz="8" w:space="0"/>
              <w:left w:val="nil"/>
              <w:bottom w:val="single" w:color="1A171C" w:sz="8" w:space="0"/>
              <w:right w:val="single" w:color="1A171C" w:sz="8" w:space="0"/>
            </w:tcBorders>
            <w:vAlign w:val="center"/>
          </w:tcPr>
          <w:p w:rsidRPr="005F5507" w:rsidR="001F447D" w:rsidRDefault="001F447D" w14:paraId="27DF7C3D" w14:textId="4E4E10C4">
            <w:pPr>
              <w:rPr>
                <w:rFonts w:ascii="Times New Roman" w:hAnsi="Times New Roman" w:cs="Times New Roman"/>
              </w:rPr>
            </w:pPr>
            <w:r w:rsidRPr="005F5507">
              <w:rPr>
                <w:rFonts w:ascii="Times New Roman" w:hAnsi="Times New Roman" w:eastAsia="Times New Roman" w:cs="Times New Roman"/>
                <w:sz w:val="20"/>
                <w:szCs w:val="20"/>
              </w:rPr>
              <w:t>0110</w:t>
            </w:r>
          </w:p>
          <w:p w:rsidRPr="005F5507" w:rsidR="001F447D" w:rsidRDefault="001F447D" w14:paraId="4442284B" w14:textId="3AC43C71">
            <w:pPr>
              <w:rPr>
                <w:rFonts w:ascii="Times New Roman" w:hAnsi="Times New Roman" w:cs="Times New Roman"/>
              </w:rPr>
            </w:pPr>
            <w:r w:rsidRPr="005F5507">
              <w:rPr>
                <w:rFonts w:ascii="Times New Roman" w:hAnsi="Times New Roman" w:eastAsia="Times New Roman" w:cs="Times New Roman"/>
                <w:sz w:val="20"/>
                <w:szCs w:val="20"/>
              </w:rPr>
              <w:t xml:space="preserve"> </w:t>
            </w:r>
          </w:p>
        </w:tc>
        <w:tc>
          <w:tcPr>
            <w:tcW w:w="7611" w:type="dxa"/>
            <w:gridSpan w:val="2"/>
            <w:tcBorders>
              <w:top w:val="single" w:color="1A171C" w:sz="8" w:space="0"/>
              <w:left w:val="single" w:color="1A171C" w:sz="8" w:space="0"/>
              <w:right w:val="nil"/>
            </w:tcBorders>
            <w:vAlign w:val="bottom"/>
          </w:tcPr>
          <w:p w:rsidRPr="005F5507" w:rsidR="001F447D" w:rsidP="005F5507" w:rsidRDefault="001F447D" w14:paraId="5C7AEF5A" w14:textId="0BA1ED7F">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Outstanding principal amount  </w:t>
            </w:r>
          </w:p>
          <w:p w:rsidR="001F447D" w:rsidRDefault="001F447D" w14:paraId="342215C6" w14:textId="455CEA9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outstanding principal amount of the instrument held by the counterparty specified in column 0210. If the counterparty is not available because the creditors cannot be identified, the outstanding principle amounts can be grouped by not considering the counterparty. For shares, this amount includes reserves, in line with the guidance related to Z02.00-r0511.</w:t>
            </w:r>
            <w:r w:rsidRPr="00EA68C1">
              <w:rPr>
                <w:rFonts w:ascii="Times New Roman" w:hAnsi="Times New Roman" w:eastAsia="Times New Roman" w:cs="Times New Roman"/>
                <w:sz w:val="20"/>
                <w:szCs w:val="20"/>
              </w:rPr>
              <w:t xml:space="preserve"> </w:t>
            </w:r>
          </w:p>
          <w:p w:rsidRPr="005F5507" w:rsidR="001F447D" w:rsidP="005F5507" w:rsidRDefault="001F447D" w14:paraId="62233F8C" w14:textId="68020FFF">
            <w:pPr>
              <w:pStyle w:val="TableParagraph"/>
              <w:spacing w:before="108"/>
              <w:ind w:left="85"/>
              <w:jc w:val="both"/>
              <w:rPr>
                <w:rFonts w:ascii="Times New Roman" w:hAnsi="Times New Roman" w:eastAsia="Times New Roman" w:cs="Times New Roman"/>
                <w:sz w:val="20"/>
                <w:szCs w:val="20"/>
              </w:rPr>
            </w:pPr>
            <w:r w:rsidRPr="00EA68C1">
              <w:rPr>
                <w:rFonts w:ascii="Times New Roman" w:hAnsi="Times New Roman" w:eastAsia="Times New Roman" w:cs="Times New Roman"/>
                <w:sz w:val="20"/>
                <w:szCs w:val="20"/>
              </w:rPr>
              <w:t>The differences between 0100 and 0110 of this table can for example be due to partial buybacks of a given instrument, amortising instruments</w:t>
            </w:r>
            <w:r>
              <w:rPr>
                <w:rFonts w:ascii="Times New Roman" w:hAnsi="Times New Roman" w:eastAsia="Times New Roman" w:cs="Times New Roman"/>
                <w:sz w:val="20"/>
                <w:szCs w:val="20"/>
              </w:rPr>
              <w:t>.</w:t>
            </w:r>
          </w:p>
        </w:tc>
      </w:tr>
      <w:tr w:rsidRPr="00D43D39" w:rsidR="5E2F2DB1" w:rsidTr="005F5507" w14:paraId="1BEA4E39"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434FE14E" w14:textId="0AAA17BC">
            <w:pPr>
              <w:rPr>
                <w:rFonts w:ascii="Times New Roman" w:hAnsi="Times New Roman" w:cs="Times New Roman"/>
              </w:rPr>
            </w:pPr>
            <w:r w:rsidRPr="005F5507">
              <w:rPr>
                <w:rFonts w:ascii="Times New Roman" w:hAnsi="Times New Roman" w:eastAsia="Times New Roman" w:cs="Times New Roman"/>
                <w:sz w:val="20"/>
                <w:szCs w:val="20"/>
              </w:rPr>
              <w:t>0120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5411D251" w14:textId="729F9B43">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Accrued </w:t>
            </w:r>
            <w:r w:rsidRPr="005F5507" w:rsidR="002B4F05">
              <w:rPr>
                <w:rFonts w:ascii="Times New Roman" w:hAnsi="Times New Roman" w:eastAsia="Times New Roman" w:cs="Times New Roman"/>
                <w:b/>
                <w:bCs/>
                <w:sz w:val="20"/>
                <w:szCs w:val="20"/>
              </w:rPr>
              <w:t>i</w:t>
            </w:r>
            <w:r w:rsidRPr="005F5507">
              <w:rPr>
                <w:rFonts w:ascii="Times New Roman" w:hAnsi="Times New Roman" w:eastAsia="Times New Roman" w:cs="Times New Roman"/>
                <w:b/>
                <w:bCs/>
                <w:sz w:val="20"/>
                <w:szCs w:val="20"/>
              </w:rPr>
              <w:t xml:space="preserve">nterest </w:t>
            </w:r>
          </w:p>
          <w:p w:rsidRPr="005F5507" w:rsidR="5E2F2DB1" w:rsidP="005F5507" w:rsidRDefault="5E2F2DB1" w14:paraId="16DF0B9B" w14:textId="7014574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outstanding accrued interest on the instrument.</w:t>
            </w:r>
          </w:p>
        </w:tc>
      </w:tr>
      <w:tr w:rsidRPr="00D43D39" w:rsidR="5E2F2DB1" w:rsidTr="005F5507" w14:paraId="091260DF"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03498BA6" w14:textId="4623FEE2">
            <w:pPr>
              <w:rPr>
                <w:rFonts w:ascii="Times New Roman" w:hAnsi="Times New Roman" w:cs="Times New Roman"/>
              </w:rPr>
            </w:pPr>
            <w:r w:rsidRPr="005F5507">
              <w:rPr>
                <w:rFonts w:ascii="Times New Roman" w:hAnsi="Times New Roman" w:eastAsia="Times New Roman" w:cs="Times New Roman"/>
                <w:sz w:val="20"/>
                <w:szCs w:val="20"/>
              </w:rPr>
              <w:t>0130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2A890924" w14:textId="7561F13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Coupon </w:t>
            </w:r>
            <w:r w:rsidRPr="005F5507" w:rsidR="002B4F05">
              <w:rPr>
                <w:rFonts w:ascii="Times New Roman" w:hAnsi="Times New Roman" w:eastAsia="Times New Roman" w:cs="Times New Roman"/>
                <w:b/>
                <w:bCs/>
                <w:sz w:val="20"/>
                <w:szCs w:val="20"/>
              </w:rPr>
              <w:t>t</w:t>
            </w:r>
            <w:r w:rsidRPr="005F5507">
              <w:rPr>
                <w:rFonts w:ascii="Times New Roman" w:hAnsi="Times New Roman" w:eastAsia="Times New Roman" w:cs="Times New Roman"/>
                <w:b/>
                <w:bCs/>
                <w:sz w:val="20"/>
                <w:szCs w:val="20"/>
              </w:rPr>
              <w:t xml:space="preserve">ype </w:t>
            </w:r>
          </w:p>
          <w:p w:rsidRPr="005F5507" w:rsidR="5E2F2DB1" w:rsidP="005F5507" w:rsidRDefault="5E2F2DB1" w14:paraId="6A22EF13" w14:textId="5B93F84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Identification of the current type of coupon payment, either ‘Fixed coupon’, ‘Floating coupon’, ‘Structured coupon’ or ‘Zero-Coupon’ from a predefined list.</w:t>
            </w:r>
          </w:p>
        </w:tc>
      </w:tr>
      <w:tr w:rsidRPr="00D43D39" w:rsidR="5E2F2DB1" w:rsidTr="005F5507" w14:paraId="33C09943"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5EBA9C51" w14:textId="40DBD0A3">
            <w:pPr>
              <w:rPr>
                <w:rFonts w:ascii="Times New Roman" w:hAnsi="Times New Roman" w:cs="Times New Roman"/>
              </w:rPr>
            </w:pPr>
            <w:r w:rsidRPr="005F5507">
              <w:rPr>
                <w:rFonts w:ascii="Times New Roman" w:hAnsi="Times New Roman" w:eastAsia="Times New Roman" w:cs="Times New Roman"/>
                <w:sz w:val="20"/>
                <w:szCs w:val="20"/>
              </w:rPr>
              <w:t>0140</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3E428E65" w14:textId="47603F1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Current </w:t>
            </w:r>
            <w:r w:rsidRPr="005F5507" w:rsidR="002B4F05">
              <w:rPr>
                <w:rFonts w:ascii="Times New Roman" w:hAnsi="Times New Roman" w:eastAsia="Times New Roman" w:cs="Times New Roman"/>
                <w:b/>
                <w:bCs/>
                <w:sz w:val="20"/>
                <w:szCs w:val="20"/>
              </w:rPr>
              <w:t>c</w:t>
            </w:r>
            <w:r w:rsidRPr="005F5507">
              <w:rPr>
                <w:rFonts w:ascii="Times New Roman" w:hAnsi="Times New Roman" w:eastAsia="Times New Roman" w:cs="Times New Roman"/>
                <w:b/>
                <w:bCs/>
                <w:sz w:val="20"/>
                <w:szCs w:val="20"/>
              </w:rPr>
              <w:t xml:space="preserve">oupon </w:t>
            </w:r>
            <w:r w:rsidRPr="005F5507" w:rsidR="002B4F05">
              <w:rPr>
                <w:rFonts w:ascii="Times New Roman" w:hAnsi="Times New Roman" w:eastAsia="Times New Roman" w:cs="Times New Roman"/>
                <w:b/>
                <w:bCs/>
                <w:sz w:val="20"/>
                <w:szCs w:val="20"/>
              </w:rPr>
              <w:t>rate</w:t>
            </w:r>
            <w:r w:rsidRPr="005F5507">
              <w:rPr>
                <w:rFonts w:ascii="Times New Roman" w:hAnsi="Times New Roman" w:eastAsia="Times New Roman" w:cs="Times New Roman"/>
                <w:b/>
                <w:bCs/>
                <w:sz w:val="20"/>
                <w:szCs w:val="20"/>
              </w:rPr>
              <w:t xml:space="preserve"> </w:t>
            </w:r>
          </w:p>
          <w:p w:rsidRPr="005F5507" w:rsidR="5E2F2DB1" w:rsidP="005F5507" w:rsidRDefault="5E2F2DB1" w14:paraId="01DF3985" w14:textId="1D7D3A3C">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Level of the coupon </w:t>
            </w:r>
            <w:r w:rsidRPr="005F5507" w:rsidR="002B4F05">
              <w:rPr>
                <w:rFonts w:ascii="Times New Roman" w:hAnsi="Times New Roman" w:eastAsia="Times New Roman" w:cs="Times New Roman"/>
                <w:sz w:val="20"/>
                <w:szCs w:val="20"/>
              </w:rPr>
              <w:t xml:space="preserve">rate </w:t>
            </w:r>
            <w:r w:rsidRPr="005F5507">
              <w:rPr>
                <w:rFonts w:ascii="Times New Roman" w:hAnsi="Times New Roman" w:eastAsia="Times New Roman" w:cs="Times New Roman"/>
                <w:sz w:val="20"/>
                <w:szCs w:val="20"/>
              </w:rPr>
              <w:t>that is applicable to the instrument at the reporting date. Notation shall be done in absolute value, where 1 equals 100% and with minimum 4 decimal numbers detail.</w:t>
            </w:r>
          </w:p>
        </w:tc>
      </w:tr>
      <w:tr w:rsidRPr="00D43D39" w:rsidR="5E2F2DB1" w:rsidTr="005F5507" w14:paraId="7EFC4220"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1EED8978" w14:textId="1B42B0F4">
            <w:pPr>
              <w:rPr>
                <w:rFonts w:ascii="Times New Roman" w:hAnsi="Times New Roman" w:cs="Times New Roman"/>
              </w:rPr>
            </w:pPr>
            <w:r w:rsidRPr="005F5507">
              <w:rPr>
                <w:rFonts w:ascii="Times New Roman" w:hAnsi="Times New Roman" w:eastAsia="Times New Roman" w:cs="Times New Roman"/>
                <w:sz w:val="20"/>
                <w:szCs w:val="20"/>
              </w:rPr>
              <w:t>0150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2B4F05" w:rsidP="005F5507" w:rsidRDefault="5E2F2DB1" w14:paraId="46A3B3FA" w14:textId="5485AFC4">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Issue </w:t>
            </w:r>
            <w:r w:rsidRPr="005F5507" w:rsidR="00620E33">
              <w:rPr>
                <w:rFonts w:ascii="Times New Roman" w:hAnsi="Times New Roman" w:eastAsia="Times New Roman" w:cs="Times New Roman"/>
                <w:b/>
                <w:bCs/>
                <w:sz w:val="20"/>
                <w:szCs w:val="20"/>
              </w:rPr>
              <w:t>d</w:t>
            </w:r>
            <w:r w:rsidRPr="005F5507">
              <w:rPr>
                <w:rFonts w:ascii="Times New Roman" w:hAnsi="Times New Roman" w:eastAsia="Times New Roman" w:cs="Times New Roman"/>
                <w:b/>
                <w:bCs/>
                <w:sz w:val="20"/>
                <w:szCs w:val="20"/>
              </w:rPr>
              <w:t xml:space="preserve">ate </w:t>
            </w:r>
          </w:p>
          <w:p w:rsidRPr="005F5507" w:rsidR="5E2F2DB1" w:rsidP="005F5507" w:rsidRDefault="5E2F2DB1" w14:paraId="19555DF2" w14:textId="46F8821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Date of the original issuance of the instrument.</w:t>
            </w:r>
          </w:p>
        </w:tc>
      </w:tr>
      <w:tr w:rsidRPr="00D43D39" w:rsidR="5E2F2DB1" w:rsidTr="005F5507" w14:paraId="2825F828"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61AC78EA" w14:textId="38873977">
            <w:pPr>
              <w:rPr>
                <w:rFonts w:ascii="Times New Roman" w:hAnsi="Times New Roman" w:cs="Times New Roman"/>
              </w:rPr>
            </w:pPr>
            <w:r w:rsidRPr="005F5507">
              <w:rPr>
                <w:rFonts w:ascii="Times New Roman" w:hAnsi="Times New Roman" w:eastAsia="Times New Roman" w:cs="Times New Roman"/>
                <w:sz w:val="20"/>
                <w:szCs w:val="20"/>
              </w:rPr>
              <w:t>0160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2B4F05" w:rsidP="005F5507" w:rsidRDefault="5E2F2DB1" w14:paraId="0FF51178" w14:textId="0E030938">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Earliest </w:t>
            </w:r>
            <w:r w:rsidRPr="005F5507" w:rsidR="002B4F05">
              <w:rPr>
                <w:rFonts w:ascii="Times New Roman" w:hAnsi="Times New Roman" w:eastAsia="Times New Roman" w:cs="Times New Roman"/>
                <w:b/>
                <w:bCs/>
                <w:sz w:val="20"/>
                <w:szCs w:val="20"/>
              </w:rPr>
              <w:t>r</w:t>
            </w:r>
            <w:r w:rsidRPr="005F5507">
              <w:rPr>
                <w:rFonts w:ascii="Times New Roman" w:hAnsi="Times New Roman" w:eastAsia="Times New Roman" w:cs="Times New Roman"/>
                <w:b/>
                <w:bCs/>
                <w:sz w:val="20"/>
                <w:szCs w:val="20"/>
              </w:rPr>
              <w:t xml:space="preserve">edemption </w:t>
            </w:r>
            <w:r w:rsidRPr="005F5507" w:rsidR="002B4F05">
              <w:rPr>
                <w:rFonts w:ascii="Times New Roman" w:hAnsi="Times New Roman" w:eastAsia="Times New Roman" w:cs="Times New Roman"/>
                <w:b/>
                <w:bCs/>
                <w:sz w:val="20"/>
                <w:szCs w:val="20"/>
              </w:rPr>
              <w:t>d</w:t>
            </w:r>
            <w:r w:rsidRPr="005F5507">
              <w:rPr>
                <w:rFonts w:ascii="Times New Roman" w:hAnsi="Times New Roman" w:eastAsia="Times New Roman" w:cs="Times New Roman"/>
                <w:b/>
                <w:bCs/>
                <w:sz w:val="20"/>
                <w:szCs w:val="20"/>
              </w:rPr>
              <w:t xml:space="preserve">ate  </w:t>
            </w:r>
          </w:p>
          <w:p w:rsidRPr="005F5507" w:rsidR="5E2F2DB1" w:rsidP="005F5507" w:rsidRDefault="5E2F2DB1" w14:paraId="6FB3D520" w14:textId="12406276">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If an option exists for the holders of the instrument to request early reimbursement, or conditions for early reimbursement are contractually foreseen, </w:t>
            </w:r>
            <w:r w:rsidR="009162B4">
              <w:rPr>
                <w:rFonts w:ascii="Times New Roman" w:hAnsi="Times New Roman" w:eastAsia="Times New Roman" w:cs="Times New Roman"/>
                <w:sz w:val="20"/>
                <w:szCs w:val="20"/>
              </w:rPr>
              <w:t xml:space="preserve">report </w:t>
            </w:r>
            <w:r w:rsidRPr="005F5507">
              <w:rPr>
                <w:rFonts w:ascii="Times New Roman" w:hAnsi="Times New Roman" w:eastAsia="Times New Roman" w:cs="Times New Roman"/>
                <w:sz w:val="20"/>
                <w:szCs w:val="20"/>
              </w:rPr>
              <w:t xml:space="preserve">the earliest occurrence date. Where such termination events are not linked to a date, but rather on the occurrence of any event in the future, </w:t>
            </w:r>
            <w:r w:rsidR="005463EE">
              <w:rPr>
                <w:rFonts w:ascii="Times New Roman" w:hAnsi="Times New Roman" w:eastAsia="Times New Roman" w:cs="Times New Roman"/>
                <w:sz w:val="20"/>
                <w:szCs w:val="20"/>
              </w:rPr>
              <w:t xml:space="preserve">report </w:t>
            </w:r>
            <w:r w:rsidRPr="005F5507">
              <w:rPr>
                <w:rFonts w:ascii="Times New Roman" w:hAnsi="Times New Roman" w:eastAsia="Times New Roman" w:cs="Times New Roman"/>
                <w:sz w:val="20"/>
                <w:szCs w:val="20"/>
              </w:rPr>
              <w:t xml:space="preserve">the earliest date at which the event </w:t>
            </w:r>
            <w:r w:rsidR="005463EE">
              <w:rPr>
                <w:rFonts w:ascii="Times New Roman" w:hAnsi="Times New Roman" w:eastAsia="Times New Roman" w:cs="Times New Roman"/>
                <w:sz w:val="20"/>
                <w:szCs w:val="20"/>
              </w:rPr>
              <w:t xml:space="preserve">may </w:t>
            </w:r>
            <w:r w:rsidRPr="005F5507">
              <w:rPr>
                <w:rFonts w:ascii="Times New Roman" w:hAnsi="Times New Roman" w:eastAsia="Times New Roman" w:cs="Times New Roman"/>
                <w:sz w:val="20"/>
                <w:szCs w:val="20"/>
              </w:rPr>
              <w:t xml:space="preserve">occur. If the early reimbursement relates to only a portion of the liability (e.g. early reimbursement of 50% of the nominal amount), </w:t>
            </w:r>
            <w:r w:rsidR="009162B4">
              <w:rPr>
                <w:rFonts w:ascii="Times New Roman" w:hAnsi="Times New Roman" w:eastAsia="Times New Roman" w:cs="Times New Roman"/>
                <w:sz w:val="20"/>
                <w:szCs w:val="20"/>
              </w:rPr>
              <w:t xml:space="preserve">split </w:t>
            </w:r>
            <w:r w:rsidRPr="005F5507">
              <w:rPr>
                <w:rFonts w:ascii="Times New Roman" w:hAnsi="Times New Roman" w:eastAsia="Times New Roman" w:cs="Times New Roman"/>
                <w:sz w:val="20"/>
                <w:szCs w:val="20"/>
              </w:rPr>
              <w:t>the liability to take into account this partial early redemption clause.</w:t>
            </w:r>
          </w:p>
        </w:tc>
      </w:tr>
      <w:tr w:rsidRPr="00D43D39" w:rsidR="5E2F2DB1" w:rsidTr="005F5507" w14:paraId="4D95E536"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54A7E9F4" w14:textId="49C437DD">
            <w:pPr>
              <w:rPr>
                <w:rFonts w:ascii="Times New Roman" w:hAnsi="Times New Roman" w:cs="Times New Roman"/>
              </w:rPr>
            </w:pPr>
            <w:r w:rsidRPr="005F5507">
              <w:rPr>
                <w:rFonts w:ascii="Times New Roman" w:hAnsi="Times New Roman" w:eastAsia="Times New Roman" w:cs="Times New Roman"/>
                <w:sz w:val="20"/>
                <w:szCs w:val="20"/>
              </w:rPr>
              <w:t>0170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2B4F05" w:rsidP="005F5507" w:rsidRDefault="5E2F2DB1" w14:paraId="5209B7DA" w14:textId="5DB0FF93">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Legal </w:t>
            </w:r>
            <w:r w:rsidRPr="005F5507" w:rsidR="002B4F05">
              <w:rPr>
                <w:rFonts w:ascii="Times New Roman" w:hAnsi="Times New Roman" w:eastAsia="Times New Roman" w:cs="Times New Roman"/>
                <w:b/>
                <w:bCs/>
                <w:sz w:val="20"/>
                <w:szCs w:val="20"/>
              </w:rPr>
              <w:t>m</w:t>
            </w:r>
            <w:r w:rsidRPr="005F5507">
              <w:rPr>
                <w:rFonts w:ascii="Times New Roman" w:hAnsi="Times New Roman" w:eastAsia="Times New Roman" w:cs="Times New Roman"/>
                <w:b/>
                <w:bCs/>
                <w:sz w:val="20"/>
                <w:szCs w:val="20"/>
              </w:rPr>
              <w:t xml:space="preserve">aturity </w:t>
            </w:r>
          </w:p>
          <w:p w:rsidRPr="005F5507" w:rsidR="5E2F2DB1" w:rsidP="005F5507" w:rsidRDefault="5E2F2DB1" w14:paraId="19F0AADC" w14:textId="6A4992A0">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Date of the legal, final maturity of the instrument. For perpetual instruments, </w:t>
            </w:r>
            <w:r w:rsidR="009162B4">
              <w:rPr>
                <w:rFonts w:ascii="Times New Roman" w:hAnsi="Times New Roman" w:eastAsia="Times New Roman" w:cs="Times New Roman"/>
                <w:sz w:val="20"/>
                <w:szCs w:val="20"/>
              </w:rPr>
              <w:t>use</w:t>
            </w:r>
            <w:r w:rsidRPr="005F5507">
              <w:rPr>
                <w:rFonts w:ascii="Times New Roman" w:hAnsi="Times New Roman" w:eastAsia="Times New Roman" w:cs="Times New Roman"/>
                <w:sz w:val="20"/>
                <w:szCs w:val="20"/>
              </w:rPr>
              <w:t xml:space="preserve"> ‘2099-01-31’.</w:t>
            </w:r>
          </w:p>
        </w:tc>
      </w:tr>
      <w:tr w:rsidRPr="00D43D39" w:rsidR="5E2F2DB1" w:rsidTr="005F5507" w14:paraId="1915BAFA"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3F841A79" w14:textId="3B13D539">
            <w:pPr>
              <w:rPr>
                <w:rFonts w:ascii="Times New Roman" w:hAnsi="Times New Roman" w:cs="Times New Roman"/>
              </w:rPr>
            </w:pPr>
            <w:r w:rsidRPr="005F5507">
              <w:rPr>
                <w:rFonts w:ascii="Times New Roman" w:hAnsi="Times New Roman" w:eastAsia="Times New Roman" w:cs="Times New Roman"/>
                <w:sz w:val="20"/>
                <w:szCs w:val="20"/>
              </w:rPr>
              <w:t>0180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FC130F" w:rsidP="005F5507" w:rsidRDefault="5E2F2DB1" w14:paraId="0C74A9A2" w14:textId="25409290">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Public/Private </w:t>
            </w:r>
            <w:r w:rsidRPr="005F5507" w:rsidR="00FC130F">
              <w:rPr>
                <w:rFonts w:ascii="Times New Roman" w:hAnsi="Times New Roman" w:eastAsia="Times New Roman" w:cs="Times New Roman"/>
                <w:b/>
                <w:bCs/>
                <w:sz w:val="20"/>
                <w:szCs w:val="20"/>
              </w:rPr>
              <w:t>p</w:t>
            </w:r>
            <w:r w:rsidRPr="005F5507">
              <w:rPr>
                <w:rFonts w:ascii="Times New Roman" w:hAnsi="Times New Roman" w:eastAsia="Times New Roman" w:cs="Times New Roman"/>
                <w:b/>
                <w:bCs/>
                <w:sz w:val="20"/>
                <w:szCs w:val="20"/>
              </w:rPr>
              <w:t xml:space="preserve">lacement </w:t>
            </w:r>
          </w:p>
          <w:p w:rsidRPr="005F5507" w:rsidR="5E2F2DB1" w:rsidP="005F5507" w:rsidRDefault="5E2F2DB1" w14:paraId="28E9B608" w14:textId="4D4FE0EC">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 a public placement, the entity will have publicized the issuance with a specific timing for a bidding procedure. On the contrary, private placements are negotiated between individual parties acting either for their own account of for the account of third parties. Value can be ‘Public Placement’ or ‘Private Placement’ from a predefined list.</w:t>
            </w:r>
          </w:p>
        </w:tc>
      </w:tr>
      <w:tr w:rsidRPr="00D43D39" w:rsidR="5E2F2DB1" w:rsidTr="005F5507" w14:paraId="301941C9"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3778A9BD" w14:textId="4191EA58">
            <w:pPr>
              <w:rPr>
                <w:rFonts w:ascii="Times New Roman" w:hAnsi="Times New Roman" w:cs="Times New Roman"/>
              </w:rPr>
            </w:pPr>
            <w:r w:rsidRPr="005F5507">
              <w:rPr>
                <w:rFonts w:ascii="Times New Roman" w:hAnsi="Times New Roman" w:eastAsia="Times New Roman" w:cs="Times New Roman"/>
                <w:sz w:val="20"/>
                <w:szCs w:val="20"/>
              </w:rPr>
              <w:t>0190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FC130F" w:rsidP="005F5507" w:rsidRDefault="5E2F2DB1" w14:paraId="75D0B273" w14:textId="69EFBE2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Paying </w:t>
            </w:r>
            <w:r w:rsidRPr="005F5507" w:rsidR="00620E33">
              <w:rPr>
                <w:rFonts w:ascii="Times New Roman" w:hAnsi="Times New Roman" w:eastAsia="Times New Roman" w:cs="Times New Roman"/>
                <w:b/>
                <w:bCs/>
                <w:sz w:val="20"/>
                <w:szCs w:val="20"/>
              </w:rPr>
              <w:t>a</w:t>
            </w:r>
            <w:r w:rsidRPr="005F5507">
              <w:rPr>
                <w:rFonts w:ascii="Times New Roman" w:hAnsi="Times New Roman" w:eastAsia="Times New Roman" w:cs="Times New Roman"/>
                <w:b/>
                <w:bCs/>
                <w:sz w:val="20"/>
                <w:szCs w:val="20"/>
              </w:rPr>
              <w:t xml:space="preserve">gent </w:t>
            </w:r>
          </w:p>
          <w:p w:rsidRPr="005F5507" w:rsidR="5E2F2DB1" w:rsidP="005F5507" w:rsidRDefault="5E2F2DB1" w14:paraId="2AFACAF0" w14:textId="17DF8A7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Identification of the Paying Agent for the instrument using its LEI code. A "paying agent" is an institution, usually an investment bank, which accepts funds from the issuer of a security and distributes them to that security's holders. For stocks, a paying agent distributes dividends to stockholders. For bonds, it distributes coupon payments and reimbursements of principal to bondholders.</w:t>
            </w:r>
          </w:p>
        </w:tc>
      </w:tr>
      <w:tr w:rsidRPr="00D43D39" w:rsidR="5E2F2DB1" w:rsidTr="005F5507" w14:paraId="5F12D6EF"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P="005F5507" w:rsidRDefault="5E2F2DB1" w14:paraId="59F61867" w14:textId="071CAC80">
            <w:pPr>
              <w:pStyle w:val="TableParagraph"/>
              <w:spacing w:before="108"/>
              <w:ind w:left="85"/>
              <w:jc w:val="both"/>
              <w:rPr>
                <w:rFonts w:ascii="Times New Roman" w:hAnsi="Times New Roman" w:cs="Times New Roman"/>
              </w:rPr>
            </w:pPr>
            <w:r w:rsidRPr="005F5507">
              <w:rPr>
                <w:rFonts w:ascii="Times New Roman" w:hAnsi="Times New Roman" w:eastAsia="Times New Roman" w:cs="Times New Roman"/>
                <w:sz w:val="20"/>
                <w:szCs w:val="20"/>
              </w:rPr>
              <w:t>0210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FC130F" w:rsidP="005F5507" w:rsidRDefault="00A80EF3" w14:paraId="05CBA61E" w14:textId="343655A8">
            <w:pPr>
              <w:pStyle w:val="TableParagraph"/>
              <w:spacing w:before="108"/>
              <w:ind w:left="85"/>
              <w:jc w:val="both"/>
              <w:rPr>
                <w:rFonts w:ascii="Times New Roman" w:hAnsi="Times New Roman" w:eastAsia="Times New Roman" w:cs="Times New Roman"/>
                <w:b/>
                <w:bCs/>
                <w:sz w:val="20"/>
                <w:szCs w:val="20"/>
              </w:rPr>
            </w:pPr>
            <w:r w:rsidRPr="00A80EF3">
              <w:rPr>
                <w:rFonts w:ascii="Times New Roman" w:hAnsi="Times New Roman" w:eastAsia="Times New Roman" w:cs="Times New Roman"/>
                <w:b/>
                <w:bCs/>
                <w:sz w:val="20"/>
                <w:szCs w:val="20"/>
              </w:rPr>
              <w:t>Counterparty identifier</w:t>
            </w:r>
            <w:r>
              <w:rPr>
                <w:rFonts w:ascii="Times New Roman" w:hAnsi="Times New Roman" w:eastAsia="Times New Roman" w:cs="Times New Roman"/>
                <w:b/>
                <w:bCs/>
                <w:sz w:val="20"/>
                <w:szCs w:val="20"/>
              </w:rPr>
              <w:t xml:space="preserve"> (preferably LEI)</w:t>
            </w:r>
            <w:r w:rsidRPr="005F5507" w:rsidR="5E2F2DB1">
              <w:rPr>
                <w:rFonts w:ascii="Times New Roman" w:hAnsi="Times New Roman" w:eastAsia="Times New Roman" w:cs="Times New Roman"/>
                <w:b/>
                <w:bCs/>
                <w:sz w:val="20"/>
                <w:szCs w:val="20"/>
              </w:rPr>
              <w:t xml:space="preserve"> </w:t>
            </w:r>
          </w:p>
          <w:p w:rsidRPr="005F5507" w:rsidR="5E2F2DB1" w:rsidP="005F5507" w:rsidRDefault="00486437" w14:paraId="2AFB23C1" w14:textId="0E33FCE8">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w:t>
            </w:r>
            <w:r w:rsidRPr="005F5507" w:rsidR="5E2F2DB1">
              <w:rPr>
                <w:rFonts w:ascii="Times New Roman" w:hAnsi="Times New Roman" w:eastAsia="Times New Roman" w:cs="Times New Roman"/>
                <w:sz w:val="20"/>
                <w:szCs w:val="20"/>
              </w:rPr>
              <w:t>eport the creditor’s LEI code. In the absence of a LEI, in the case of banks</w:t>
            </w:r>
            <w:r w:rsidR="009162B4">
              <w:rPr>
                <w:rFonts w:ascii="Times New Roman" w:hAnsi="Times New Roman" w:eastAsia="Times New Roman" w:cs="Times New Roman"/>
                <w:sz w:val="20"/>
                <w:szCs w:val="20"/>
              </w:rPr>
              <w:t>, report</w:t>
            </w:r>
            <w:r w:rsidRPr="005F5507" w:rsidR="5E2F2DB1">
              <w:rPr>
                <w:rFonts w:ascii="Times New Roman" w:hAnsi="Times New Roman" w:eastAsia="Times New Roman" w:cs="Times New Roman"/>
                <w:sz w:val="20"/>
                <w:szCs w:val="20"/>
              </w:rPr>
              <w:t xml:space="preserve"> the ECB Monetary Financial Institutions identifier (MFI ID) used in RIAD. Exclusively in absence of both these identifiers, </w:t>
            </w:r>
            <w:r w:rsidR="005463EE">
              <w:rPr>
                <w:rFonts w:ascii="Times New Roman" w:hAnsi="Times New Roman" w:eastAsia="Times New Roman" w:cs="Times New Roman"/>
                <w:sz w:val="20"/>
                <w:szCs w:val="20"/>
              </w:rPr>
              <w:t xml:space="preserve">report </w:t>
            </w:r>
            <w:r w:rsidRPr="005F5507" w:rsidR="5E2F2DB1">
              <w:rPr>
                <w:rFonts w:ascii="Times New Roman" w:hAnsi="Times New Roman" w:eastAsia="Times New Roman" w:cs="Times New Roman"/>
                <w:sz w:val="20"/>
                <w:szCs w:val="20"/>
              </w:rPr>
              <w:t>an internal identifier.</w:t>
            </w:r>
          </w:p>
        </w:tc>
      </w:tr>
      <w:tr w:rsidRPr="00D43D39" w:rsidR="5E2F2DB1" w:rsidTr="005F5507" w14:paraId="63F78249"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762359E5" w14:textId="39F65556">
            <w:pPr>
              <w:rPr>
                <w:rFonts w:ascii="Times New Roman" w:hAnsi="Times New Roman" w:cs="Times New Roman"/>
              </w:rPr>
            </w:pPr>
            <w:r w:rsidRPr="005F5507">
              <w:rPr>
                <w:rFonts w:ascii="Times New Roman" w:hAnsi="Times New Roman" w:eastAsia="Times New Roman" w:cs="Times New Roman"/>
                <w:sz w:val="20"/>
                <w:szCs w:val="20"/>
              </w:rPr>
              <w:t>0215</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FC130F" w:rsidP="005F5507" w:rsidRDefault="5E2F2DB1" w14:paraId="3F08743D" w14:textId="1870A1C4">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Type of </w:t>
            </w:r>
            <w:r w:rsidRPr="005F5507" w:rsidR="00620E33">
              <w:rPr>
                <w:rFonts w:ascii="Times New Roman" w:hAnsi="Times New Roman" w:eastAsia="Times New Roman" w:cs="Times New Roman"/>
                <w:b/>
                <w:bCs/>
                <w:sz w:val="20"/>
                <w:szCs w:val="20"/>
              </w:rPr>
              <w:t xml:space="preserve">identifier </w:t>
            </w:r>
          </w:p>
          <w:p w:rsidRPr="005F5507" w:rsidR="5E2F2DB1" w:rsidP="005F5507" w:rsidRDefault="5E2F2DB1" w14:paraId="0ACAC803" w14:textId="751EF0CA">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To be chosen among the following options: “LEI code”, “MFI code” or “Type of identifier, other than LEI or MFI code”.</w:t>
            </w:r>
          </w:p>
        </w:tc>
      </w:tr>
      <w:tr w:rsidRPr="00D43D39" w:rsidR="5E2F2DB1" w:rsidTr="005F5507" w14:paraId="440D5DF2"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62D88A17" w14:textId="10B1C4EE">
            <w:pPr>
              <w:rPr>
                <w:rFonts w:ascii="Times New Roman" w:hAnsi="Times New Roman" w:cs="Times New Roman"/>
              </w:rPr>
            </w:pPr>
            <w:r w:rsidRPr="005F5507">
              <w:rPr>
                <w:rFonts w:ascii="Times New Roman" w:hAnsi="Times New Roman" w:eastAsia="Times New Roman" w:cs="Times New Roman"/>
                <w:sz w:val="20"/>
                <w:szCs w:val="20"/>
              </w:rPr>
              <w:t>0220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FC130F" w:rsidP="005F5507" w:rsidRDefault="00FC130F" w14:paraId="260F6253" w14:textId="161B069E">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Exchanges securities are listed on </w:t>
            </w:r>
          </w:p>
          <w:p w:rsidRPr="005F5507" w:rsidR="5E2F2DB1" w:rsidP="005F5507" w:rsidRDefault="5E2F2DB1" w14:paraId="0995303E" w14:textId="271FAF7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If instruments are listed on an exchange platform, </w:t>
            </w:r>
            <w:r w:rsidR="009162B4">
              <w:rPr>
                <w:rFonts w:ascii="Times New Roman" w:hAnsi="Times New Roman" w:eastAsia="Times New Roman" w:cs="Times New Roman"/>
                <w:sz w:val="20"/>
                <w:szCs w:val="20"/>
              </w:rPr>
              <w:t xml:space="preserve">provide </w:t>
            </w:r>
            <w:r w:rsidRPr="005F5507">
              <w:rPr>
                <w:rFonts w:ascii="Times New Roman" w:hAnsi="Times New Roman" w:eastAsia="Times New Roman" w:cs="Times New Roman"/>
                <w:sz w:val="20"/>
                <w:szCs w:val="20"/>
              </w:rPr>
              <w:t>this/these platform(s). Where multiple exchanges are concerned, separate the platforms with a semicolon.</w:t>
            </w:r>
          </w:p>
        </w:tc>
      </w:tr>
      <w:tr w:rsidRPr="00D43D39" w:rsidR="5E2F2DB1" w:rsidTr="005F5507" w14:paraId="6EB81A92"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32249C74" w14:textId="57972363">
            <w:pPr>
              <w:rPr>
                <w:rFonts w:ascii="Times New Roman" w:hAnsi="Times New Roman" w:cs="Times New Roman"/>
              </w:rPr>
            </w:pPr>
            <w:r w:rsidRPr="005F5507">
              <w:rPr>
                <w:rFonts w:ascii="Times New Roman" w:hAnsi="Times New Roman" w:eastAsia="Times New Roman" w:cs="Times New Roman"/>
                <w:sz w:val="20"/>
                <w:szCs w:val="20"/>
              </w:rPr>
              <w:t>0230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FC130F" w:rsidP="005F5507" w:rsidRDefault="5E2F2DB1" w14:paraId="19BF2633" w14:textId="41BB34FB">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Settlement </w:t>
            </w:r>
            <w:r w:rsidRPr="005F5507" w:rsidR="00FC130F">
              <w:rPr>
                <w:rFonts w:ascii="Times New Roman" w:hAnsi="Times New Roman" w:eastAsia="Times New Roman" w:cs="Times New Roman"/>
                <w:b/>
                <w:bCs/>
                <w:sz w:val="20"/>
                <w:szCs w:val="20"/>
              </w:rPr>
              <w:t>s</w:t>
            </w:r>
            <w:r w:rsidRPr="005F5507">
              <w:rPr>
                <w:rFonts w:ascii="Times New Roman" w:hAnsi="Times New Roman" w:eastAsia="Times New Roman" w:cs="Times New Roman"/>
                <w:b/>
                <w:bCs/>
                <w:sz w:val="20"/>
                <w:szCs w:val="20"/>
              </w:rPr>
              <w:t xml:space="preserve">ystems  </w:t>
            </w:r>
          </w:p>
          <w:p w:rsidRPr="005F5507" w:rsidR="5E2F2DB1" w:rsidP="005F5507" w:rsidRDefault="5E2F2DB1" w14:paraId="7371F525" w14:textId="16811176">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Indicate the Securities Settlement Systems where these securities can be settled. Where multiple settlement systems are concerned, separate each one with a semicolon.</w:t>
            </w:r>
          </w:p>
        </w:tc>
      </w:tr>
      <w:tr w:rsidRPr="00D43D39" w:rsidR="5E2F2DB1" w:rsidTr="005F5507" w14:paraId="25DC981F"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756D14BD" w14:textId="3A2E6EDF">
            <w:pPr>
              <w:rPr>
                <w:rFonts w:ascii="Times New Roman" w:hAnsi="Times New Roman" w:cs="Times New Roman"/>
              </w:rPr>
            </w:pPr>
            <w:r w:rsidRPr="005F5507">
              <w:rPr>
                <w:rFonts w:ascii="Times New Roman" w:hAnsi="Times New Roman" w:eastAsia="Times New Roman" w:cs="Times New Roman"/>
                <w:sz w:val="20"/>
                <w:szCs w:val="20"/>
              </w:rPr>
              <w:t>0240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FC130F" w:rsidP="005F5507" w:rsidRDefault="5E2F2DB1" w14:paraId="5511EEF7" w14:textId="5F5CF2F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Registrar </w:t>
            </w:r>
          </w:p>
          <w:p w:rsidRPr="005F5507" w:rsidR="5E2F2DB1" w:rsidP="005F5507" w:rsidRDefault="5E2F2DB1" w14:paraId="584FBBF7" w14:textId="52A312B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Indicate the registrar (responsible for holding the records of these securities' owners). The registrar or register holder is usually the issuer itself, a CSD or another entity. </w:t>
            </w:r>
          </w:p>
        </w:tc>
      </w:tr>
      <w:tr w:rsidRPr="00D43D39" w:rsidR="5E2F2DB1" w:rsidTr="005F5507" w14:paraId="42302513" w14:textId="77777777">
        <w:tc>
          <w:tcPr>
            <w:tcW w:w="1415" w:type="dxa"/>
            <w:tcBorders>
              <w:top w:val="single" w:color="1A171C" w:sz="8" w:space="0"/>
              <w:left w:val="nil"/>
              <w:right w:val="single" w:color="1A171C" w:sz="8" w:space="0"/>
            </w:tcBorders>
            <w:vAlign w:val="center"/>
          </w:tcPr>
          <w:p w:rsidRPr="005F5507" w:rsidR="5E2F2DB1" w:rsidRDefault="5E2F2DB1" w14:paraId="7131F06E" w14:textId="73F98DF4">
            <w:pPr>
              <w:rPr>
                <w:rFonts w:ascii="Times New Roman" w:hAnsi="Times New Roman" w:cs="Times New Roman"/>
              </w:rPr>
            </w:pPr>
            <w:r w:rsidRPr="005F5507">
              <w:rPr>
                <w:rFonts w:ascii="Times New Roman" w:hAnsi="Times New Roman" w:eastAsia="Times New Roman" w:cs="Times New Roman"/>
                <w:sz w:val="20"/>
                <w:szCs w:val="20"/>
              </w:rPr>
              <w:t>c250</w:t>
            </w:r>
          </w:p>
        </w:tc>
        <w:tc>
          <w:tcPr>
            <w:tcW w:w="7611" w:type="dxa"/>
            <w:gridSpan w:val="2"/>
            <w:tcBorders>
              <w:top w:val="single" w:color="1A171C" w:sz="8" w:space="0"/>
              <w:left w:val="single" w:color="1A171C" w:sz="8" w:space="0"/>
              <w:right w:val="nil"/>
            </w:tcBorders>
            <w:vAlign w:val="bottom"/>
          </w:tcPr>
          <w:p w:rsidRPr="005F5507" w:rsidR="00FC130F" w:rsidP="005F5507" w:rsidRDefault="00FC130F" w14:paraId="38E875A3" w14:textId="0BE212F3">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Central securities depository </w:t>
            </w:r>
          </w:p>
          <w:p w:rsidRPr="005F5507" w:rsidR="5E2F2DB1" w:rsidP="005F5507" w:rsidRDefault="5E2F2DB1" w14:paraId="4DABF23A" w14:textId="3AC8802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Indicate the CSD of issue for the security.</w:t>
            </w:r>
          </w:p>
        </w:tc>
      </w:tr>
      <w:tr w:rsidRPr="00D43D39" w:rsidR="5E2F2DB1" w:rsidTr="005F5507" w14:paraId="190E38FE" w14:textId="77777777">
        <w:tc>
          <w:tcPr>
            <w:tcW w:w="1415" w:type="dxa"/>
            <w:tcBorders>
              <w:left w:val="nil"/>
              <w:bottom w:val="single" w:color="1A171C" w:sz="8" w:space="0"/>
              <w:right w:val="single" w:color="1A171C" w:sz="8" w:space="0"/>
            </w:tcBorders>
            <w:vAlign w:val="center"/>
          </w:tcPr>
          <w:p w:rsidRPr="005F5507" w:rsidR="5E2F2DB1" w:rsidRDefault="5E2F2DB1" w14:paraId="69B54F35" w14:textId="785E37DB">
            <w:pPr>
              <w:rPr>
                <w:rFonts w:ascii="Times New Roman" w:hAnsi="Times New Roman" w:cs="Times New Roman"/>
              </w:rPr>
            </w:pPr>
            <w:r w:rsidRPr="005F5507">
              <w:rPr>
                <w:rFonts w:ascii="Times New Roman" w:hAnsi="Times New Roman" w:eastAsia="Times New Roman" w:cs="Times New Roman"/>
                <w:sz w:val="20"/>
                <w:szCs w:val="20"/>
              </w:rPr>
              <w:t xml:space="preserve"> </w:t>
            </w:r>
          </w:p>
        </w:tc>
        <w:tc>
          <w:tcPr>
            <w:tcW w:w="7611" w:type="dxa"/>
            <w:gridSpan w:val="2"/>
            <w:tcBorders>
              <w:left w:val="single" w:color="1A171C" w:sz="8" w:space="0"/>
              <w:bottom w:val="single" w:color="1A171C" w:sz="8" w:space="0"/>
              <w:right w:val="nil"/>
            </w:tcBorders>
            <w:vAlign w:val="bottom"/>
          </w:tcPr>
          <w:p w:rsidRPr="005F5507" w:rsidR="5E2F2DB1" w:rsidP="005F5507" w:rsidRDefault="5E2F2DB1" w14:paraId="4FC1E062" w14:textId="7313268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When reporting the CSD of issue, use the abbreviation indicated in the table below, except if the relevant CSD is not in the list:</w:t>
            </w:r>
          </w:p>
          <w:p w:rsidRPr="005F5507" w:rsidR="004F4C6D" w:rsidP="005F5507" w:rsidRDefault="004F4C6D" w14:paraId="5BC9EF5C"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ATHEX CSD_EL</w:t>
            </w:r>
          </w:p>
          <w:p w:rsidRPr="005F5507" w:rsidR="004F4C6D" w:rsidP="005F5507" w:rsidRDefault="004F4C6D" w14:paraId="6CF07B81"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BOGS_EL</w:t>
            </w:r>
          </w:p>
          <w:p w:rsidRPr="005F5507" w:rsidR="004F4C6D" w:rsidP="005F5507" w:rsidRDefault="004F4C6D" w14:paraId="60BEF0F5"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CBF_DE</w:t>
            </w:r>
          </w:p>
          <w:p w:rsidRPr="005F5507" w:rsidR="004F4C6D" w:rsidP="005F5507" w:rsidRDefault="004F4C6D" w14:paraId="182ED2D4"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CBL_LU</w:t>
            </w:r>
          </w:p>
          <w:p w:rsidRPr="005F5507" w:rsidR="004F4C6D" w:rsidP="005F5507" w:rsidRDefault="004F4C6D" w14:paraId="575AD11A"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CDCP SR_SK</w:t>
            </w:r>
          </w:p>
          <w:p w:rsidRPr="005F5507" w:rsidR="004F4C6D" w:rsidP="005F5507" w:rsidRDefault="004F4C6D" w14:paraId="5214B43A"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CDCP_CZ</w:t>
            </w:r>
          </w:p>
          <w:p w:rsidRPr="005F5507" w:rsidR="004F4C6D" w:rsidP="005F5507" w:rsidRDefault="004F4C6D" w14:paraId="7F52F07B"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Central Depository &amp; Clearing Company_HR</w:t>
            </w:r>
          </w:p>
          <w:p w:rsidRPr="005F5507" w:rsidR="004F4C6D" w:rsidP="005F5507" w:rsidRDefault="004F4C6D" w14:paraId="2BE08F9A"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Central Depository of Securities Prague_CZ</w:t>
            </w:r>
          </w:p>
          <w:p w:rsidRPr="005F5507" w:rsidR="004F4C6D" w:rsidP="005F5507" w:rsidRDefault="004F4C6D" w14:paraId="60F1D698"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Central Depository_BG</w:t>
            </w:r>
          </w:p>
          <w:p w:rsidRPr="005F5507" w:rsidR="004F4C6D" w:rsidP="005F5507" w:rsidRDefault="004F4C6D" w14:paraId="38C26248"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Cyprus CDCR_CY</w:t>
            </w:r>
          </w:p>
          <w:p w:rsidRPr="005F5507" w:rsidR="004F4C6D" w:rsidP="005F5507" w:rsidRDefault="004F4C6D" w14:paraId="14412E90"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Depozitarul Central_RO</w:t>
            </w:r>
          </w:p>
          <w:p w:rsidRPr="005F5507" w:rsidR="004F4C6D" w:rsidP="005F5507" w:rsidRDefault="004F4C6D" w14:paraId="23A40BF4"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DTC_US</w:t>
            </w:r>
          </w:p>
          <w:p w:rsidRPr="005F5507" w:rsidR="004F4C6D" w:rsidP="005F5507" w:rsidRDefault="004F4C6D" w14:paraId="676B479C"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Euroclear Bank_BE</w:t>
            </w:r>
          </w:p>
          <w:p w:rsidRPr="005F5507" w:rsidR="004F4C6D" w:rsidP="005F5507" w:rsidRDefault="004F4C6D" w14:paraId="19A71FD0"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Euroclear Belgium_BE</w:t>
            </w:r>
          </w:p>
          <w:p w:rsidRPr="005F5507" w:rsidR="004F4C6D" w:rsidP="005F5507" w:rsidRDefault="004F4C6D" w14:paraId="3B7C36DE"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Euroclear Finland_FI</w:t>
            </w:r>
          </w:p>
          <w:p w:rsidRPr="005F5507" w:rsidR="004F4C6D" w:rsidP="005F5507" w:rsidRDefault="004F4C6D" w14:paraId="2751C75B"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Euroclear France_FR</w:t>
            </w:r>
          </w:p>
          <w:p w:rsidRPr="005F5507" w:rsidR="004F4C6D" w:rsidP="005F5507" w:rsidRDefault="004F4C6D" w14:paraId="0759A655"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Euroclear Netherlands_NL</w:t>
            </w:r>
          </w:p>
          <w:p w:rsidRPr="005F5507" w:rsidR="004F4C6D" w:rsidP="005F5507" w:rsidRDefault="004F4C6D" w14:paraId="154ECE2B"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Euroclear Sweden_SE</w:t>
            </w:r>
          </w:p>
          <w:p w:rsidRPr="005F5507" w:rsidR="004F4C6D" w:rsidP="005F5507" w:rsidRDefault="004F4C6D" w14:paraId="0B47FF72"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Euroclear UK &amp; Ireland_UK</w:t>
            </w:r>
          </w:p>
          <w:p w:rsidRPr="005F5507" w:rsidR="004F4C6D" w:rsidP="005F5507" w:rsidRDefault="004F4C6D" w14:paraId="641F7840"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Government Securities Depository (GSD)_BG</w:t>
            </w:r>
          </w:p>
          <w:p w:rsidRPr="005F5507" w:rsidR="004F4C6D" w:rsidP="005F5507" w:rsidRDefault="004F4C6D" w14:paraId="2655262A"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Iberclear_ES</w:t>
            </w:r>
          </w:p>
          <w:p w:rsidRPr="005F5507" w:rsidR="004F4C6D" w:rsidP="005F5507" w:rsidRDefault="004F4C6D" w14:paraId="2BA5D6DA"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INTERBOLSA_PT</w:t>
            </w:r>
          </w:p>
          <w:p w:rsidRPr="005F5507" w:rsidR="004F4C6D" w:rsidP="005F5507" w:rsidRDefault="004F4C6D" w14:paraId="14302883"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KDD_SI</w:t>
            </w:r>
          </w:p>
          <w:p w:rsidRPr="005F5507" w:rsidR="004F4C6D" w:rsidP="005F5507" w:rsidRDefault="004F4C6D" w14:paraId="168EEFBA"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KDPW_PL</w:t>
            </w:r>
          </w:p>
          <w:p w:rsidRPr="005F5507" w:rsidR="004F4C6D" w:rsidP="005F5507" w:rsidRDefault="004F4C6D" w14:paraId="048F66A6"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KELER_HU</w:t>
            </w:r>
          </w:p>
          <w:p w:rsidRPr="005F5507" w:rsidR="004F4C6D" w:rsidP="005F5507" w:rsidRDefault="004F4C6D" w14:paraId="0C61AB00" w14:textId="77777777">
            <w:pPr>
              <w:pStyle w:val="TableParagraph"/>
              <w:spacing w:before="108"/>
              <w:ind w:left="85"/>
              <w:jc w:val="both"/>
              <w:rPr>
                <w:rFonts w:ascii="Times New Roman" w:hAnsi="Times New Roman" w:eastAsia="Times New Roman"/>
                <w:sz w:val="20"/>
                <w:szCs w:val="20"/>
                <w:lang w:val="es-ES"/>
              </w:rPr>
            </w:pPr>
            <w:r w:rsidRPr="005F5507">
              <w:rPr>
                <w:rFonts w:ascii="Times New Roman" w:hAnsi="Times New Roman" w:eastAsia="Times New Roman" w:cs="Times New Roman"/>
                <w:sz w:val="20"/>
                <w:szCs w:val="20"/>
                <w:lang w:val="es-ES"/>
              </w:rPr>
              <w:t>LUX CSD_LU</w:t>
            </w:r>
          </w:p>
          <w:p w:rsidRPr="005F5507" w:rsidR="004F4C6D" w:rsidP="005F5507" w:rsidRDefault="004F4C6D" w14:paraId="19E9D76C"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Malta Stock Exchange CSD_MT</w:t>
            </w:r>
          </w:p>
          <w:p w:rsidRPr="005F5507" w:rsidR="004F4C6D" w:rsidP="005F5507" w:rsidRDefault="004F4C6D" w14:paraId="3AFA1B75"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Euronext Securities Milan_IT</w:t>
            </w:r>
          </w:p>
          <w:p w:rsidRPr="005F5507" w:rsidR="004F4C6D" w:rsidP="005F5507" w:rsidRDefault="004F4C6D" w14:paraId="27FC2D73"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Nasdaq CSD_EE</w:t>
            </w:r>
          </w:p>
          <w:p w:rsidRPr="005F5507" w:rsidR="004F4C6D" w:rsidP="005F5507" w:rsidRDefault="004F4C6D" w14:paraId="1068555E"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Nasdaq CSD_LT</w:t>
            </w:r>
          </w:p>
          <w:p w:rsidRPr="005F5507" w:rsidR="004F4C6D" w:rsidP="005F5507" w:rsidRDefault="004F4C6D" w14:paraId="0D9FC0A8"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Nasdaq CSD_LV</w:t>
            </w:r>
          </w:p>
          <w:p w:rsidRPr="005F5507" w:rsidR="004F4C6D" w:rsidP="005F5507" w:rsidRDefault="004F4C6D" w14:paraId="44AEA7C6"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NBB SSS_BE</w:t>
            </w:r>
          </w:p>
          <w:p w:rsidRPr="005F5507" w:rsidR="004F4C6D" w:rsidP="005F5507" w:rsidRDefault="004F4C6D" w14:paraId="7B67405A"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nCDCP_SK</w:t>
            </w:r>
          </w:p>
          <w:p w:rsidRPr="005F5507" w:rsidR="004F4C6D" w:rsidP="005F5507" w:rsidRDefault="004F4C6D" w14:paraId="431CAC57"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OeKB CSD_AT</w:t>
            </w:r>
          </w:p>
          <w:p w:rsidRPr="005F5507" w:rsidR="004F4C6D" w:rsidP="005F5507" w:rsidRDefault="004F4C6D" w14:paraId="3E0C51F5"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SAFIR_RO</w:t>
            </w:r>
          </w:p>
          <w:p w:rsidRPr="005F5507" w:rsidR="004F4C6D" w:rsidP="005F5507" w:rsidRDefault="004F4C6D" w14:paraId="79B1015D"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SIX SIS_CH</w:t>
            </w:r>
          </w:p>
          <w:p w:rsidRPr="005F5507" w:rsidR="004F4C6D" w:rsidP="005F5507" w:rsidRDefault="004F4C6D" w14:paraId="168E3311"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SKARBNET4_PL</w:t>
            </w:r>
          </w:p>
          <w:p w:rsidRPr="005F5507" w:rsidR="004F4C6D" w:rsidP="005F5507" w:rsidRDefault="004F4C6D" w14:paraId="6849C467"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SKD_CZ</w:t>
            </w:r>
          </w:p>
          <w:p w:rsidRPr="005F5507" w:rsidR="004F4C6D" w:rsidP="005F5507" w:rsidRDefault="004F4C6D" w14:paraId="71008A38"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VP Securities_DK</w:t>
            </w:r>
          </w:p>
          <w:p w:rsidRPr="005F5507" w:rsidR="004F4C6D" w:rsidP="005F5507" w:rsidRDefault="004F4C6D" w14:paraId="43AA8020" w14:textId="1A62678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VPS_NO</w:t>
            </w:r>
          </w:p>
        </w:tc>
      </w:tr>
      <w:tr w:rsidRPr="00D43D39" w:rsidR="5E2F2DB1" w:rsidTr="005F5507" w14:paraId="03509F55"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748C77C9" w14:textId="44CC8267">
            <w:pPr>
              <w:rPr>
                <w:rFonts w:ascii="Times New Roman" w:hAnsi="Times New Roman" w:cs="Times New Roman"/>
              </w:rPr>
            </w:pPr>
            <w:r w:rsidRPr="005F5507">
              <w:rPr>
                <w:rFonts w:ascii="Times New Roman" w:hAnsi="Times New Roman" w:eastAsia="Times New Roman" w:cs="Times New Roman"/>
                <w:sz w:val="20"/>
                <w:szCs w:val="20"/>
              </w:rPr>
              <w:t>0270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FC130F" w:rsidP="005F5507" w:rsidRDefault="5E2F2DB1" w14:paraId="147D8624" w14:textId="3B49ECFA">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Amount of pledge, lien or collateral</w:t>
            </w:r>
          </w:p>
          <w:p w:rsidRPr="005F5507" w:rsidR="5E2F2DB1" w:rsidP="005F5507" w:rsidRDefault="5E2F2DB1" w14:paraId="4C2F7DDA" w14:textId="733EE13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Where a liability is secured by a pledge, lien or collateral, the gross market value of the latter shall be </w:t>
            </w:r>
            <w:r w:rsidRPr="005F5507" w:rsidR="00E02B92">
              <w:rPr>
                <w:rFonts w:ascii="Times New Roman" w:hAnsi="Times New Roman" w:eastAsia="Times New Roman" w:cs="Times New Roman"/>
                <w:sz w:val="20"/>
                <w:szCs w:val="20"/>
              </w:rPr>
              <w:t>reported</w:t>
            </w:r>
            <w:r w:rsidRPr="005F5507">
              <w:rPr>
                <w:rFonts w:ascii="Times New Roman" w:hAnsi="Times New Roman" w:eastAsia="Times New Roman" w:cs="Times New Roman"/>
                <w:sz w:val="20"/>
                <w:szCs w:val="20"/>
              </w:rPr>
              <w:t xml:space="preserve">. Otherwise, for unsecured liabilities this category shall be reported as nil. This amount will determine the collateralized and eventually the uncollateralized part of any secured liability. For collateral pools securing multiple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w:t>
            </w:r>
            <w:r w:rsidR="009162B4">
              <w:rPr>
                <w:rFonts w:ascii="Times New Roman" w:hAnsi="Times New Roman" w:eastAsia="Times New Roman" w:cs="Times New Roman"/>
                <w:sz w:val="20"/>
                <w:szCs w:val="20"/>
              </w:rPr>
              <w:t xml:space="preserve"> determine</w:t>
            </w:r>
            <w:r w:rsidRPr="005F5507">
              <w:rPr>
                <w:rFonts w:ascii="Times New Roman" w:hAnsi="Times New Roman" w:eastAsia="Times New Roman" w:cs="Times New Roman"/>
                <w:sz w:val="20"/>
                <w:szCs w:val="20"/>
              </w:rPr>
              <w:t xml:space="preserve"> the overall coverage ratio and appl</w:t>
            </w:r>
            <w:r w:rsidR="009162B4">
              <w:rPr>
                <w:rFonts w:ascii="Times New Roman" w:hAnsi="Times New Roman" w:eastAsia="Times New Roman" w:cs="Times New Roman"/>
                <w:sz w:val="20"/>
                <w:szCs w:val="20"/>
              </w:rPr>
              <w:t>y</w:t>
            </w:r>
            <w:r w:rsidRPr="005F5507">
              <w:rPr>
                <w:rFonts w:ascii="Times New Roman" w:hAnsi="Times New Roman" w:eastAsia="Times New Roman" w:cs="Times New Roman"/>
                <w:sz w:val="20"/>
                <w:szCs w:val="20"/>
              </w:rPr>
              <w:t xml:space="preserve"> pro rata to all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 covered by this pool.</w:t>
            </w:r>
          </w:p>
        </w:tc>
      </w:tr>
      <w:tr w:rsidRPr="00D43D39" w:rsidR="5E2F2DB1" w:rsidTr="005F5507" w14:paraId="6838A8B6"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2D6C8B5F" w14:textId="1ECEFF53">
            <w:pPr>
              <w:rPr>
                <w:rFonts w:ascii="Times New Roman" w:hAnsi="Times New Roman" w:cs="Times New Roman"/>
              </w:rPr>
            </w:pPr>
            <w:r w:rsidRPr="005F5507">
              <w:rPr>
                <w:rFonts w:ascii="Times New Roman" w:hAnsi="Times New Roman" w:eastAsia="Times New Roman" w:cs="Times New Roman"/>
                <w:sz w:val="20"/>
                <w:szCs w:val="20"/>
              </w:rPr>
              <w:t>0280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9A47B0" w:rsidP="005F5507" w:rsidRDefault="5E2F2DB1" w14:paraId="0CE2818A" w14:textId="769CACFE">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Guarantor </w:t>
            </w:r>
          </w:p>
          <w:p w:rsidRPr="005F5507" w:rsidR="5E2F2DB1" w:rsidP="005F5507" w:rsidRDefault="5E2F2DB1" w14:paraId="301BC394" w14:textId="697BD59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If there are guarantees provided for the instrument, provide a detailed identification of the guarantor (LEI code, ISO 3166-1 alpha-2 country code for government, etc.). Where multiple guarantors are present, </w:t>
            </w:r>
            <w:r w:rsidR="009162B4">
              <w:rPr>
                <w:rFonts w:ascii="Times New Roman" w:hAnsi="Times New Roman" w:eastAsia="Times New Roman" w:cs="Times New Roman"/>
                <w:sz w:val="20"/>
                <w:szCs w:val="20"/>
              </w:rPr>
              <w:t>report all</w:t>
            </w:r>
            <w:r w:rsidRPr="005F5507">
              <w:rPr>
                <w:rFonts w:ascii="Times New Roman" w:hAnsi="Times New Roman" w:eastAsia="Times New Roman" w:cs="Times New Roman"/>
                <w:sz w:val="20"/>
                <w:szCs w:val="20"/>
              </w:rPr>
              <w:t xml:space="preserve"> identifiers, separated by a semicolon.</w:t>
            </w:r>
          </w:p>
        </w:tc>
      </w:tr>
      <w:tr w:rsidRPr="00D43D39" w:rsidR="5E2F2DB1" w:rsidTr="005F5507" w14:paraId="4C137C51"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131DC70C" w14:textId="56EE0D40">
            <w:pPr>
              <w:rPr>
                <w:rFonts w:ascii="Times New Roman" w:hAnsi="Times New Roman" w:cs="Times New Roman"/>
              </w:rPr>
            </w:pPr>
            <w:r w:rsidRPr="005F5507">
              <w:rPr>
                <w:rFonts w:ascii="Times New Roman" w:hAnsi="Times New Roman" w:eastAsia="Times New Roman" w:cs="Times New Roman"/>
                <w:sz w:val="20"/>
                <w:szCs w:val="20"/>
              </w:rPr>
              <w:t>0305</w:t>
            </w:r>
          </w:p>
        </w:tc>
        <w:tc>
          <w:tcPr>
            <w:tcW w:w="7611" w:type="dxa"/>
            <w:gridSpan w:val="2"/>
            <w:tcBorders>
              <w:top w:val="single" w:color="1A171C" w:sz="8" w:space="0"/>
              <w:left w:val="single" w:color="1A171C" w:sz="8" w:space="0"/>
              <w:bottom w:val="single" w:color="1A171C" w:sz="8" w:space="0"/>
              <w:right w:val="nil"/>
            </w:tcBorders>
            <w:vAlign w:val="bottom"/>
          </w:tcPr>
          <w:p w:rsidRPr="005F5507" w:rsidR="5E2F2DB1" w:rsidP="005F5507" w:rsidRDefault="5E2F2DB1" w14:paraId="4405E33D" w14:textId="54A77D6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Amount meeting the conditions for MREL eligibility </w:t>
            </w:r>
          </w:p>
          <w:p w:rsidRPr="005F5507" w:rsidR="5E2F2DB1" w:rsidP="005F5507" w:rsidRDefault="00993B43" w14:paraId="411FBC0C" w14:textId="0FD4ADBC">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outstanding amount of the own funds and eligible liabilities counting towards the requirement set in accordance with Article 45a(1) of the Directive 2014/59/EU</w:t>
            </w:r>
            <w:r w:rsidR="001F447D">
              <w:rPr>
                <w:rFonts w:ascii="Times New Roman" w:hAnsi="Times New Roman" w:eastAsia="Times New Roman" w:cs="Times New Roman"/>
                <w:sz w:val="20"/>
                <w:szCs w:val="20"/>
              </w:rPr>
              <w:t>.</w:t>
            </w:r>
          </w:p>
        </w:tc>
      </w:tr>
      <w:tr w:rsidRPr="00D43D39" w:rsidR="00F301AB" w:rsidTr="00A66536" w14:paraId="039929AB" w14:textId="77777777">
        <w:trPr>
          <w:trHeight w:val="2982"/>
        </w:trPr>
        <w:tc>
          <w:tcPr>
            <w:tcW w:w="1415" w:type="dxa"/>
            <w:tcBorders>
              <w:top w:val="single" w:color="1A171C" w:sz="8" w:space="0"/>
              <w:left w:val="nil"/>
              <w:bottom w:val="single" w:color="1A171C" w:sz="8" w:space="0"/>
              <w:right w:val="single" w:color="1A171C" w:sz="8" w:space="0"/>
            </w:tcBorders>
            <w:vAlign w:val="center"/>
          </w:tcPr>
          <w:p w:rsidRPr="005F5507" w:rsidR="00F301AB" w:rsidRDefault="00F301AB" w14:paraId="5FD3D49D" w14:textId="7428501F">
            <w:pPr>
              <w:rPr>
                <w:rFonts w:ascii="Times New Roman" w:hAnsi="Times New Roman" w:cs="Times New Roman"/>
              </w:rPr>
            </w:pPr>
            <w:r w:rsidRPr="005F5507">
              <w:rPr>
                <w:rFonts w:ascii="Times New Roman" w:hAnsi="Times New Roman" w:eastAsia="Times New Roman" w:cs="Times New Roman"/>
                <w:sz w:val="20"/>
                <w:szCs w:val="20"/>
              </w:rPr>
              <w:t>0310</w:t>
            </w:r>
          </w:p>
          <w:p w:rsidRPr="005F5507" w:rsidR="00F301AB" w:rsidRDefault="00F301AB" w14:paraId="696CB505" w14:textId="15529B42">
            <w:pPr>
              <w:rPr>
                <w:rFonts w:ascii="Times New Roman" w:hAnsi="Times New Roman" w:cs="Times New Roman"/>
              </w:rPr>
            </w:pPr>
            <w:r w:rsidRPr="005F5507">
              <w:rPr>
                <w:rFonts w:ascii="Times New Roman" w:hAnsi="Times New Roman" w:eastAsia="Times New Roman" w:cs="Times New Roman"/>
                <w:sz w:val="20"/>
                <w:szCs w:val="20"/>
              </w:rPr>
              <w:t xml:space="preserve"> </w:t>
            </w:r>
          </w:p>
        </w:tc>
        <w:tc>
          <w:tcPr>
            <w:tcW w:w="7611" w:type="dxa"/>
            <w:gridSpan w:val="2"/>
            <w:tcBorders>
              <w:top w:val="single" w:color="1A171C" w:sz="8" w:space="0"/>
              <w:left w:val="single" w:color="1A171C" w:sz="8" w:space="0"/>
              <w:right w:val="nil"/>
            </w:tcBorders>
            <w:vAlign w:val="bottom"/>
          </w:tcPr>
          <w:p w:rsidRPr="005F5507" w:rsidR="00F301AB" w:rsidP="005F5507" w:rsidRDefault="00F301AB" w14:paraId="2B4677AB" w14:textId="10258658">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Qualifying as own funds </w:t>
            </w:r>
          </w:p>
          <w:p w:rsidR="00F301AB" w:rsidRDefault="00486437" w14:paraId="5B0939B5" w14:textId="0A9F9D70">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w:t>
            </w:r>
            <w:r w:rsidRPr="005F5507" w:rsidR="00F301AB">
              <w:rPr>
                <w:rFonts w:ascii="Times New Roman" w:hAnsi="Times New Roman" w:eastAsia="Times New Roman" w:cs="Times New Roman"/>
                <w:sz w:val="20"/>
                <w:szCs w:val="20"/>
              </w:rPr>
              <w:t xml:space="preserve">ndicate if and at which level the instrument is included in the own funds, alongside information on the phase-out regime and grandfathering arrangements. Value can be ‘No’, ‘Partially (A)T1 and T2’, ‘T2 in phase-out’, ‘Grandfathered T2’, ‘Fully Compliant T2’, ‘Grandfathered AT1’, ‘Fully Compliant AT1’ or ‘CET1’ from a predefined list. </w:t>
            </w:r>
          </w:p>
          <w:p w:rsidRPr="000B03A1" w:rsidR="00F301AB" w:rsidRDefault="00F301AB" w14:paraId="281CC0ED" w14:textId="258F17E4">
            <w:pPr>
              <w:pStyle w:val="TableParagraph"/>
              <w:spacing w:before="108"/>
              <w:ind w:left="85"/>
              <w:jc w:val="both"/>
              <w:rPr>
                <w:rFonts w:ascii="Times New Roman" w:hAnsi="Times New Roman" w:eastAsia="Times New Roman" w:cs="Times New Roman"/>
                <w:sz w:val="20"/>
                <w:szCs w:val="20"/>
              </w:rPr>
            </w:pPr>
            <w:r w:rsidRPr="008F41AD">
              <w:rPr>
                <w:rFonts w:ascii="Times New Roman" w:hAnsi="Times New Roman" w:eastAsia="Times New Roman" w:cs="Times New Roman"/>
                <w:sz w:val="20"/>
                <w:szCs w:val="20"/>
              </w:rPr>
              <w:t xml:space="preserve">In the list of options, the term 'phase-out' refers to the period of 5 years before maturity of any given T2 instrument, during which there is only a proportionate recognition based on the time remaining until maturity. 'Grandfathered' </w:t>
            </w:r>
            <w:r w:rsidR="009162B4">
              <w:rPr>
                <w:rFonts w:ascii="Times New Roman" w:hAnsi="Times New Roman" w:eastAsia="Times New Roman" w:cs="Times New Roman"/>
                <w:sz w:val="20"/>
                <w:szCs w:val="20"/>
              </w:rPr>
              <w:t>refers to</w:t>
            </w:r>
            <w:r w:rsidRPr="008F41AD">
              <w:rPr>
                <w:rFonts w:ascii="Times New Roman" w:hAnsi="Times New Roman" w:eastAsia="Times New Roman" w:cs="Times New Roman"/>
                <w:sz w:val="20"/>
                <w:szCs w:val="20"/>
              </w:rPr>
              <w:t xml:space="preserve"> any transitional measure applicable to a T2 instrument, not including the 'phase-out'. During this 'grandfathering', recognition can be full or partial.</w:t>
            </w:r>
          </w:p>
          <w:p w:rsidRPr="005F5507" w:rsidR="00F301AB" w:rsidP="005F5507" w:rsidRDefault="00F301AB" w14:paraId="5A299820" w14:textId="49FBC77F">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 </w:t>
            </w:r>
          </w:p>
        </w:tc>
      </w:tr>
      <w:tr w:rsidRPr="00D43D39" w:rsidR="5E2F2DB1" w:rsidTr="005F5507" w14:paraId="7C5D174C" w14:textId="77777777">
        <w:tc>
          <w:tcPr>
            <w:tcW w:w="1415" w:type="dxa"/>
            <w:tcBorders>
              <w:top w:val="single" w:color="1A171C" w:sz="8" w:space="0"/>
              <w:left w:val="nil"/>
              <w:bottom w:val="single" w:color="1A171C" w:sz="8" w:space="0"/>
              <w:right w:val="single" w:color="1A171C" w:sz="8" w:space="0"/>
            </w:tcBorders>
            <w:vAlign w:val="center"/>
          </w:tcPr>
          <w:p w:rsidRPr="005F5507" w:rsidR="5E2F2DB1" w:rsidRDefault="5E2F2DB1" w14:paraId="175F604C" w14:textId="6836D53A">
            <w:pPr>
              <w:rPr>
                <w:rFonts w:ascii="Times New Roman" w:hAnsi="Times New Roman" w:cs="Times New Roman"/>
              </w:rPr>
            </w:pPr>
            <w:r w:rsidRPr="005F5507">
              <w:rPr>
                <w:rFonts w:ascii="Times New Roman" w:hAnsi="Times New Roman" w:eastAsia="Times New Roman" w:cs="Times New Roman"/>
                <w:sz w:val="20"/>
                <w:szCs w:val="20"/>
              </w:rPr>
              <w:t>0320</w:t>
            </w:r>
          </w:p>
        </w:tc>
        <w:tc>
          <w:tcPr>
            <w:tcW w:w="7611" w:type="dxa"/>
            <w:gridSpan w:val="2"/>
            <w:tcBorders>
              <w:top w:val="single" w:color="1A171C" w:sz="8" w:space="0"/>
              <w:left w:val="single" w:color="1A171C" w:sz="8" w:space="0"/>
              <w:bottom w:val="single" w:color="1A171C" w:sz="8" w:space="0"/>
              <w:right w:val="nil"/>
            </w:tcBorders>
            <w:vAlign w:val="bottom"/>
          </w:tcPr>
          <w:p w:rsidRPr="005F5507" w:rsidR="00171B62" w:rsidP="005F5507" w:rsidRDefault="5E2F2DB1" w14:paraId="75F4FF16"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sidR="00171B62">
              <w:rPr>
                <w:rFonts w:ascii="Times New Roman" w:hAnsi="Times New Roman" w:eastAsia="Times New Roman" w:cs="Times New Roman"/>
                <w:b/>
                <w:bCs/>
                <w:sz w:val="20"/>
                <w:szCs w:val="20"/>
              </w:rPr>
              <w:t xml:space="preserve">Amount Qualifying as Own Funds </w:t>
            </w:r>
          </w:p>
          <w:p w:rsidRPr="005F5507" w:rsidR="5E2F2DB1" w:rsidP="005F5507" w:rsidRDefault="5E2F2DB1" w14:paraId="5734D4DF" w14:textId="6ADF58D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amount of the instrument qualifying as own funds.</w:t>
            </w:r>
          </w:p>
        </w:tc>
      </w:tr>
    </w:tbl>
    <w:p w:rsidRPr="005F5507" w:rsidR="5E2F2DB1" w:rsidP="5E2F2DB1" w:rsidRDefault="5E2F2DB1" w14:paraId="475340DE" w14:textId="518BE823">
      <w:pPr>
        <w:rPr>
          <w:rFonts w:ascii="Times New Roman" w:hAnsi="Times New Roman" w:cs="Times New Roman"/>
        </w:rPr>
      </w:pPr>
    </w:p>
    <w:p w:rsidRPr="00D43D39" w:rsidR="005B682F" w:rsidP="005B682F" w:rsidRDefault="005B682F" w14:paraId="6FCD79CB" w14:textId="77777777">
      <w:pPr>
        <w:pStyle w:val="Instructionsberschrift2"/>
        <w:ind w:left="357"/>
        <w:rPr>
          <w:rFonts w:ascii="Times New Roman" w:hAnsi="Times New Roman" w:eastAsia="Calibri" w:cs="Times New Roman"/>
          <w:szCs w:val="20"/>
        </w:rPr>
      </w:pPr>
    </w:p>
    <w:p w:rsidRPr="005F5507" w:rsidR="005B682F" w:rsidP="005B682F" w:rsidRDefault="005B682F" w14:paraId="38C65629" w14:textId="71B2D5E9">
      <w:pPr>
        <w:pStyle w:val="Instructionsberschrift2"/>
        <w:numPr>
          <w:ilvl w:val="1"/>
          <w:numId w:val="49"/>
        </w:numPr>
        <w:spacing w:before="0"/>
        <w:ind w:left="357" w:hanging="357"/>
        <w:rPr>
          <w:rFonts w:ascii="Times New Roman" w:hAnsi="Times New Roman" w:cs="Times New Roman"/>
        </w:rPr>
      </w:pPr>
      <w:bookmarkStart w:name="_Toc172732256" w:id="225"/>
      <w:r w:rsidRPr="005F5507">
        <w:rPr>
          <w:rFonts w:ascii="Times New Roman" w:hAnsi="Times New Roman" w:cs="Times New Roman" w:eastAsiaTheme="minorEastAsia"/>
        </w:rPr>
        <w:t>Z10.03  - All Deposits (excluding intragroup)</w:t>
      </w:r>
      <w:r w:rsidR="00056E47">
        <w:rPr>
          <w:rFonts w:ascii="Times New Roman" w:hAnsi="Times New Roman" w:cs="Times New Roman" w:eastAsiaTheme="minorEastAsia"/>
        </w:rPr>
        <w:t xml:space="preserve"> </w:t>
      </w:r>
      <w:r w:rsidRPr="00056E47" w:rsidR="00056E47">
        <w:rPr>
          <w:rFonts w:ascii="Times New Roman" w:hAnsi="Times New Roman" w:eastAsia="Calibri" w:cs="Times New Roman"/>
          <w:szCs w:val="20"/>
        </w:rPr>
        <w:t>(LIAB-G-</w:t>
      </w:r>
      <w:r w:rsidR="00056E47">
        <w:rPr>
          <w:rFonts w:ascii="Times New Roman" w:hAnsi="Times New Roman" w:eastAsia="Calibri" w:cs="Times New Roman"/>
          <w:szCs w:val="20"/>
        </w:rPr>
        <w:t>3</w:t>
      </w:r>
      <w:r w:rsidRPr="00056E47" w:rsidR="00056E47">
        <w:rPr>
          <w:rFonts w:ascii="Times New Roman" w:hAnsi="Times New Roman" w:eastAsia="Calibri" w:cs="Times New Roman"/>
          <w:szCs w:val="20"/>
        </w:rPr>
        <w:t>)</w:t>
      </w:r>
      <w:bookmarkEnd w:id="225"/>
    </w:p>
    <w:p w:rsidRPr="00D43D39" w:rsidR="6A6331BF" w:rsidP="5E2F2DB1" w:rsidRDefault="6A6331BF" w14:paraId="184B3F11" w14:textId="77777777">
      <w:pPr>
        <w:pStyle w:val="Numberedtitlelevel3"/>
        <w:rPr>
          <w:rFonts w:ascii="Times New Roman" w:hAnsi="Times New Roman" w:cs="Times New Roman"/>
          <w:b w:val="0"/>
          <w:color w:val="000000" w:themeColor="text1"/>
          <w:sz w:val="20"/>
          <w:szCs w:val="20"/>
          <w:u w:val="single"/>
          <w:lang w:val="en-GB"/>
        </w:rPr>
      </w:pPr>
      <w:r w:rsidRPr="00D43D39">
        <w:rPr>
          <w:rFonts w:ascii="Times New Roman" w:hAnsi="Times New Roman" w:cs="Times New Roman"/>
          <w:b w:val="0"/>
          <w:color w:val="000000" w:themeColor="text1"/>
          <w:sz w:val="20"/>
          <w:szCs w:val="20"/>
          <w:u w:val="single"/>
          <w:lang w:val="en-GB"/>
        </w:rPr>
        <w:t>General remarks</w:t>
      </w:r>
    </w:p>
    <w:p w:rsidRPr="005F5507" w:rsidR="52443186" w:rsidP="005F5507" w:rsidRDefault="52443186" w14:paraId="5262970E" w14:textId="06A54058">
      <w:pPr>
        <w:pStyle w:val="InstructionsText2"/>
        <w:numPr>
          <w:ilvl w:val="2"/>
          <w:numId w:val="209"/>
        </w:numPr>
        <w:spacing w:before="0"/>
        <w:ind w:left="1418"/>
        <w:rPr>
          <w:rFonts w:ascii="Times New Roman" w:hAnsi="Times New Roman" w:cs="Times New Roman" w:eastAsiaTheme="majorEastAsia"/>
          <w:sz w:val="20"/>
          <w:szCs w:val="20"/>
          <w:lang w:val="en-GB"/>
        </w:rPr>
      </w:pPr>
      <w:r w:rsidRPr="005F5507">
        <w:rPr>
          <w:rFonts w:ascii="Times New Roman" w:hAnsi="Times New Roman" w:eastAsia="Cambria" w:cs="Times New Roman"/>
          <w:sz w:val="20"/>
          <w:szCs w:val="20"/>
          <w:lang w:val="en-GB"/>
        </w:rPr>
        <w:t>The scope of this report covers all deposits</w:t>
      </w:r>
      <w:r w:rsidRPr="005F5507" w:rsidR="00DE78F0">
        <w:rPr>
          <w:rFonts w:ascii="Times New Roman" w:hAnsi="Times New Roman" w:eastAsia="Cambria" w:cs="Times New Roman"/>
          <w:sz w:val="20"/>
          <w:szCs w:val="20"/>
          <w:lang w:val="en-GB"/>
        </w:rPr>
        <w:t>,</w:t>
      </w:r>
      <w:r w:rsidRPr="005F5507" w:rsidR="00912244">
        <w:rPr>
          <w:rFonts w:ascii="Times New Roman" w:hAnsi="Times New Roman" w:eastAsia="Cambria" w:cs="Times New Roman"/>
          <w:sz w:val="20"/>
          <w:szCs w:val="20"/>
          <w:lang w:val="en-GB"/>
        </w:rPr>
        <w:t xml:space="preserve"> excluding intragroup transactions</w:t>
      </w:r>
      <w:r w:rsidRPr="005F5507">
        <w:rPr>
          <w:rFonts w:ascii="Times New Roman" w:hAnsi="Times New Roman" w:eastAsia="Cambria" w:cs="Times New Roman"/>
          <w:sz w:val="20"/>
          <w:szCs w:val="20"/>
          <w:lang w:val="en-GB"/>
        </w:rPr>
        <w:t>, regardless of the nature of the deposit or the term.</w:t>
      </w:r>
    </w:p>
    <w:p w:rsidRPr="005F5507" w:rsidR="52443186" w:rsidP="005F5507" w:rsidRDefault="52443186" w14:paraId="442C77A0" w14:textId="1C039F21">
      <w:pPr>
        <w:pStyle w:val="InstructionsText2"/>
        <w:numPr>
          <w:ilvl w:val="2"/>
          <w:numId w:val="209"/>
        </w:numPr>
        <w:spacing w:before="0"/>
        <w:ind w:left="1418"/>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 xml:space="preserve">For the purposes of this table, </w:t>
      </w:r>
      <w:r w:rsidR="009162B4">
        <w:rPr>
          <w:rFonts w:ascii="Times New Roman" w:hAnsi="Times New Roman" w:eastAsia="Cambria" w:cs="Times New Roman"/>
          <w:sz w:val="20"/>
          <w:szCs w:val="20"/>
          <w:lang w:val="en-GB"/>
        </w:rPr>
        <w:t xml:space="preserve">group </w:t>
      </w:r>
      <w:r w:rsidRPr="005F5507">
        <w:rPr>
          <w:rFonts w:ascii="Times New Roman" w:hAnsi="Times New Roman" w:eastAsia="Cambria" w:cs="Times New Roman"/>
          <w:sz w:val="20"/>
          <w:szCs w:val="20"/>
          <w:lang w:val="en-GB"/>
        </w:rPr>
        <w:t xml:space="preserve">all </w:t>
      </w:r>
      <w:r w:rsidR="00045F3F">
        <w:rPr>
          <w:rFonts w:ascii="Times New Roman" w:hAnsi="Times New Roman" w:eastAsia="Cambria" w:cs="Times New Roman"/>
          <w:sz w:val="20"/>
          <w:szCs w:val="20"/>
          <w:lang w:val="en-GB"/>
        </w:rPr>
        <w:t>N</w:t>
      </w:r>
      <w:r w:rsidRPr="005F5507" w:rsidR="004120C1">
        <w:rPr>
          <w:rFonts w:ascii="Times New Roman" w:hAnsi="Times New Roman" w:eastAsia="Cambria" w:cs="Times New Roman"/>
          <w:sz w:val="20"/>
          <w:szCs w:val="20"/>
          <w:lang w:val="en-GB"/>
        </w:rPr>
        <w:t>ot-</w:t>
      </w:r>
      <w:r w:rsidR="00045F3F">
        <w:rPr>
          <w:rFonts w:ascii="Times New Roman" w:hAnsi="Times New Roman" w:eastAsia="Cambria" w:cs="Times New Roman"/>
          <w:sz w:val="20"/>
          <w:szCs w:val="20"/>
          <w:lang w:val="en-GB"/>
        </w:rPr>
        <w:t>C</w:t>
      </w:r>
      <w:r w:rsidRPr="005F5507" w:rsidR="004120C1">
        <w:rPr>
          <w:rFonts w:ascii="Times New Roman" w:hAnsi="Times New Roman" w:eastAsia="Cambria" w:cs="Times New Roman"/>
          <w:sz w:val="20"/>
          <w:szCs w:val="20"/>
          <w:lang w:val="en-GB"/>
        </w:rPr>
        <w:t>overed</w:t>
      </w:r>
      <w:r w:rsidR="008661CB">
        <w:rPr>
          <w:rFonts w:ascii="Times New Roman" w:hAnsi="Times New Roman" w:eastAsia="Cambria" w:cs="Times New Roman"/>
          <w:sz w:val="20"/>
          <w:szCs w:val="20"/>
          <w:lang w:val="en-GB"/>
        </w:rPr>
        <w:t>-</w:t>
      </w:r>
      <w:r w:rsidR="00045F3F">
        <w:rPr>
          <w:rFonts w:ascii="Times New Roman" w:hAnsi="Times New Roman" w:eastAsia="Cambria" w:cs="Times New Roman"/>
          <w:sz w:val="20"/>
          <w:szCs w:val="20"/>
          <w:lang w:val="en-GB"/>
        </w:rPr>
        <w:t>and</w:t>
      </w:r>
      <w:r w:rsidR="008661CB">
        <w:rPr>
          <w:rFonts w:ascii="Times New Roman" w:hAnsi="Times New Roman" w:eastAsia="Cambria" w:cs="Times New Roman"/>
          <w:sz w:val="20"/>
          <w:szCs w:val="20"/>
          <w:lang w:val="en-GB"/>
        </w:rPr>
        <w:t>-</w:t>
      </w:r>
      <w:r w:rsidR="00045F3F">
        <w:rPr>
          <w:rFonts w:ascii="Times New Roman" w:hAnsi="Times New Roman" w:eastAsia="Cambria" w:cs="Times New Roman"/>
          <w:sz w:val="20"/>
          <w:szCs w:val="20"/>
          <w:lang w:val="en-GB"/>
        </w:rPr>
        <w:t>N</w:t>
      </w:r>
      <w:r w:rsidRPr="005F5507" w:rsidR="004120C1">
        <w:rPr>
          <w:rFonts w:ascii="Times New Roman" w:hAnsi="Times New Roman" w:eastAsia="Cambria" w:cs="Times New Roman"/>
          <w:sz w:val="20"/>
          <w:szCs w:val="20"/>
          <w:lang w:val="en-GB"/>
        </w:rPr>
        <w:t>ot-</w:t>
      </w:r>
      <w:r w:rsidR="00045F3F">
        <w:rPr>
          <w:rFonts w:ascii="Times New Roman" w:hAnsi="Times New Roman" w:eastAsia="Cambria" w:cs="Times New Roman"/>
          <w:sz w:val="20"/>
          <w:szCs w:val="20"/>
          <w:lang w:val="en-GB"/>
        </w:rPr>
        <w:t>P</w:t>
      </w:r>
      <w:r w:rsidRPr="005F5507" w:rsidR="004120C1">
        <w:rPr>
          <w:rFonts w:ascii="Times New Roman" w:hAnsi="Times New Roman" w:eastAsia="Cambria" w:cs="Times New Roman"/>
          <w:sz w:val="20"/>
          <w:szCs w:val="20"/>
          <w:lang w:val="en-GB"/>
        </w:rPr>
        <w:t>r</w:t>
      </w:r>
      <w:r w:rsidR="00045F3F">
        <w:rPr>
          <w:rFonts w:ascii="Times New Roman" w:hAnsi="Times New Roman" w:eastAsia="Cambria" w:cs="Times New Roman"/>
          <w:sz w:val="20"/>
          <w:szCs w:val="20"/>
          <w:lang w:val="en-GB"/>
        </w:rPr>
        <w:t>eferential</w:t>
      </w:r>
      <w:r w:rsidRPr="005F5507" w:rsidR="004120C1">
        <w:rPr>
          <w:rFonts w:ascii="Times New Roman" w:hAnsi="Times New Roman" w:eastAsia="Cambria" w:cs="Times New Roman"/>
          <w:sz w:val="20"/>
          <w:szCs w:val="20"/>
          <w:lang w:val="en-GB"/>
        </w:rPr>
        <w:t xml:space="preserve"> </w:t>
      </w:r>
      <w:r w:rsidRPr="005F5507">
        <w:rPr>
          <w:rFonts w:ascii="Times New Roman" w:hAnsi="Times New Roman" w:eastAsia="Cambria" w:cs="Times New Roman"/>
          <w:sz w:val="20"/>
          <w:szCs w:val="20"/>
          <w:lang w:val="en-GB"/>
        </w:rPr>
        <w:t xml:space="preserve">deposits </w:t>
      </w:r>
      <w:r w:rsidRPr="004A7776" w:rsidR="004A7776">
        <w:rPr>
          <w:rFonts w:ascii="Times New Roman" w:hAnsi="Times New Roman" w:eastAsia="Cambria" w:cs="Times New Roman"/>
          <w:sz w:val="20"/>
          <w:szCs w:val="20"/>
          <w:lang w:val="en-GB"/>
        </w:rPr>
        <w:t>(as defined by Z02.00-r0320)</w:t>
      </w:r>
      <w:r w:rsidR="004A7776">
        <w:rPr>
          <w:rFonts w:ascii="Times New Roman" w:hAnsi="Times New Roman" w:eastAsia="Cambria" w:cs="Times New Roman"/>
          <w:sz w:val="20"/>
          <w:szCs w:val="20"/>
          <w:lang w:val="en-GB"/>
        </w:rPr>
        <w:t xml:space="preserve"> </w:t>
      </w:r>
      <w:r w:rsidRPr="005F5507">
        <w:rPr>
          <w:rFonts w:ascii="Times New Roman" w:hAnsi="Times New Roman" w:eastAsia="Cambria" w:cs="Times New Roman"/>
          <w:sz w:val="20"/>
          <w:szCs w:val="20"/>
          <w:lang w:val="en-GB"/>
        </w:rPr>
        <w:t>with a residual maturity of less than 1 year</w:t>
      </w:r>
      <w:r w:rsidRPr="005F5507" w:rsidR="00DE78F0">
        <w:rPr>
          <w:rFonts w:ascii="Times New Roman" w:hAnsi="Times New Roman" w:eastAsia="Cambria" w:cs="Times New Roman"/>
          <w:sz w:val="20"/>
          <w:szCs w:val="20"/>
          <w:lang w:val="en-GB"/>
        </w:rPr>
        <w:t>,</w:t>
      </w:r>
      <w:r w:rsidRPr="005F5507">
        <w:rPr>
          <w:rFonts w:ascii="Times New Roman" w:hAnsi="Times New Roman" w:eastAsia="Cambria" w:cs="Times New Roman"/>
          <w:sz w:val="20"/>
          <w:szCs w:val="20"/>
          <w:lang w:val="en-GB"/>
        </w:rPr>
        <w:t xml:space="preserve"> all covered deposits and Not</w:t>
      </w:r>
      <w:r w:rsidR="008661CB">
        <w:rPr>
          <w:rFonts w:ascii="Times New Roman" w:hAnsi="Times New Roman" w:eastAsia="Cambria" w:cs="Times New Roman"/>
          <w:sz w:val="20"/>
          <w:szCs w:val="20"/>
          <w:lang w:val="en-GB"/>
        </w:rPr>
        <w:t>-</w:t>
      </w:r>
      <w:r w:rsidRPr="005F5507">
        <w:rPr>
          <w:rFonts w:ascii="Times New Roman" w:hAnsi="Times New Roman" w:eastAsia="Cambria" w:cs="Times New Roman"/>
          <w:sz w:val="20"/>
          <w:szCs w:val="20"/>
          <w:lang w:val="en-GB"/>
        </w:rPr>
        <w:t>Covered</w:t>
      </w:r>
      <w:r w:rsidR="008661CB">
        <w:rPr>
          <w:rFonts w:ascii="Times New Roman" w:hAnsi="Times New Roman" w:eastAsia="Cambria" w:cs="Times New Roman"/>
          <w:sz w:val="20"/>
          <w:szCs w:val="20"/>
          <w:lang w:val="en-GB"/>
        </w:rPr>
        <w:t>-</w:t>
      </w:r>
      <w:r w:rsidRPr="005F5507">
        <w:rPr>
          <w:rFonts w:ascii="Times New Roman" w:hAnsi="Times New Roman" w:eastAsia="Cambria" w:cs="Times New Roman"/>
          <w:sz w:val="20"/>
          <w:szCs w:val="20"/>
          <w:lang w:val="en-GB"/>
        </w:rPr>
        <w:t>but</w:t>
      </w:r>
      <w:r w:rsidR="008661CB">
        <w:rPr>
          <w:rFonts w:ascii="Times New Roman" w:hAnsi="Times New Roman" w:eastAsia="Cambria" w:cs="Times New Roman"/>
          <w:sz w:val="20"/>
          <w:szCs w:val="20"/>
          <w:lang w:val="en-GB"/>
        </w:rPr>
        <w:t>-</w:t>
      </w:r>
      <w:r w:rsidRPr="005F5507">
        <w:rPr>
          <w:rFonts w:ascii="Times New Roman" w:hAnsi="Times New Roman" w:eastAsia="Cambria" w:cs="Times New Roman"/>
          <w:sz w:val="20"/>
          <w:szCs w:val="20"/>
          <w:lang w:val="en-GB"/>
        </w:rPr>
        <w:t>Preferential deposits (</w:t>
      </w:r>
      <w:r w:rsidRPr="004A7776" w:rsidR="004A7776">
        <w:rPr>
          <w:rFonts w:ascii="Times New Roman" w:hAnsi="Times New Roman" w:eastAsia="Cambria" w:cs="Times New Roman"/>
          <w:sz w:val="20"/>
          <w:szCs w:val="20"/>
          <w:lang w:val="en-GB"/>
        </w:rPr>
        <w:t>as defined by Z02.00-r0310</w:t>
      </w:r>
      <w:r w:rsidR="004A7776">
        <w:rPr>
          <w:rFonts w:ascii="Times New Roman" w:hAnsi="Times New Roman" w:eastAsia="Cambria" w:cs="Times New Roman"/>
          <w:sz w:val="20"/>
          <w:szCs w:val="20"/>
          <w:lang w:val="en-GB"/>
        </w:rPr>
        <w:t xml:space="preserve"> and </w:t>
      </w:r>
      <w:r w:rsidRPr="005F5507">
        <w:rPr>
          <w:rFonts w:ascii="Times New Roman" w:hAnsi="Times New Roman" w:eastAsia="Cambria" w:cs="Times New Roman"/>
          <w:sz w:val="20"/>
          <w:szCs w:val="20"/>
          <w:lang w:val="en-GB"/>
        </w:rPr>
        <w:t>regardless of their residual maturity), by</w:t>
      </w:r>
      <w:r w:rsidRPr="005F5507" w:rsidR="00912244">
        <w:rPr>
          <w:rFonts w:ascii="Times New Roman" w:hAnsi="Times New Roman" w:eastAsia="Cambria" w:cs="Times New Roman"/>
          <w:sz w:val="20"/>
          <w:szCs w:val="20"/>
          <w:lang w:val="en-GB"/>
        </w:rPr>
        <w:t xml:space="preserve"> category of liability (column 0020),</w:t>
      </w:r>
      <w:r w:rsidRPr="005F5507">
        <w:rPr>
          <w:rFonts w:ascii="Times New Roman" w:hAnsi="Times New Roman" w:eastAsia="Cambria" w:cs="Times New Roman"/>
          <w:sz w:val="20"/>
          <w:szCs w:val="20"/>
          <w:lang w:val="en-GB"/>
        </w:rPr>
        <w:t xml:space="preserve"> counterparty type (column 0025)</w:t>
      </w:r>
      <w:r w:rsidRPr="005F5507" w:rsidR="00E02B92">
        <w:rPr>
          <w:rFonts w:ascii="Times New Roman" w:hAnsi="Times New Roman" w:eastAsia="Cambria" w:cs="Times New Roman"/>
          <w:sz w:val="20"/>
          <w:szCs w:val="20"/>
          <w:lang w:val="en-GB"/>
        </w:rPr>
        <w:t xml:space="preserve"> and</w:t>
      </w:r>
      <w:r w:rsidRPr="005F5507">
        <w:rPr>
          <w:rFonts w:ascii="Times New Roman" w:hAnsi="Times New Roman" w:eastAsia="Cambria" w:cs="Times New Roman"/>
          <w:sz w:val="20"/>
          <w:szCs w:val="20"/>
          <w:lang w:val="en-GB"/>
        </w:rPr>
        <w:t xml:space="preserve"> insolvency ranking (column 0030).</w:t>
      </w:r>
      <w:r w:rsidRPr="005F5507" w:rsidR="004120C1">
        <w:rPr>
          <w:rFonts w:ascii="Times New Roman" w:hAnsi="Times New Roman" w:eastAsia="Cambria" w:cs="Times New Roman"/>
          <w:sz w:val="20"/>
          <w:szCs w:val="20"/>
          <w:lang w:val="en-GB"/>
        </w:rPr>
        <w:t xml:space="preserve"> </w:t>
      </w:r>
      <w:r w:rsidRPr="005F5507" w:rsidR="00E02B92">
        <w:rPr>
          <w:rFonts w:ascii="Times New Roman" w:hAnsi="Times New Roman" w:eastAsia="Cambria" w:cs="Times New Roman"/>
          <w:sz w:val="20"/>
          <w:szCs w:val="20"/>
          <w:lang w:val="en-GB"/>
        </w:rPr>
        <w:t>Not-Covered</w:t>
      </w:r>
      <w:r w:rsidR="008661CB">
        <w:rPr>
          <w:rFonts w:ascii="Times New Roman" w:hAnsi="Times New Roman" w:eastAsia="Cambria" w:cs="Times New Roman"/>
          <w:sz w:val="20"/>
          <w:szCs w:val="20"/>
          <w:lang w:val="en-GB"/>
        </w:rPr>
        <w:t>-and-</w:t>
      </w:r>
      <w:r w:rsidRPr="005F5507" w:rsidR="00E02B92">
        <w:rPr>
          <w:rFonts w:ascii="Times New Roman" w:hAnsi="Times New Roman" w:eastAsia="Cambria" w:cs="Times New Roman"/>
          <w:sz w:val="20"/>
          <w:szCs w:val="20"/>
          <w:lang w:val="en-GB"/>
        </w:rPr>
        <w:t xml:space="preserve">Not-Preferred </w:t>
      </w:r>
      <w:r w:rsidRPr="005F5507">
        <w:rPr>
          <w:rFonts w:ascii="Times New Roman" w:hAnsi="Times New Roman" w:eastAsia="Cambria" w:cs="Times New Roman"/>
          <w:sz w:val="20"/>
          <w:szCs w:val="20"/>
          <w:lang w:val="en-GB"/>
        </w:rPr>
        <w:t xml:space="preserve">deposits with a residual maturity </w:t>
      </w:r>
      <w:r w:rsidR="00F301AB">
        <w:rPr>
          <w:rFonts w:ascii="Times New Roman" w:hAnsi="Times New Roman" w:eastAsia="Cambria" w:cs="Times New Roman"/>
          <w:sz w:val="20"/>
          <w:szCs w:val="20"/>
          <w:lang w:val="en-GB"/>
        </w:rPr>
        <w:t xml:space="preserve">greater than or equal to </w:t>
      </w:r>
      <w:r w:rsidRPr="005F5507">
        <w:rPr>
          <w:rFonts w:ascii="Times New Roman" w:hAnsi="Times New Roman" w:eastAsia="Cambria" w:cs="Times New Roman"/>
          <w:sz w:val="20"/>
          <w:szCs w:val="20"/>
          <w:lang w:val="en-GB"/>
        </w:rPr>
        <w:t xml:space="preserve">1 year must be reported </w:t>
      </w:r>
      <w:r w:rsidRPr="005F5507" w:rsidR="00CC7C42">
        <w:rPr>
          <w:rFonts w:ascii="Times New Roman" w:hAnsi="Times New Roman" w:eastAsia="Cambria" w:cs="Times New Roman"/>
          <w:sz w:val="20"/>
          <w:szCs w:val="20"/>
          <w:lang w:val="en-GB"/>
        </w:rPr>
        <w:t xml:space="preserve">as </w:t>
      </w:r>
      <w:r w:rsidRPr="005F5507">
        <w:rPr>
          <w:rFonts w:ascii="Times New Roman" w:hAnsi="Times New Roman" w:eastAsia="Cambria" w:cs="Times New Roman"/>
          <w:sz w:val="20"/>
          <w:szCs w:val="20"/>
          <w:lang w:val="en-GB"/>
        </w:rPr>
        <w:t xml:space="preserve">an individual </w:t>
      </w:r>
      <w:r w:rsidRPr="005F5507" w:rsidR="008E145C">
        <w:rPr>
          <w:rFonts w:ascii="Times New Roman" w:hAnsi="Times New Roman" w:eastAsia="Cambria" w:cs="Times New Roman"/>
          <w:sz w:val="20"/>
          <w:szCs w:val="20"/>
          <w:lang w:val="en-GB"/>
        </w:rPr>
        <w:t>line</w:t>
      </w:r>
      <w:r w:rsidRPr="005F5507">
        <w:rPr>
          <w:rFonts w:ascii="Times New Roman" w:hAnsi="Times New Roman" w:eastAsia="Cambria" w:cs="Times New Roman"/>
          <w:sz w:val="20"/>
          <w:szCs w:val="20"/>
          <w:lang w:val="en-GB"/>
        </w:rPr>
        <w:t xml:space="preserve"> item</w:t>
      </w:r>
      <w:r w:rsidRPr="005F5507" w:rsidR="00CC7C42">
        <w:rPr>
          <w:rFonts w:ascii="Times New Roman" w:hAnsi="Times New Roman" w:eastAsia="Cambria" w:cs="Times New Roman"/>
          <w:sz w:val="20"/>
          <w:szCs w:val="20"/>
          <w:lang w:val="en-GB"/>
        </w:rPr>
        <w:t xml:space="preserve"> with regard of all the requested fields</w:t>
      </w:r>
      <w:r w:rsidRPr="005F5507">
        <w:rPr>
          <w:rFonts w:ascii="Times New Roman" w:hAnsi="Times New Roman" w:eastAsia="Cambria" w:cs="Times New Roman"/>
          <w:sz w:val="20"/>
          <w:szCs w:val="20"/>
          <w:lang w:val="en-GB"/>
        </w:rPr>
        <w:t xml:space="preserve">. </w:t>
      </w:r>
    </w:p>
    <w:p w:rsidRPr="005F5507" w:rsidR="00211774" w:rsidP="005F5507" w:rsidRDefault="00D86F21" w14:paraId="70CBDD8B" w14:textId="082F85E7">
      <w:pPr>
        <w:pStyle w:val="InstructionsText2"/>
        <w:numPr>
          <w:ilvl w:val="2"/>
          <w:numId w:val="209"/>
        </w:numPr>
        <w:spacing w:before="0"/>
        <w:ind w:left="1418"/>
        <w:rPr>
          <w:rFonts w:ascii="Times New Roman" w:hAnsi="Times New Roman" w:eastAsia="Cambria" w:cs="Times New Roman"/>
          <w:sz w:val="20"/>
          <w:szCs w:val="20"/>
          <w:lang w:val="en-GB"/>
        </w:rPr>
      </w:pPr>
      <w:r>
        <w:rPr>
          <w:rFonts w:ascii="Times New Roman" w:hAnsi="Times New Roman" w:eastAsia="Cambria" w:cs="Times New Roman"/>
          <w:sz w:val="20"/>
          <w:szCs w:val="20"/>
          <w:lang w:val="en-GB"/>
        </w:rPr>
        <w:t>Notwithstanding point 67), e</w:t>
      </w:r>
      <w:r w:rsidRPr="005F5507" w:rsidR="00C40A76">
        <w:rPr>
          <w:rFonts w:ascii="Times New Roman" w:hAnsi="Times New Roman" w:eastAsia="Cambria" w:cs="Times New Roman"/>
          <w:sz w:val="20"/>
          <w:szCs w:val="20"/>
          <w:lang w:val="en-GB"/>
        </w:rPr>
        <w:t>ach</w:t>
      </w:r>
      <w:r w:rsidRPr="005F5507" w:rsidR="00211774">
        <w:rPr>
          <w:rFonts w:ascii="Times New Roman" w:hAnsi="Times New Roman" w:eastAsia="Cambria" w:cs="Times New Roman"/>
          <w:sz w:val="20"/>
          <w:szCs w:val="20"/>
          <w:lang w:val="en-GB"/>
        </w:rPr>
        <w:t xml:space="preserve"> deposit</w:t>
      </w:r>
      <w:r w:rsidRPr="005F5507" w:rsidR="00C40A76">
        <w:rPr>
          <w:rFonts w:ascii="Times New Roman" w:hAnsi="Times New Roman" w:eastAsia="Cambria" w:cs="Times New Roman"/>
          <w:sz w:val="20"/>
          <w:szCs w:val="20"/>
          <w:lang w:val="en-GB"/>
        </w:rPr>
        <w:t xml:space="preserve"> from a credit institution</w:t>
      </w:r>
      <w:r w:rsidRPr="005F5507" w:rsidR="00211774">
        <w:rPr>
          <w:rFonts w:ascii="Times New Roman" w:hAnsi="Times New Roman" w:eastAsia="Cambria" w:cs="Times New Roman"/>
          <w:sz w:val="20"/>
          <w:szCs w:val="20"/>
          <w:lang w:val="en-GB"/>
        </w:rPr>
        <w:t xml:space="preserve">, </w:t>
      </w:r>
      <w:r w:rsidRPr="005F5507" w:rsidR="00594D87">
        <w:rPr>
          <w:rFonts w:ascii="Times New Roman" w:hAnsi="Times New Roman" w:eastAsia="Cambria" w:cs="Times New Roman"/>
          <w:sz w:val="20"/>
          <w:szCs w:val="20"/>
          <w:lang w:val="en-GB"/>
        </w:rPr>
        <w:t>with a</w:t>
      </w:r>
      <w:r w:rsidRPr="005F5507" w:rsidR="00211774">
        <w:rPr>
          <w:rFonts w:ascii="Times New Roman" w:hAnsi="Times New Roman" w:eastAsia="Cambria" w:cs="Times New Roman"/>
          <w:sz w:val="20"/>
          <w:szCs w:val="20"/>
          <w:lang w:val="en-GB"/>
        </w:rPr>
        <w:t xml:space="preserve"> residual maturity</w:t>
      </w:r>
      <w:r w:rsidRPr="005F5507" w:rsidR="00594D87">
        <w:rPr>
          <w:rFonts w:ascii="Times New Roman" w:hAnsi="Times New Roman" w:eastAsia="Cambria" w:cs="Times New Roman"/>
          <w:sz w:val="20"/>
          <w:szCs w:val="20"/>
          <w:lang w:val="en-GB"/>
        </w:rPr>
        <w:t xml:space="preserve"> </w:t>
      </w:r>
      <w:r w:rsidR="00F301AB">
        <w:rPr>
          <w:rFonts w:ascii="Times New Roman" w:hAnsi="Times New Roman" w:eastAsia="Cambria" w:cs="Times New Roman"/>
          <w:sz w:val="20"/>
          <w:szCs w:val="20"/>
          <w:lang w:val="en-GB"/>
        </w:rPr>
        <w:t xml:space="preserve">greater than </w:t>
      </w:r>
      <w:r w:rsidRPr="005F5507" w:rsidR="00594D87">
        <w:rPr>
          <w:rFonts w:ascii="Times New Roman" w:hAnsi="Times New Roman" w:eastAsia="Cambria" w:cs="Times New Roman"/>
          <w:sz w:val="20"/>
          <w:szCs w:val="20"/>
          <w:lang w:val="en-GB"/>
        </w:rPr>
        <w:t>7 days, and regardless of</w:t>
      </w:r>
      <w:r w:rsidRPr="005F5507" w:rsidR="00211774">
        <w:rPr>
          <w:rFonts w:ascii="Times New Roman" w:hAnsi="Times New Roman" w:eastAsia="Cambria" w:cs="Times New Roman"/>
          <w:sz w:val="20"/>
          <w:szCs w:val="20"/>
          <w:lang w:val="en-GB"/>
        </w:rPr>
        <w:t xml:space="preserve"> the type of deposit, must be reported as an individual </w:t>
      </w:r>
      <w:r w:rsidRPr="005F5507" w:rsidR="008E145C">
        <w:rPr>
          <w:rFonts w:ascii="Times New Roman" w:hAnsi="Times New Roman" w:eastAsia="Cambria" w:cs="Times New Roman"/>
          <w:sz w:val="20"/>
          <w:szCs w:val="20"/>
          <w:lang w:val="en-GB"/>
        </w:rPr>
        <w:t>line</w:t>
      </w:r>
      <w:r w:rsidRPr="005F5507" w:rsidR="00211774">
        <w:rPr>
          <w:rFonts w:ascii="Times New Roman" w:hAnsi="Times New Roman" w:eastAsia="Cambria" w:cs="Times New Roman"/>
          <w:sz w:val="20"/>
          <w:szCs w:val="20"/>
          <w:lang w:val="en-GB"/>
        </w:rPr>
        <w:t xml:space="preserve"> item</w:t>
      </w:r>
      <w:r w:rsidRPr="005F5507" w:rsidR="00C40A76">
        <w:rPr>
          <w:rFonts w:ascii="Times New Roman" w:hAnsi="Times New Roman" w:cs="Times New Roman"/>
        </w:rPr>
        <w:t xml:space="preserve"> </w:t>
      </w:r>
      <w:r w:rsidRPr="005F5507" w:rsidR="00C40A76">
        <w:rPr>
          <w:rFonts w:ascii="Times New Roman" w:hAnsi="Times New Roman" w:eastAsia="Cambria" w:cs="Times New Roman"/>
          <w:sz w:val="20"/>
          <w:szCs w:val="20"/>
          <w:lang w:val="en-GB"/>
        </w:rPr>
        <w:t>with regard of all the requested fields</w:t>
      </w:r>
      <w:r w:rsidRPr="005F5507" w:rsidR="00211774">
        <w:rPr>
          <w:rFonts w:ascii="Times New Roman" w:hAnsi="Times New Roman" w:eastAsia="Cambria" w:cs="Times New Roman"/>
          <w:sz w:val="20"/>
          <w:szCs w:val="20"/>
          <w:lang w:val="en-GB"/>
        </w:rPr>
        <w:t>.</w:t>
      </w:r>
      <w:r w:rsidRPr="005F5507" w:rsidR="001A299F">
        <w:rPr>
          <w:rFonts w:ascii="Times New Roman" w:hAnsi="Times New Roman" w:eastAsia="Cambria" w:cs="Times New Roman"/>
          <w:sz w:val="20"/>
          <w:szCs w:val="20"/>
          <w:lang w:val="en-GB"/>
        </w:rPr>
        <w:t xml:space="preserve"> </w:t>
      </w:r>
      <w:r w:rsidR="00F301AB">
        <w:rPr>
          <w:rFonts w:ascii="Times New Roman" w:hAnsi="Times New Roman" w:eastAsia="Cambria" w:cs="Times New Roman"/>
          <w:sz w:val="20"/>
          <w:szCs w:val="20"/>
          <w:lang w:val="en-GB"/>
        </w:rPr>
        <w:t>For instance single</w:t>
      </w:r>
      <w:r w:rsidRPr="005F5507" w:rsidR="001A299F">
        <w:rPr>
          <w:rFonts w:ascii="Times New Roman" w:hAnsi="Times New Roman" w:eastAsia="Cambria" w:cs="Times New Roman"/>
          <w:sz w:val="20"/>
          <w:szCs w:val="20"/>
          <w:lang w:val="en-GB"/>
        </w:rPr>
        <w:t xml:space="preserve"> transaction must be reported in multiple </w:t>
      </w:r>
      <w:r w:rsidRPr="005F5507" w:rsidR="008E145C">
        <w:rPr>
          <w:rFonts w:ascii="Times New Roman" w:hAnsi="Times New Roman" w:eastAsia="Cambria" w:cs="Times New Roman"/>
          <w:sz w:val="20"/>
          <w:szCs w:val="20"/>
          <w:lang w:val="en-GB"/>
        </w:rPr>
        <w:t>line</w:t>
      </w:r>
      <w:r w:rsidRPr="005F5507" w:rsidR="001A299F">
        <w:rPr>
          <w:rFonts w:ascii="Times New Roman" w:hAnsi="Times New Roman" w:eastAsia="Cambria" w:cs="Times New Roman"/>
          <w:sz w:val="20"/>
          <w:szCs w:val="20"/>
          <w:lang w:val="en-GB"/>
        </w:rPr>
        <w:t xml:space="preserve"> items in case </w:t>
      </w:r>
      <w:r w:rsidR="00F301AB">
        <w:rPr>
          <w:rFonts w:ascii="Times New Roman" w:hAnsi="Times New Roman" w:eastAsia="Cambria" w:cs="Times New Roman"/>
          <w:sz w:val="20"/>
          <w:szCs w:val="20"/>
          <w:lang w:val="en-GB"/>
        </w:rPr>
        <w:t>it</w:t>
      </w:r>
      <w:r w:rsidRPr="005F5507" w:rsidR="001A299F">
        <w:rPr>
          <w:rFonts w:ascii="Times New Roman" w:hAnsi="Times New Roman" w:eastAsia="Cambria" w:cs="Times New Roman"/>
          <w:sz w:val="20"/>
          <w:szCs w:val="20"/>
          <w:lang w:val="en-GB"/>
        </w:rPr>
        <w:t xml:space="preserve"> pertain</w:t>
      </w:r>
      <w:r w:rsidR="00F301AB">
        <w:rPr>
          <w:rFonts w:ascii="Times New Roman" w:hAnsi="Times New Roman" w:eastAsia="Cambria" w:cs="Times New Roman"/>
          <w:sz w:val="20"/>
          <w:szCs w:val="20"/>
          <w:lang w:val="en-GB"/>
        </w:rPr>
        <w:t>s</w:t>
      </w:r>
      <w:r w:rsidRPr="005F5507" w:rsidR="001A299F">
        <w:rPr>
          <w:rFonts w:ascii="Times New Roman" w:hAnsi="Times New Roman" w:eastAsia="Cambria" w:cs="Times New Roman"/>
          <w:sz w:val="20"/>
          <w:szCs w:val="20"/>
          <w:lang w:val="en-GB"/>
        </w:rPr>
        <w:t xml:space="preserve"> to different insolvency rankings.</w:t>
      </w:r>
    </w:p>
    <w:p w:rsidRPr="005F5507" w:rsidR="00211774" w:rsidP="005F5507" w:rsidRDefault="00211774" w14:paraId="11593E0F" w14:textId="419E8E29">
      <w:pPr>
        <w:pStyle w:val="InstructionsText2"/>
        <w:numPr>
          <w:ilvl w:val="2"/>
          <w:numId w:val="209"/>
        </w:numPr>
        <w:spacing w:before="0"/>
        <w:ind w:left="1418"/>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 xml:space="preserve">All other deposits not explicitly </w:t>
      </w:r>
      <w:r w:rsidRPr="005F5507" w:rsidR="00C40A76">
        <w:rPr>
          <w:rFonts w:ascii="Times New Roman" w:hAnsi="Times New Roman" w:eastAsia="Cambria" w:cs="Times New Roman"/>
          <w:sz w:val="20"/>
          <w:szCs w:val="20"/>
          <w:lang w:val="en-GB"/>
        </w:rPr>
        <w:t>referenced</w:t>
      </w:r>
      <w:r w:rsidRPr="005F5507">
        <w:rPr>
          <w:rFonts w:ascii="Times New Roman" w:hAnsi="Times New Roman" w:eastAsia="Cambria" w:cs="Times New Roman"/>
          <w:sz w:val="20"/>
          <w:szCs w:val="20"/>
          <w:lang w:val="en-GB"/>
        </w:rPr>
        <w:t xml:space="preserve"> above, must be reported as an individual </w:t>
      </w:r>
      <w:r w:rsidRPr="005F5507" w:rsidR="008E145C">
        <w:rPr>
          <w:rFonts w:ascii="Times New Roman" w:hAnsi="Times New Roman" w:eastAsia="Cambria" w:cs="Times New Roman"/>
          <w:sz w:val="20"/>
          <w:szCs w:val="20"/>
          <w:lang w:val="en-GB"/>
        </w:rPr>
        <w:t>line</w:t>
      </w:r>
      <w:r w:rsidRPr="005F5507">
        <w:rPr>
          <w:rFonts w:ascii="Times New Roman" w:hAnsi="Times New Roman" w:eastAsia="Cambria" w:cs="Times New Roman"/>
          <w:sz w:val="20"/>
          <w:szCs w:val="20"/>
          <w:lang w:val="en-GB"/>
        </w:rPr>
        <w:t xml:space="preserve"> item</w:t>
      </w:r>
      <w:r w:rsidRPr="005F5507" w:rsidR="00C40A76">
        <w:rPr>
          <w:rFonts w:ascii="Times New Roman" w:hAnsi="Times New Roman" w:cs="Times New Roman"/>
        </w:rPr>
        <w:t xml:space="preserve"> </w:t>
      </w:r>
      <w:r w:rsidRPr="005F5507" w:rsidR="00C40A76">
        <w:rPr>
          <w:rFonts w:ascii="Times New Roman" w:hAnsi="Times New Roman" w:eastAsia="Cambria" w:cs="Times New Roman"/>
          <w:sz w:val="20"/>
          <w:szCs w:val="20"/>
          <w:lang w:val="en-GB"/>
        </w:rPr>
        <w:t>with regard of all the requested fields</w:t>
      </w:r>
      <w:r w:rsidRPr="005F5507">
        <w:rPr>
          <w:rFonts w:ascii="Times New Roman" w:hAnsi="Times New Roman" w:eastAsia="Cambria" w:cs="Times New Roman"/>
          <w:sz w:val="20"/>
          <w:szCs w:val="20"/>
          <w:lang w:val="en-GB"/>
        </w:rPr>
        <w:t>.</w:t>
      </w:r>
    </w:p>
    <w:p w:rsidRPr="00043481" w:rsidR="6A6331BF" w:rsidP="005F5507" w:rsidRDefault="6A6331BF" w14:paraId="6A63D424" w14:textId="77777777">
      <w:pPr>
        <w:pStyle w:val="InstructionsText2"/>
        <w:numPr>
          <w:ilvl w:val="0"/>
          <w:numId w:val="0"/>
        </w:numPr>
        <w:ind w:left="753"/>
        <w:rPr>
          <w:rFonts w:ascii="Times New Roman" w:hAnsi="Times New Roman" w:cs="Times New Roman"/>
          <w:color w:val="000000" w:themeColor="text1"/>
          <w:sz w:val="20"/>
          <w:szCs w:val="20"/>
          <w:u w:val="single"/>
          <w:lang w:val="en-GB"/>
        </w:rPr>
      </w:pPr>
      <w:r w:rsidRPr="005D71E0">
        <w:rPr>
          <w:rFonts w:ascii="Times New Roman" w:hAnsi="Times New Roman" w:cs="Times New Roman"/>
          <w:color w:val="000000" w:themeColor="text1"/>
          <w:sz w:val="20"/>
          <w:szCs w:val="20"/>
          <w:u w:val="single"/>
          <w:lang w:val="en-GB"/>
        </w:rPr>
        <w:t>Instructions concerning specific positions</w:t>
      </w:r>
    </w:p>
    <w:tbl>
      <w:tblPr>
        <w:tblW w:w="0" w:type="auto"/>
        <w:tblLook w:val="01E0" w:firstRow="1" w:lastRow="1" w:firstColumn="1" w:lastColumn="1" w:noHBand="0" w:noVBand="0"/>
      </w:tblPr>
      <w:tblGrid>
        <w:gridCol w:w="1188"/>
        <w:gridCol w:w="7772"/>
        <w:gridCol w:w="66"/>
      </w:tblGrid>
      <w:tr w:rsidRPr="00D43D39" w:rsidR="5E2F2DB1" w:rsidTr="005F5507" w14:paraId="6B3A1079" w14:textId="77777777">
        <w:trPr>
          <w:gridAfter w:val="1"/>
          <w:wAfter w:w="66" w:type="dxa"/>
          <w:tblHeader/>
        </w:trPr>
        <w:tc>
          <w:tcPr>
            <w:tcW w:w="1188" w:type="dxa"/>
            <w:tcBorders>
              <w:top w:val="single" w:color="1A171C" w:sz="4" w:space="0"/>
              <w:left w:val="nil"/>
              <w:bottom w:val="single" w:color="1A171C" w:sz="4" w:space="0"/>
              <w:right w:val="single" w:color="1A171C" w:sz="4" w:space="0"/>
            </w:tcBorders>
            <w:shd w:val="clear" w:color="auto" w:fill="E4E5E5"/>
          </w:tcPr>
          <w:p w:rsidRPr="00D43D39" w:rsidR="5E2F2DB1" w:rsidP="5E2F2DB1" w:rsidRDefault="5E2F2DB1" w14:paraId="260AF9D2" w14:textId="77777777">
            <w:pPr>
              <w:pStyle w:val="TableParagraph"/>
              <w:spacing w:before="108"/>
              <w:ind w:left="85"/>
              <w:rPr>
                <w:rFonts w:ascii="Times New Roman" w:hAnsi="Times New Roman" w:eastAsia="Cambria"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Columns</w:t>
            </w:r>
          </w:p>
        </w:tc>
        <w:tc>
          <w:tcPr>
            <w:tcW w:w="7772" w:type="dxa"/>
            <w:tcBorders>
              <w:top w:val="single" w:color="1A171C" w:sz="4" w:space="0"/>
              <w:left w:val="single" w:color="1A171C" w:sz="4" w:space="0"/>
              <w:bottom w:val="single" w:color="1A171C" w:sz="4" w:space="0"/>
              <w:right w:val="nil"/>
            </w:tcBorders>
            <w:shd w:val="clear" w:color="auto" w:fill="E4E5E5"/>
          </w:tcPr>
          <w:p w:rsidRPr="00D43D39" w:rsidR="5E2F2DB1" w:rsidP="5E2F2DB1" w:rsidRDefault="5E2F2DB1" w14:paraId="6702D832" w14:textId="77777777">
            <w:pPr>
              <w:pStyle w:val="TableParagraph"/>
              <w:spacing w:before="108"/>
              <w:ind w:left="85" w:right="1"/>
              <w:rPr>
                <w:rFonts w:ascii="Times New Roman" w:hAnsi="Times New Roman" w:eastAsia="Cambria" w:cs="Times New Roman"/>
                <w:color w:val="000000" w:themeColor="text1"/>
                <w:sz w:val="20"/>
                <w:szCs w:val="20"/>
                <w:lang w:val="en-GB"/>
              </w:rPr>
            </w:pPr>
            <w:r w:rsidRPr="00D43D39">
              <w:rPr>
                <w:rFonts w:ascii="Times New Roman" w:hAnsi="Times New Roman" w:eastAsia="Cambria" w:cs="Times New Roman"/>
                <w:color w:val="000000" w:themeColor="text1"/>
                <w:sz w:val="20"/>
                <w:szCs w:val="20"/>
                <w:lang w:val="en-GB"/>
              </w:rPr>
              <w:t>Instructions</w:t>
            </w:r>
          </w:p>
        </w:tc>
      </w:tr>
      <w:tr w:rsidRPr="00D43D39" w:rsidR="5E2F2DB1" w:rsidTr="005F5507" w14:paraId="3865473D"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5E89141F" w14:textId="60377C04">
            <w:pPr>
              <w:rPr>
                <w:rFonts w:ascii="Times New Roman" w:hAnsi="Times New Roman" w:cs="Times New Roman"/>
              </w:rPr>
            </w:pPr>
            <w:r w:rsidRPr="005F5507">
              <w:rPr>
                <w:rFonts w:ascii="Times New Roman" w:hAnsi="Times New Roman" w:eastAsia="Times New Roman" w:cs="Times New Roman"/>
                <w:sz w:val="20"/>
                <w:szCs w:val="20"/>
              </w:rPr>
              <w:t>0010</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43A17BC4" w14:textId="49357FDF">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N° </w:t>
            </w:r>
          </w:p>
          <w:p w:rsidRPr="005F5507" w:rsidR="5E2F2DB1" w:rsidP="005F5507" w:rsidRDefault="5E2F2DB1" w14:paraId="431A8111" w14:textId="24776980">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Unique number/primary key to identify the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w:t>
            </w:r>
          </w:p>
        </w:tc>
      </w:tr>
      <w:tr w:rsidRPr="00D43D39" w:rsidR="5E2F2DB1" w:rsidTr="005F5507" w14:paraId="25F409B5"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6D16D852" w14:textId="35C12807">
            <w:pPr>
              <w:rPr>
                <w:rFonts w:ascii="Times New Roman" w:hAnsi="Times New Roman" w:cs="Times New Roman"/>
              </w:rPr>
            </w:pPr>
            <w:r w:rsidRPr="005F5507">
              <w:rPr>
                <w:rFonts w:ascii="Times New Roman" w:hAnsi="Times New Roman" w:eastAsia="Times New Roman" w:cs="Times New Roman"/>
                <w:sz w:val="20"/>
                <w:szCs w:val="20"/>
              </w:rPr>
              <w:t>0020</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008E145C" w14:paraId="0F836BA4" w14:textId="56F422A2">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Line</w:t>
            </w:r>
            <w:r w:rsidRPr="005F5507" w:rsidR="5E2F2DB1">
              <w:rPr>
                <w:rFonts w:ascii="Times New Roman" w:hAnsi="Times New Roman" w:eastAsia="Times New Roman" w:cs="Times New Roman"/>
                <w:b/>
                <w:bCs/>
                <w:sz w:val="20"/>
                <w:szCs w:val="20"/>
              </w:rPr>
              <w:t xml:space="preserve"> </w:t>
            </w:r>
          </w:p>
          <w:p w:rsidRPr="005F5507" w:rsidR="5E2F2DB1" w:rsidP="005F5507" w:rsidRDefault="5E2F2DB1" w14:paraId="099A3DE1" w14:textId="69673E7C">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each </w:t>
            </w:r>
            <w:r w:rsidRPr="005F5507" w:rsidR="006106E1">
              <w:rPr>
                <w:rFonts w:ascii="Times New Roman" w:hAnsi="Times New Roman" w:eastAsia="Times New Roman" w:cs="Times New Roman"/>
                <w:sz w:val="20"/>
                <w:szCs w:val="20"/>
              </w:rPr>
              <w:t xml:space="preserve">reported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a reconciliation with the categor</w:t>
            </w:r>
            <w:r w:rsidRPr="005F5507" w:rsidR="006106E1">
              <w:rPr>
                <w:rFonts w:ascii="Times New Roman" w:hAnsi="Times New Roman" w:eastAsia="Times New Roman" w:cs="Times New Roman"/>
                <w:sz w:val="20"/>
                <w:szCs w:val="20"/>
              </w:rPr>
              <w:t>y</w:t>
            </w:r>
            <w:r w:rsidRPr="005F5507">
              <w:rPr>
                <w:rFonts w:ascii="Times New Roman" w:hAnsi="Times New Roman" w:eastAsia="Times New Roman" w:cs="Times New Roman"/>
                <w:sz w:val="20"/>
                <w:szCs w:val="20"/>
              </w:rPr>
              <w:t xml:space="preserve"> of liabilities of the liability structure in </w:t>
            </w:r>
            <w:r w:rsidR="00F301AB">
              <w:rPr>
                <w:rFonts w:ascii="Times New Roman" w:hAnsi="Times New Roman" w:eastAsia="Times New Roman" w:cs="Times New Roman"/>
                <w:sz w:val="20"/>
                <w:szCs w:val="20"/>
              </w:rPr>
              <w:t>Z</w:t>
            </w:r>
            <w:r w:rsidRPr="005F5507">
              <w:rPr>
                <w:rFonts w:ascii="Times New Roman" w:hAnsi="Times New Roman" w:eastAsia="Times New Roman" w:cs="Times New Roman"/>
                <w:sz w:val="20"/>
                <w:szCs w:val="20"/>
              </w:rPr>
              <w:t>0</w:t>
            </w:r>
            <w:r w:rsidR="00F301AB">
              <w:rPr>
                <w:rFonts w:ascii="Times New Roman" w:hAnsi="Times New Roman" w:eastAsia="Times New Roman" w:cs="Times New Roman"/>
                <w:sz w:val="20"/>
                <w:szCs w:val="20"/>
              </w:rPr>
              <w:t>2</w:t>
            </w:r>
            <w:r w:rsidRPr="005F5507">
              <w:rPr>
                <w:rFonts w:ascii="Times New Roman" w:hAnsi="Times New Roman" w:eastAsia="Times New Roman" w:cs="Times New Roman"/>
                <w:sz w:val="20"/>
                <w:szCs w:val="20"/>
              </w:rPr>
              <w:t>.00 has to be provided at the level of maturity from a predefined list of values.</w:t>
            </w:r>
          </w:p>
        </w:tc>
      </w:tr>
      <w:tr w:rsidRPr="00D43D39" w:rsidR="5E2F2DB1" w:rsidTr="005F5507" w14:paraId="5EF60687"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572AB5E9" w14:textId="66A30205">
            <w:pPr>
              <w:rPr>
                <w:rFonts w:ascii="Times New Roman" w:hAnsi="Times New Roman" w:cs="Times New Roman"/>
              </w:rPr>
            </w:pPr>
            <w:r w:rsidRPr="005F5507">
              <w:rPr>
                <w:rFonts w:ascii="Times New Roman" w:hAnsi="Times New Roman" w:eastAsia="Times New Roman" w:cs="Times New Roman"/>
                <w:sz w:val="20"/>
                <w:szCs w:val="20"/>
              </w:rPr>
              <w:t>0025</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7DD77D46" w14:textId="4B481180">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Column </w:t>
            </w:r>
          </w:p>
          <w:p w:rsidRPr="005F5507" w:rsidR="5E2F2DB1" w:rsidP="005F5507" w:rsidRDefault="5E2F2DB1" w14:paraId="1ED233D9" w14:textId="35F3F13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each </w:t>
            </w:r>
            <w:r w:rsidRPr="005F5507" w:rsidR="00360BE3">
              <w:rPr>
                <w:rFonts w:ascii="Times New Roman" w:hAnsi="Times New Roman" w:eastAsia="Times New Roman" w:cs="Times New Roman"/>
                <w:sz w:val="20"/>
                <w:szCs w:val="20"/>
              </w:rPr>
              <w:t xml:space="preserve">reported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a reconciliation with the counterparty class in </w:t>
            </w:r>
            <w:r w:rsidRPr="005F5507" w:rsidR="00360BE3">
              <w:rPr>
                <w:rFonts w:ascii="Times New Roman" w:hAnsi="Times New Roman" w:eastAsia="Times New Roman" w:cs="Times New Roman"/>
                <w:sz w:val="20"/>
                <w:szCs w:val="20"/>
              </w:rPr>
              <w:t>Ζ</w:t>
            </w:r>
            <w:r w:rsidRPr="005F5507">
              <w:rPr>
                <w:rFonts w:ascii="Times New Roman" w:hAnsi="Times New Roman" w:eastAsia="Times New Roman" w:cs="Times New Roman"/>
                <w:sz w:val="20"/>
                <w:szCs w:val="20"/>
              </w:rPr>
              <w:t>0</w:t>
            </w:r>
            <w:r w:rsidRPr="005F5507" w:rsidR="00360BE3">
              <w:rPr>
                <w:rFonts w:ascii="Times New Roman" w:hAnsi="Times New Roman" w:eastAsia="Times New Roman" w:cs="Times New Roman"/>
                <w:sz w:val="20"/>
                <w:szCs w:val="20"/>
              </w:rPr>
              <w:t>2</w:t>
            </w:r>
            <w:r w:rsidRPr="005F5507">
              <w:rPr>
                <w:rFonts w:ascii="Times New Roman" w:hAnsi="Times New Roman" w:eastAsia="Times New Roman" w:cs="Times New Roman"/>
                <w:sz w:val="20"/>
                <w:szCs w:val="20"/>
              </w:rPr>
              <w:t>.00 to which the deposit is owed has to be provided from predefined list of values.</w:t>
            </w:r>
          </w:p>
        </w:tc>
      </w:tr>
      <w:tr w:rsidRPr="00D43D39" w:rsidR="5E2F2DB1" w:rsidTr="005F5507" w14:paraId="79B06505"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2613FE4C" w14:textId="0485F4D9">
            <w:pPr>
              <w:rPr>
                <w:rFonts w:ascii="Times New Roman" w:hAnsi="Times New Roman" w:cs="Times New Roman"/>
              </w:rPr>
            </w:pPr>
            <w:r w:rsidRPr="005F5507">
              <w:rPr>
                <w:rFonts w:ascii="Times New Roman" w:hAnsi="Times New Roman" w:eastAsia="Times New Roman" w:cs="Times New Roman"/>
                <w:sz w:val="20"/>
                <w:szCs w:val="20"/>
              </w:rPr>
              <w:t>0030</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71A993E4" w14:textId="4B91A34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Insolvency </w:t>
            </w:r>
            <w:r w:rsidRPr="005F5507" w:rsidR="003E0867">
              <w:rPr>
                <w:rFonts w:ascii="Times New Roman" w:hAnsi="Times New Roman" w:eastAsia="Times New Roman" w:cs="Times New Roman"/>
                <w:b/>
                <w:bCs/>
                <w:sz w:val="20"/>
                <w:szCs w:val="20"/>
              </w:rPr>
              <w:t>ranking</w:t>
            </w:r>
            <w:r w:rsidRPr="005F5507">
              <w:rPr>
                <w:rFonts w:ascii="Times New Roman" w:hAnsi="Times New Roman" w:eastAsia="Times New Roman" w:cs="Times New Roman"/>
                <w:b/>
                <w:bCs/>
                <w:sz w:val="20"/>
                <w:szCs w:val="20"/>
              </w:rPr>
              <w:t xml:space="preserve">  </w:t>
            </w:r>
          </w:p>
          <w:p w:rsidRPr="005F5507" w:rsidR="5E2F2DB1" w:rsidP="005F5507" w:rsidRDefault="00F301AB" w14:paraId="5B3D2870" w14:textId="2D3204BB">
            <w:pPr>
              <w:pStyle w:val="TableParagraph"/>
              <w:spacing w:before="108"/>
              <w:ind w:left="85"/>
              <w:jc w:val="both"/>
              <w:rPr>
                <w:rFonts w:ascii="Times New Roman" w:hAnsi="Times New Roman" w:eastAsia="Times New Roman" w:cs="Times New Roman"/>
                <w:sz w:val="20"/>
                <w:szCs w:val="20"/>
              </w:rPr>
            </w:pPr>
            <w:r w:rsidRPr="00A50739">
              <w:rPr>
                <w:rFonts w:ascii="Times New Roman" w:hAnsi="Times New Roman" w:eastAsia="Times New Roman" w:cs="Times New Roman"/>
                <w:sz w:val="20"/>
                <w:szCs w:val="20"/>
              </w:rPr>
              <w:t>The insolvency rank shall be one of the ranks included in the insolvency rankings published by the resolution authority of that jurisdiction.</w:t>
            </w:r>
          </w:p>
        </w:tc>
      </w:tr>
      <w:tr w:rsidRPr="00D43D39" w:rsidR="5E2F2DB1" w:rsidTr="005F5507" w14:paraId="0098C250"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0604B0BC" w14:textId="14DBD27C">
            <w:pPr>
              <w:rPr>
                <w:rFonts w:ascii="Times New Roman" w:hAnsi="Times New Roman" w:cs="Times New Roman"/>
              </w:rPr>
            </w:pPr>
            <w:r w:rsidRPr="005F5507">
              <w:rPr>
                <w:rFonts w:ascii="Times New Roman" w:hAnsi="Times New Roman" w:eastAsia="Times New Roman" w:cs="Times New Roman"/>
                <w:sz w:val="20"/>
                <w:szCs w:val="20"/>
              </w:rPr>
              <w:t>0035</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649B1036" w14:textId="4FA85E2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Contract Identifier </w:t>
            </w:r>
          </w:p>
          <w:p w:rsidRPr="005F5507" w:rsidR="5E2F2DB1" w:rsidP="005F5507" w:rsidRDefault="5E2F2DB1" w14:paraId="62CAE85E" w14:textId="3BA23ACD">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Internal identifier of the contract.</w:t>
            </w:r>
          </w:p>
        </w:tc>
      </w:tr>
      <w:tr w:rsidRPr="00D43D39" w:rsidR="5E2F2DB1" w:rsidTr="005F5507" w14:paraId="0C8C51EC" w14:textId="77777777">
        <w:tc>
          <w:tcPr>
            <w:tcW w:w="1188" w:type="dxa"/>
            <w:vMerge w:val="restart"/>
            <w:tcBorders>
              <w:top w:val="single" w:color="1A171C" w:sz="8" w:space="0"/>
              <w:left w:val="nil"/>
              <w:bottom w:val="single" w:color="1A171C" w:sz="8" w:space="0"/>
              <w:right w:val="single" w:color="1A171C" w:sz="8" w:space="0"/>
            </w:tcBorders>
          </w:tcPr>
          <w:p w:rsidRPr="005F5507" w:rsidR="5E2F2DB1" w:rsidRDefault="5E2F2DB1" w14:paraId="6D81E81D" w14:textId="2D9B3BF0">
            <w:pPr>
              <w:rPr>
                <w:rFonts w:ascii="Times New Roman" w:hAnsi="Times New Roman" w:cs="Times New Roman"/>
              </w:rPr>
            </w:pPr>
            <w:r w:rsidRPr="005F5507">
              <w:rPr>
                <w:rFonts w:ascii="Times New Roman" w:hAnsi="Times New Roman" w:eastAsia="Times New Roman" w:cs="Times New Roman"/>
                <w:sz w:val="20"/>
                <w:szCs w:val="20"/>
              </w:rPr>
              <w:t>0040</w:t>
            </w:r>
          </w:p>
        </w:tc>
        <w:tc>
          <w:tcPr>
            <w:tcW w:w="7838" w:type="dxa"/>
            <w:gridSpan w:val="2"/>
            <w:tcBorders>
              <w:top w:val="single" w:color="1A171C" w:sz="8" w:space="0"/>
              <w:left w:val="single" w:color="1A171C" w:sz="8" w:space="0"/>
              <w:right w:val="nil"/>
            </w:tcBorders>
          </w:tcPr>
          <w:p w:rsidRPr="005F5507" w:rsidR="5E2F2DB1" w:rsidP="005F5507" w:rsidRDefault="5E2F2DB1" w14:paraId="3A945D08" w14:textId="4C753BA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Counterparty </w:t>
            </w:r>
            <w:r w:rsidRPr="005F5507" w:rsidR="00360BE3">
              <w:rPr>
                <w:rFonts w:ascii="Times New Roman" w:hAnsi="Times New Roman" w:eastAsia="Times New Roman" w:cs="Times New Roman"/>
                <w:b/>
                <w:bCs/>
                <w:sz w:val="20"/>
                <w:szCs w:val="20"/>
              </w:rPr>
              <w:t>i</w:t>
            </w:r>
            <w:r w:rsidRPr="005F5507">
              <w:rPr>
                <w:rFonts w:ascii="Times New Roman" w:hAnsi="Times New Roman" w:eastAsia="Times New Roman" w:cs="Times New Roman"/>
                <w:b/>
                <w:bCs/>
                <w:sz w:val="20"/>
                <w:szCs w:val="20"/>
              </w:rPr>
              <w:t xml:space="preserve">dentifier  </w:t>
            </w:r>
          </w:p>
          <w:p w:rsidRPr="005F5507" w:rsidR="5E2F2DB1" w:rsidP="005F5507" w:rsidRDefault="00486437" w14:paraId="3DD89E9A" w14:textId="654AECD9">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w:t>
            </w:r>
            <w:r w:rsidRPr="005F5507" w:rsidR="5E2F2DB1">
              <w:rPr>
                <w:rFonts w:ascii="Times New Roman" w:hAnsi="Times New Roman" w:eastAsia="Times New Roman" w:cs="Times New Roman"/>
                <w:sz w:val="20"/>
                <w:szCs w:val="20"/>
              </w:rPr>
              <w:t xml:space="preserve">eport the </w:t>
            </w:r>
            <w:r w:rsidRPr="005F5507" w:rsidR="00360BE3">
              <w:rPr>
                <w:rFonts w:ascii="Times New Roman" w:hAnsi="Times New Roman" w:eastAsia="Times New Roman" w:cs="Times New Roman"/>
                <w:sz w:val="20"/>
                <w:szCs w:val="20"/>
              </w:rPr>
              <w:t>deposi</w:t>
            </w:r>
            <w:r w:rsidRPr="005F5507" w:rsidR="5E2F2DB1">
              <w:rPr>
                <w:rFonts w:ascii="Times New Roman" w:hAnsi="Times New Roman" w:eastAsia="Times New Roman" w:cs="Times New Roman"/>
                <w:sz w:val="20"/>
                <w:szCs w:val="20"/>
              </w:rPr>
              <w:t xml:space="preserve">tor’s LEI code. In the absence of a LEI, in the case of banks’ </w:t>
            </w:r>
            <w:r w:rsidR="009162B4">
              <w:rPr>
                <w:rFonts w:ascii="Times New Roman" w:hAnsi="Times New Roman" w:eastAsia="Times New Roman" w:cs="Times New Roman"/>
                <w:sz w:val="20"/>
                <w:szCs w:val="20"/>
              </w:rPr>
              <w:t xml:space="preserve">report </w:t>
            </w:r>
            <w:r w:rsidRPr="005F5507" w:rsidR="5E2F2DB1">
              <w:rPr>
                <w:rFonts w:ascii="Times New Roman" w:hAnsi="Times New Roman" w:eastAsia="Times New Roman" w:cs="Times New Roman"/>
                <w:sz w:val="20"/>
                <w:szCs w:val="20"/>
              </w:rPr>
              <w:t xml:space="preserve">the ECB Monetary Financial Institutions identifier (MFI ID) used in RIAD. Exclusively in absence of both these identifiers, </w:t>
            </w:r>
            <w:r w:rsidR="005463EE">
              <w:rPr>
                <w:rFonts w:ascii="Times New Roman" w:hAnsi="Times New Roman" w:eastAsia="Times New Roman" w:cs="Times New Roman"/>
                <w:sz w:val="20"/>
                <w:szCs w:val="20"/>
              </w:rPr>
              <w:t xml:space="preserve">report </w:t>
            </w:r>
            <w:r w:rsidRPr="005F5507" w:rsidR="5E2F2DB1">
              <w:rPr>
                <w:rFonts w:ascii="Times New Roman" w:hAnsi="Times New Roman" w:eastAsia="Times New Roman" w:cs="Times New Roman"/>
                <w:sz w:val="20"/>
                <w:szCs w:val="20"/>
              </w:rPr>
              <w:t xml:space="preserve">an internal identifier (only one unique identifier </w:t>
            </w:r>
            <w:r w:rsidR="005463EE">
              <w:rPr>
                <w:rFonts w:ascii="Times New Roman" w:hAnsi="Times New Roman" w:eastAsia="Times New Roman" w:cs="Times New Roman"/>
                <w:sz w:val="20"/>
                <w:szCs w:val="20"/>
              </w:rPr>
              <w:t xml:space="preserve">is expected </w:t>
            </w:r>
            <w:r w:rsidRPr="005F5507" w:rsidR="5E2F2DB1">
              <w:rPr>
                <w:rFonts w:ascii="Times New Roman" w:hAnsi="Times New Roman" w:eastAsia="Times New Roman" w:cs="Times New Roman"/>
                <w:sz w:val="20"/>
                <w:szCs w:val="20"/>
              </w:rPr>
              <w:t xml:space="preserve">per counterpart). </w:t>
            </w:r>
          </w:p>
        </w:tc>
      </w:tr>
      <w:tr w:rsidRPr="00D43D39" w:rsidR="5E2F2DB1" w:rsidTr="005F5507" w14:paraId="5594ACB3" w14:textId="77777777">
        <w:tc>
          <w:tcPr>
            <w:tcW w:w="1188" w:type="dxa"/>
            <w:vMerge/>
            <w:tcBorders>
              <w:bottom w:val="single" w:color="auto" w:sz="4" w:space="0"/>
              <w:right w:val="single" w:color="1A171C" w:sz="8" w:space="0"/>
            </w:tcBorders>
            <w:vAlign w:val="center"/>
          </w:tcPr>
          <w:p w:rsidRPr="005F5507" w:rsidR="00404742" w:rsidRDefault="00404742" w14:paraId="3240F805" w14:textId="77777777">
            <w:pPr>
              <w:rPr>
                <w:rFonts w:ascii="Times New Roman" w:hAnsi="Times New Roman" w:cs="Times New Roman"/>
              </w:rPr>
            </w:pPr>
          </w:p>
        </w:tc>
        <w:tc>
          <w:tcPr>
            <w:tcW w:w="7838" w:type="dxa"/>
            <w:gridSpan w:val="2"/>
            <w:tcBorders>
              <w:left w:val="single" w:color="1A171C" w:sz="8" w:space="0"/>
              <w:bottom w:val="single" w:color="auto" w:sz="4" w:space="0"/>
              <w:right w:val="nil"/>
            </w:tcBorders>
          </w:tcPr>
          <w:p w:rsidRPr="005F5507" w:rsidR="5E2F2DB1" w:rsidP="005F5507" w:rsidRDefault="5E2F2DB1" w14:paraId="5E350FDF" w14:textId="20B0C7E1">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For the deposits reported on an aggregate level, indicate “0000” as this field is mandatory.</w:t>
            </w:r>
          </w:p>
        </w:tc>
      </w:tr>
      <w:tr w:rsidRPr="00D43D39" w:rsidR="5E2F2DB1" w:rsidTr="005F5507" w14:paraId="4FBC072D" w14:textId="77777777">
        <w:tc>
          <w:tcPr>
            <w:tcW w:w="1188" w:type="dxa"/>
            <w:vMerge w:val="restart"/>
            <w:tcBorders>
              <w:top w:val="single" w:color="auto" w:sz="4" w:space="0"/>
              <w:left w:val="nil"/>
              <w:bottom w:val="single" w:color="1A171C" w:sz="8" w:space="0"/>
              <w:right w:val="single" w:color="auto" w:sz="4" w:space="0"/>
            </w:tcBorders>
          </w:tcPr>
          <w:p w:rsidRPr="005F5507" w:rsidR="5E2F2DB1" w:rsidRDefault="5E2F2DB1" w14:paraId="66BFA03D" w14:textId="78CA3EBC">
            <w:pPr>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0045</w:t>
            </w:r>
          </w:p>
        </w:tc>
        <w:tc>
          <w:tcPr>
            <w:tcW w:w="7838" w:type="dxa"/>
            <w:gridSpan w:val="2"/>
            <w:tcBorders>
              <w:top w:val="single" w:color="auto" w:sz="4" w:space="0"/>
              <w:left w:val="single" w:color="auto" w:sz="4" w:space="0"/>
            </w:tcBorders>
          </w:tcPr>
          <w:p w:rsidRPr="005F5507" w:rsidR="5E2F2DB1" w:rsidP="005F5507" w:rsidRDefault="02608C44" w14:paraId="12F290EE" w14:textId="38F0B876">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Type of </w:t>
            </w:r>
            <w:r w:rsidRPr="005F5507" w:rsidR="00360BE3">
              <w:rPr>
                <w:rFonts w:ascii="Times New Roman" w:hAnsi="Times New Roman" w:eastAsia="Times New Roman" w:cs="Times New Roman"/>
                <w:b/>
                <w:bCs/>
                <w:sz w:val="20"/>
                <w:szCs w:val="20"/>
              </w:rPr>
              <w:t>i</w:t>
            </w:r>
            <w:r w:rsidRPr="005F5507">
              <w:rPr>
                <w:rFonts w:ascii="Times New Roman" w:hAnsi="Times New Roman" w:eastAsia="Times New Roman" w:cs="Times New Roman"/>
                <w:b/>
                <w:bCs/>
                <w:sz w:val="20"/>
                <w:szCs w:val="20"/>
              </w:rPr>
              <w:t>dentifier</w:t>
            </w:r>
            <w:r w:rsidRPr="005F5507" w:rsidR="5E2F2DB1">
              <w:rPr>
                <w:rFonts w:ascii="Times New Roman" w:hAnsi="Times New Roman" w:eastAsia="Times New Roman" w:cs="Times New Roman"/>
                <w:b/>
                <w:bCs/>
                <w:sz w:val="20"/>
                <w:szCs w:val="20"/>
              </w:rPr>
              <w:t xml:space="preserve"> </w:t>
            </w:r>
          </w:p>
          <w:p w:rsidRPr="005F5507" w:rsidR="5E2F2DB1" w:rsidP="005F5507" w:rsidRDefault="5E2F2DB1" w14:paraId="43B57D6C" w14:textId="60F13AA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To be chosen among the following options: “LEI code”, “MFI code” or “Type of identifier, other than LEI or MFI code”.</w:t>
            </w:r>
          </w:p>
        </w:tc>
      </w:tr>
      <w:tr w:rsidRPr="00D43D39" w:rsidR="5E2F2DB1" w:rsidTr="005F5507" w14:paraId="63FCCFF3" w14:textId="77777777">
        <w:tc>
          <w:tcPr>
            <w:tcW w:w="1188" w:type="dxa"/>
            <w:vMerge/>
            <w:tcBorders>
              <w:top w:val="single" w:color="1A171C" w:sz="8" w:space="0"/>
              <w:bottom w:val="single" w:color="auto" w:sz="4" w:space="0"/>
              <w:right w:val="single" w:color="auto" w:sz="4" w:space="0"/>
            </w:tcBorders>
            <w:vAlign w:val="center"/>
          </w:tcPr>
          <w:p w:rsidRPr="005F5507" w:rsidR="00404742" w:rsidRDefault="00404742" w14:paraId="04E4691B" w14:textId="77777777">
            <w:pPr>
              <w:rPr>
                <w:rFonts w:ascii="Times New Roman" w:hAnsi="Times New Roman" w:eastAsia="Times New Roman" w:cs="Times New Roman"/>
                <w:sz w:val="20"/>
                <w:szCs w:val="20"/>
              </w:rPr>
            </w:pPr>
          </w:p>
        </w:tc>
        <w:tc>
          <w:tcPr>
            <w:tcW w:w="7838" w:type="dxa"/>
            <w:gridSpan w:val="2"/>
            <w:tcBorders>
              <w:left w:val="single" w:color="auto" w:sz="4" w:space="0"/>
              <w:bottom w:val="single" w:color="auto" w:sz="4" w:space="0"/>
            </w:tcBorders>
          </w:tcPr>
          <w:p w:rsidRPr="005F5507" w:rsidR="5E2F2DB1" w:rsidP="005F5507" w:rsidRDefault="5E2F2DB1" w14:paraId="3ACB06CF" w14:textId="33A3A1C7">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For the deposits reported on an aggregate level, indicate “Type of identifier, other than LEI or MFI code”.</w:t>
            </w:r>
          </w:p>
        </w:tc>
      </w:tr>
      <w:tr w:rsidRPr="00D43D39" w:rsidR="5E2F2DB1" w:rsidTr="005F5507" w14:paraId="2D4D4102" w14:textId="77777777">
        <w:tc>
          <w:tcPr>
            <w:tcW w:w="1188" w:type="dxa"/>
            <w:tcBorders>
              <w:top w:val="single" w:color="auto" w:sz="4" w:space="0"/>
              <w:left w:val="nil"/>
              <w:bottom w:val="single" w:color="1A171C" w:sz="8" w:space="0"/>
              <w:right w:val="single" w:color="1A171C" w:sz="8" w:space="0"/>
            </w:tcBorders>
          </w:tcPr>
          <w:p w:rsidRPr="005F5507" w:rsidR="5E2F2DB1" w:rsidRDefault="5E2F2DB1" w14:paraId="3F0F5ADF" w14:textId="3601C46D">
            <w:pPr>
              <w:rPr>
                <w:rFonts w:ascii="Times New Roman" w:hAnsi="Times New Roman" w:cs="Times New Roman"/>
              </w:rPr>
            </w:pPr>
            <w:r w:rsidRPr="005F5507">
              <w:rPr>
                <w:rFonts w:ascii="Times New Roman" w:hAnsi="Times New Roman" w:eastAsia="Times New Roman" w:cs="Times New Roman"/>
                <w:sz w:val="20"/>
                <w:szCs w:val="20"/>
              </w:rPr>
              <w:t xml:space="preserve"> 005</w:t>
            </w:r>
          </w:p>
        </w:tc>
        <w:tc>
          <w:tcPr>
            <w:tcW w:w="7838" w:type="dxa"/>
            <w:gridSpan w:val="2"/>
            <w:tcBorders>
              <w:top w:val="single" w:color="auto" w:sz="4" w:space="0"/>
              <w:left w:val="single" w:color="1A171C" w:sz="8" w:space="0"/>
              <w:bottom w:val="single" w:color="1A171C" w:sz="8" w:space="0"/>
              <w:right w:val="nil"/>
            </w:tcBorders>
          </w:tcPr>
          <w:p w:rsidRPr="005F5507" w:rsidR="5E2F2DB1" w:rsidP="005F5507" w:rsidRDefault="5E2F2DB1" w14:paraId="0FDE554F" w14:textId="47626FAB">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Governing </w:t>
            </w:r>
            <w:r w:rsidRPr="005F5507" w:rsidR="00360BE3">
              <w:rPr>
                <w:rFonts w:ascii="Times New Roman" w:hAnsi="Times New Roman" w:eastAsia="Times New Roman" w:cs="Times New Roman"/>
                <w:b/>
                <w:bCs/>
                <w:sz w:val="20"/>
                <w:szCs w:val="20"/>
              </w:rPr>
              <w:t>l</w:t>
            </w:r>
            <w:r w:rsidRPr="005F5507">
              <w:rPr>
                <w:rFonts w:ascii="Times New Roman" w:hAnsi="Times New Roman" w:eastAsia="Times New Roman" w:cs="Times New Roman"/>
                <w:b/>
                <w:bCs/>
                <w:sz w:val="20"/>
                <w:szCs w:val="20"/>
              </w:rPr>
              <w:t xml:space="preserve">aw  </w:t>
            </w:r>
          </w:p>
          <w:p w:rsidRPr="005F5507" w:rsidR="5E2F2DB1" w:rsidP="005F5507" w:rsidRDefault="00616B40" w14:paraId="23864487" w14:textId="4E00AA9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ISO 3166-1 alpha-2 code of the country whose law governs the instrument (use the ISO 3166-2 code when the law of an administrative subdivision is relevant, e.g. ‘US-NY’). </w:t>
            </w:r>
            <w:r w:rsidRPr="005F5507" w:rsidR="5E2F2DB1">
              <w:rPr>
                <w:rFonts w:ascii="Times New Roman" w:hAnsi="Times New Roman" w:eastAsia="Times New Roman" w:cs="Times New Roman"/>
                <w:sz w:val="20"/>
                <w:szCs w:val="20"/>
              </w:rPr>
              <w:t>If the contract is governed by the law of more than one country, the country the law of which has the highest relevance for the recognition of write down and conversion powers shall be reported.  For deposits reported on an aggregate level, use the value “Other Countries”.</w:t>
            </w:r>
          </w:p>
        </w:tc>
      </w:tr>
      <w:tr w:rsidRPr="00D43D39" w:rsidR="5E2F2DB1" w:rsidTr="005F5507" w14:paraId="0E1C1F82"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6D1FEFFB" w14:textId="28AF4BF5">
            <w:pPr>
              <w:rPr>
                <w:rFonts w:ascii="Times New Roman" w:hAnsi="Times New Roman" w:cs="Times New Roman"/>
              </w:rPr>
            </w:pPr>
            <w:r w:rsidRPr="005F5507">
              <w:rPr>
                <w:rFonts w:ascii="Times New Roman" w:hAnsi="Times New Roman" w:eastAsia="Times New Roman" w:cs="Times New Roman"/>
                <w:sz w:val="20"/>
                <w:szCs w:val="20"/>
              </w:rPr>
              <w:t>0060</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41D23282" w14:textId="578A2950">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Currency  </w:t>
            </w:r>
          </w:p>
          <w:p w:rsidRPr="005F5507" w:rsidR="5E2F2DB1" w:rsidP="005F5507" w:rsidRDefault="5E2F2DB1" w14:paraId="2341DB93" w14:textId="20BB646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currency </w:t>
            </w:r>
            <w:r w:rsidRPr="005F5507" w:rsidR="00616B40">
              <w:rPr>
                <w:rFonts w:ascii="Times New Roman" w:hAnsi="Times New Roman" w:eastAsia="Times New Roman" w:cs="Times New Roman"/>
                <w:sz w:val="20"/>
                <w:szCs w:val="20"/>
              </w:rPr>
              <w:t xml:space="preserve">of </w:t>
            </w:r>
            <w:r w:rsidRPr="005F5507">
              <w:rPr>
                <w:rFonts w:ascii="Times New Roman" w:hAnsi="Times New Roman" w:eastAsia="Times New Roman" w:cs="Times New Roman"/>
                <w:sz w:val="20"/>
                <w:szCs w:val="20"/>
              </w:rPr>
              <w:t>the deposit</w:t>
            </w:r>
            <w:r w:rsidRPr="005F5507" w:rsidR="004F4C6D">
              <w:rPr>
                <w:rFonts w:ascii="Times New Roman" w:hAnsi="Times New Roman" w:eastAsia="Times New Roman" w:cs="Times New Roman"/>
                <w:sz w:val="20"/>
                <w:szCs w:val="20"/>
              </w:rPr>
              <w:t xml:space="preserve"> in line with its 3-letter ISO 4217 code</w:t>
            </w:r>
            <w:r w:rsidRPr="005F5507">
              <w:rPr>
                <w:rFonts w:ascii="Times New Roman" w:hAnsi="Times New Roman" w:eastAsia="Times New Roman" w:cs="Times New Roman"/>
                <w:sz w:val="20"/>
                <w:szCs w:val="20"/>
              </w:rPr>
              <w:t>. For deposits reported on an aggregate level,</w:t>
            </w:r>
            <w:r w:rsidR="0048643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sz w:val="20"/>
                <w:szCs w:val="20"/>
              </w:rPr>
              <w:t>use the value “</w:t>
            </w:r>
            <w:r w:rsidRPr="005F5507" w:rsidR="004F4C6D">
              <w:rPr>
                <w:rFonts w:ascii="Times New Roman" w:hAnsi="Times New Roman" w:eastAsia="Times New Roman" w:cs="Times New Roman"/>
                <w:sz w:val="20"/>
                <w:szCs w:val="20"/>
              </w:rPr>
              <w:t>XXX</w:t>
            </w:r>
            <w:r w:rsidRPr="005F5507">
              <w:rPr>
                <w:rFonts w:ascii="Times New Roman" w:hAnsi="Times New Roman" w:eastAsia="Times New Roman" w:cs="Times New Roman"/>
                <w:sz w:val="20"/>
                <w:szCs w:val="20"/>
              </w:rPr>
              <w:t>”.</w:t>
            </w:r>
          </w:p>
        </w:tc>
      </w:tr>
      <w:tr w:rsidRPr="00D43D39" w:rsidR="5E2F2DB1" w:rsidTr="005F5507" w14:paraId="20EE0F08"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2270B3E6" w14:textId="20301F11">
            <w:pPr>
              <w:rPr>
                <w:rFonts w:ascii="Times New Roman" w:hAnsi="Times New Roman" w:cs="Times New Roman"/>
              </w:rPr>
            </w:pPr>
            <w:r w:rsidRPr="005F5507">
              <w:rPr>
                <w:rFonts w:ascii="Times New Roman" w:hAnsi="Times New Roman" w:eastAsia="Times New Roman" w:cs="Times New Roman"/>
                <w:sz w:val="20"/>
                <w:szCs w:val="20"/>
              </w:rPr>
              <w:t>0070</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215BCC2B" w14:textId="50070740">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Outstanding Principal Amount  </w:t>
            </w:r>
          </w:p>
          <w:p w:rsidRPr="005F5507" w:rsidR="5E2F2DB1" w:rsidP="005F5507" w:rsidRDefault="5E2F2DB1" w14:paraId="75364607" w14:textId="38AE018F">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outstanding principal amount of the deposit.</w:t>
            </w:r>
          </w:p>
        </w:tc>
      </w:tr>
      <w:tr w:rsidRPr="00D43D39" w:rsidR="5E2F2DB1" w:rsidTr="005F5507" w14:paraId="40810DDD"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2BEE7BB9" w14:textId="402B4B60">
            <w:pPr>
              <w:rPr>
                <w:rFonts w:ascii="Times New Roman" w:hAnsi="Times New Roman" w:cs="Times New Roman"/>
              </w:rPr>
            </w:pPr>
            <w:r w:rsidRPr="005F5507">
              <w:rPr>
                <w:rFonts w:ascii="Times New Roman" w:hAnsi="Times New Roman" w:eastAsia="Times New Roman" w:cs="Times New Roman"/>
                <w:sz w:val="20"/>
                <w:szCs w:val="20"/>
              </w:rPr>
              <w:t>0080</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52F0A44C" w14:textId="067EA69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Accrued Interest </w:t>
            </w:r>
          </w:p>
          <w:p w:rsidRPr="005F5507" w:rsidR="5E2F2DB1" w:rsidP="005F5507" w:rsidRDefault="5E2F2DB1" w14:paraId="519901DD" w14:textId="43C9A7F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outstanding accrued interest on the deposit.</w:t>
            </w:r>
          </w:p>
        </w:tc>
      </w:tr>
      <w:tr w:rsidRPr="00D43D39" w:rsidR="5E2F2DB1" w:rsidTr="005F5507" w14:paraId="45F6464B"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79C3B09D" w14:textId="5889175F">
            <w:pPr>
              <w:rPr>
                <w:rFonts w:ascii="Times New Roman" w:hAnsi="Times New Roman" w:cs="Times New Roman"/>
              </w:rPr>
            </w:pPr>
            <w:r w:rsidRPr="005F5507">
              <w:rPr>
                <w:rFonts w:ascii="Times New Roman" w:hAnsi="Times New Roman" w:eastAsia="Times New Roman" w:cs="Times New Roman"/>
                <w:sz w:val="20"/>
                <w:szCs w:val="20"/>
              </w:rPr>
              <w:t>0090</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03FC275F" w14:textId="6F5A4E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Current </w:t>
            </w:r>
            <w:r w:rsidRPr="005F5507" w:rsidR="00993B43">
              <w:rPr>
                <w:rFonts w:ascii="Times New Roman" w:hAnsi="Times New Roman" w:eastAsia="Times New Roman" w:cs="Times New Roman"/>
                <w:b/>
                <w:bCs/>
                <w:sz w:val="20"/>
                <w:szCs w:val="20"/>
              </w:rPr>
              <w:t>i</w:t>
            </w:r>
            <w:r w:rsidRPr="005F5507">
              <w:rPr>
                <w:rFonts w:ascii="Times New Roman" w:hAnsi="Times New Roman" w:eastAsia="Times New Roman" w:cs="Times New Roman"/>
                <w:b/>
                <w:bCs/>
                <w:sz w:val="20"/>
                <w:szCs w:val="20"/>
              </w:rPr>
              <w:t xml:space="preserve">nterest </w:t>
            </w:r>
            <w:r w:rsidRPr="005F5507" w:rsidR="00993B43">
              <w:rPr>
                <w:rFonts w:ascii="Times New Roman" w:hAnsi="Times New Roman" w:eastAsia="Times New Roman" w:cs="Times New Roman"/>
                <w:b/>
                <w:bCs/>
                <w:sz w:val="20"/>
                <w:szCs w:val="20"/>
              </w:rPr>
              <w:t>r</w:t>
            </w:r>
            <w:r w:rsidRPr="005F5507">
              <w:rPr>
                <w:rFonts w:ascii="Times New Roman" w:hAnsi="Times New Roman" w:eastAsia="Times New Roman" w:cs="Times New Roman"/>
                <w:b/>
                <w:bCs/>
                <w:sz w:val="20"/>
                <w:szCs w:val="20"/>
              </w:rPr>
              <w:t xml:space="preserve">ate (%) </w:t>
            </w:r>
          </w:p>
          <w:p w:rsidRPr="005F5507" w:rsidR="5E2F2DB1" w:rsidP="005F5507" w:rsidRDefault="5E2F2DB1" w14:paraId="5F809471" w14:textId="4C1304C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Current level of the interest rate that is applicable to the deposit. Notation shall be done in absolute value, where 1 equals 100% and with minimum 4 decimal numbers detail.</w:t>
            </w:r>
          </w:p>
        </w:tc>
      </w:tr>
      <w:tr w:rsidRPr="00D43D39" w:rsidR="5E2F2DB1" w:rsidTr="005F5507" w14:paraId="1ADA71A0" w14:textId="77777777">
        <w:tc>
          <w:tcPr>
            <w:tcW w:w="1188" w:type="dxa"/>
            <w:tcBorders>
              <w:top w:val="single" w:color="1A171C" w:sz="8" w:space="0"/>
              <w:left w:val="nil"/>
              <w:bottom w:val="single" w:color="1A171C" w:sz="8" w:space="0"/>
              <w:right w:val="single" w:color="1A171C" w:sz="8" w:space="0"/>
            </w:tcBorders>
          </w:tcPr>
          <w:p w:rsidRPr="005F5507" w:rsidR="5E2F2DB1" w:rsidP="005F5507" w:rsidRDefault="5E2F2DB1" w14:paraId="42BA9EB1" w14:textId="0C69690B">
            <w:pPr>
              <w:pStyle w:val="TableParagraph"/>
              <w:spacing w:before="108"/>
              <w:ind w:left="85"/>
              <w:jc w:val="both"/>
              <w:rPr>
                <w:rFonts w:ascii="Times New Roman" w:hAnsi="Times New Roman" w:cs="Times New Roman"/>
              </w:rPr>
            </w:pPr>
            <w:r w:rsidRPr="005F5507">
              <w:rPr>
                <w:rFonts w:ascii="Times New Roman" w:hAnsi="Times New Roman" w:eastAsia="Times New Roman" w:cs="Times New Roman"/>
                <w:sz w:val="20"/>
                <w:szCs w:val="20"/>
              </w:rPr>
              <w:t>0110</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27017E5E" w14:textId="5836B7A0">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Amount of pledge, lien or collateral </w:t>
            </w:r>
          </w:p>
          <w:p w:rsidRPr="005F5507" w:rsidR="5E2F2DB1" w:rsidP="005F5507" w:rsidRDefault="5E2F2DB1" w14:paraId="085BCCCD" w14:textId="315FFD9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Where a liability is secured by a pledge, lien or collateral, the gross market value of the latter shall be provided. Otherwise, for unsecured liabilities this category shall be reported as nil. This amount will determine the collateralized and eventually the uncollateralized part of any secured deposit. For collateral pools securing multiple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 </w:t>
            </w:r>
            <w:r w:rsidR="005C5CBE">
              <w:rPr>
                <w:rFonts w:ascii="Times New Roman" w:hAnsi="Times New Roman" w:eastAsia="Times New Roman" w:cs="Times New Roman"/>
                <w:sz w:val="20"/>
                <w:szCs w:val="20"/>
              </w:rPr>
              <w:t xml:space="preserve">determine </w:t>
            </w:r>
            <w:r w:rsidRPr="005F5507">
              <w:rPr>
                <w:rFonts w:ascii="Times New Roman" w:hAnsi="Times New Roman" w:eastAsia="Times New Roman" w:cs="Times New Roman"/>
                <w:sz w:val="20"/>
                <w:szCs w:val="20"/>
              </w:rPr>
              <w:t>the overall coverage ratio and appl</w:t>
            </w:r>
            <w:r w:rsidR="005C5CBE">
              <w:rPr>
                <w:rFonts w:ascii="Times New Roman" w:hAnsi="Times New Roman" w:eastAsia="Times New Roman" w:cs="Times New Roman"/>
                <w:sz w:val="20"/>
                <w:szCs w:val="20"/>
              </w:rPr>
              <w:t>y</w:t>
            </w:r>
            <w:r w:rsidRPr="005F5507">
              <w:rPr>
                <w:rFonts w:ascii="Times New Roman" w:hAnsi="Times New Roman" w:eastAsia="Times New Roman" w:cs="Times New Roman"/>
                <w:sz w:val="20"/>
                <w:szCs w:val="20"/>
              </w:rPr>
              <w:t xml:space="preserve"> pro rata to all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 covered by this pool.</w:t>
            </w:r>
          </w:p>
        </w:tc>
      </w:tr>
      <w:tr w:rsidRPr="00D43D39" w:rsidR="5E2F2DB1" w:rsidTr="005F5507" w14:paraId="1B455822"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7DAF8C81" w14:textId="6B1AC0A8">
            <w:pPr>
              <w:rPr>
                <w:rFonts w:ascii="Times New Roman" w:hAnsi="Times New Roman" w:cs="Times New Roman"/>
              </w:rPr>
            </w:pPr>
            <w:r w:rsidRPr="005F5507">
              <w:rPr>
                <w:rFonts w:ascii="Times New Roman" w:hAnsi="Times New Roman" w:eastAsia="Times New Roman" w:cs="Times New Roman"/>
                <w:sz w:val="20"/>
                <w:szCs w:val="20"/>
              </w:rPr>
              <w:t>0115</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63CEC759" w14:textId="4A8FDF25">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Amount meeting the conditions for MREL eligibility </w:t>
            </w:r>
          </w:p>
          <w:p w:rsidRPr="005F5507" w:rsidR="5E2F2DB1" w:rsidP="005F5507" w:rsidRDefault="5E2F2DB1" w14:paraId="6A920CCC" w14:textId="5209850C">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outstanding amount of the </w:t>
            </w:r>
            <w:r w:rsidRPr="005F5507" w:rsidR="00096F2F">
              <w:rPr>
                <w:rFonts w:ascii="Times New Roman" w:hAnsi="Times New Roman" w:eastAsia="Times New Roman" w:cs="Times New Roman"/>
                <w:sz w:val="20"/>
                <w:szCs w:val="20"/>
              </w:rPr>
              <w:t xml:space="preserve">own funds and </w:t>
            </w:r>
            <w:r w:rsidRPr="005F5507">
              <w:rPr>
                <w:rFonts w:ascii="Times New Roman" w:hAnsi="Times New Roman" w:eastAsia="Times New Roman" w:cs="Times New Roman"/>
                <w:sz w:val="20"/>
                <w:szCs w:val="20"/>
              </w:rPr>
              <w:t xml:space="preserve">eligible liabilities </w:t>
            </w:r>
            <w:r w:rsidRPr="005F5507" w:rsidR="00096F2F">
              <w:rPr>
                <w:rFonts w:ascii="Times New Roman" w:hAnsi="Times New Roman" w:eastAsia="Times New Roman" w:cs="Times New Roman"/>
                <w:sz w:val="20"/>
                <w:szCs w:val="20"/>
              </w:rPr>
              <w:t xml:space="preserve">counting towards the requirement set in accordance with </w:t>
            </w:r>
            <w:r w:rsidRPr="005F5507">
              <w:rPr>
                <w:rFonts w:ascii="Times New Roman" w:hAnsi="Times New Roman" w:eastAsia="Times New Roman" w:cs="Times New Roman"/>
                <w:sz w:val="20"/>
                <w:szCs w:val="20"/>
              </w:rPr>
              <w:t>Article 45</w:t>
            </w:r>
            <w:r w:rsidRPr="005F5507" w:rsidR="00096F2F">
              <w:rPr>
                <w:rFonts w:ascii="Times New Roman" w:hAnsi="Times New Roman" w:eastAsia="Times New Roman" w:cs="Times New Roman"/>
                <w:sz w:val="20"/>
                <w:szCs w:val="20"/>
              </w:rPr>
              <w:t>a(1)</w:t>
            </w:r>
            <w:r w:rsidRPr="005F5507">
              <w:rPr>
                <w:rFonts w:ascii="Times New Roman" w:hAnsi="Times New Roman" w:eastAsia="Times New Roman" w:cs="Times New Roman"/>
                <w:sz w:val="20"/>
                <w:szCs w:val="20"/>
              </w:rPr>
              <w:t xml:space="preserve"> of the Directive 2014/59/EU.</w:t>
            </w:r>
          </w:p>
        </w:tc>
      </w:tr>
      <w:tr w:rsidRPr="00D43D39" w:rsidR="5E2F2DB1" w:rsidTr="005F5507" w14:paraId="431F4E85" w14:textId="77777777">
        <w:tc>
          <w:tcPr>
            <w:tcW w:w="1188" w:type="dxa"/>
            <w:tcBorders>
              <w:top w:val="single" w:color="1A171C" w:sz="8" w:space="0"/>
              <w:left w:val="nil"/>
              <w:bottom w:val="single" w:color="1A171C" w:sz="8" w:space="0"/>
              <w:right w:val="single" w:color="1A171C" w:sz="8" w:space="0"/>
            </w:tcBorders>
          </w:tcPr>
          <w:p w:rsidRPr="005F5507" w:rsidR="5E2F2DB1" w:rsidRDefault="5E2F2DB1" w14:paraId="7B8D50D3" w14:textId="746371C8">
            <w:pPr>
              <w:rPr>
                <w:rFonts w:ascii="Times New Roman" w:hAnsi="Times New Roman" w:cs="Times New Roman"/>
              </w:rPr>
            </w:pPr>
            <w:r w:rsidRPr="005F5507">
              <w:rPr>
                <w:rFonts w:ascii="Times New Roman" w:hAnsi="Times New Roman" w:eastAsia="Times New Roman" w:cs="Times New Roman"/>
                <w:sz w:val="20"/>
                <w:szCs w:val="20"/>
              </w:rPr>
              <w:t>0120</w:t>
            </w:r>
          </w:p>
        </w:tc>
        <w:tc>
          <w:tcPr>
            <w:tcW w:w="7838" w:type="dxa"/>
            <w:gridSpan w:val="2"/>
            <w:tcBorders>
              <w:top w:val="single" w:color="1A171C" w:sz="8" w:space="0"/>
              <w:left w:val="single" w:color="1A171C" w:sz="8" w:space="0"/>
              <w:bottom w:val="single" w:color="1A171C" w:sz="8" w:space="0"/>
              <w:right w:val="nil"/>
            </w:tcBorders>
          </w:tcPr>
          <w:p w:rsidRPr="005F5507" w:rsidR="5E2F2DB1" w:rsidP="005F5507" w:rsidRDefault="5E2F2DB1" w14:paraId="7A6264EC" w14:textId="52420762">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Issuance Date for Term Deposits </w:t>
            </w:r>
          </w:p>
          <w:p w:rsidRPr="005F5507" w:rsidR="5E2F2DB1" w:rsidP="005F5507" w:rsidRDefault="5E2F2DB1" w14:paraId="61333299" w14:textId="28CD8907">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Date of the original issuance of the term deposit.</w:t>
            </w:r>
          </w:p>
        </w:tc>
      </w:tr>
      <w:tr w:rsidRPr="00D43D39" w:rsidR="5E2F2DB1" w:rsidTr="005F5507" w14:paraId="07EA8EC0" w14:textId="77777777">
        <w:tc>
          <w:tcPr>
            <w:tcW w:w="1188" w:type="dxa"/>
            <w:vMerge w:val="restart"/>
            <w:tcBorders>
              <w:top w:val="single" w:color="1A171C" w:sz="8" w:space="0"/>
              <w:left w:val="nil"/>
              <w:right w:val="single" w:color="1A171C" w:sz="8" w:space="0"/>
            </w:tcBorders>
          </w:tcPr>
          <w:p w:rsidRPr="005F5507" w:rsidR="5E2F2DB1" w:rsidRDefault="5E2F2DB1" w14:paraId="793E15E5" w14:textId="48C0D230">
            <w:pPr>
              <w:rPr>
                <w:rFonts w:ascii="Times New Roman" w:hAnsi="Times New Roman" w:cs="Times New Roman"/>
              </w:rPr>
            </w:pPr>
            <w:r w:rsidRPr="005F5507">
              <w:rPr>
                <w:rFonts w:ascii="Times New Roman" w:hAnsi="Times New Roman" w:eastAsia="Times New Roman" w:cs="Times New Roman"/>
                <w:sz w:val="20"/>
                <w:szCs w:val="20"/>
              </w:rPr>
              <w:t>0130</w:t>
            </w:r>
          </w:p>
        </w:tc>
        <w:tc>
          <w:tcPr>
            <w:tcW w:w="7838" w:type="dxa"/>
            <w:gridSpan w:val="2"/>
            <w:tcBorders>
              <w:top w:val="single" w:color="1A171C" w:sz="8" w:space="0"/>
              <w:left w:val="single" w:color="1A171C" w:sz="8" w:space="0"/>
              <w:right w:val="nil"/>
            </w:tcBorders>
          </w:tcPr>
          <w:p w:rsidRPr="005F5507" w:rsidR="5E2F2DB1" w:rsidP="005F5507" w:rsidRDefault="5E2F2DB1" w14:paraId="34D2014F" w14:textId="4A221544">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Earliest </w:t>
            </w:r>
            <w:r w:rsidRPr="005F5507" w:rsidR="003E0867">
              <w:rPr>
                <w:rFonts w:ascii="Times New Roman" w:hAnsi="Times New Roman" w:eastAsia="Times New Roman" w:cs="Times New Roman"/>
                <w:b/>
                <w:bCs/>
                <w:sz w:val="20"/>
                <w:szCs w:val="20"/>
              </w:rPr>
              <w:t xml:space="preserve">redemption date  </w:t>
            </w:r>
          </w:p>
          <w:p w:rsidRPr="005F5507" w:rsidR="5E2F2DB1" w:rsidP="005F5507" w:rsidRDefault="5E2F2DB1" w14:paraId="50A9CC57" w14:textId="24FFD74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If an option exists for the holders of the </w:t>
            </w:r>
            <w:r w:rsidRPr="005F5507" w:rsidR="00096F2F">
              <w:rPr>
                <w:rFonts w:ascii="Times New Roman" w:hAnsi="Times New Roman" w:eastAsia="Times New Roman" w:cs="Times New Roman"/>
                <w:sz w:val="20"/>
                <w:szCs w:val="20"/>
              </w:rPr>
              <w:t>creditor</w:t>
            </w:r>
            <w:r w:rsidRPr="005F5507">
              <w:rPr>
                <w:rFonts w:ascii="Times New Roman" w:hAnsi="Times New Roman" w:eastAsia="Times New Roman" w:cs="Times New Roman"/>
                <w:sz w:val="20"/>
                <w:szCs w:val="20"/>
              </w:rPr>
              <w:t xml:space="preserve"> to request early reimbursement</w:t>
            </w:r>
            <w:r w:rsidRPr="005F5507" w:rsidR="00096F2F">
              <w:rPr>
                <w:rFonts w:ascii="Times New Roman" w:hAnsi="Times New Roman" w:eastAsia="Times New Roman" w:cs="Times New Roman"/>
                <w:sz w:val="20"/>
                <w:szCs w:val="20"/>
              </w:rPr>
              <w:t xml:space="preserve"> of the liability</w:t>
            </w:r>
            <w:r w:rsidRPr="005F5507">
              <w:rPr>
                <w:rFonts w:ascii="Times New Roman" w:hAnsi="Times New Roman" w:eastAsia="Times New Roman" w:cs="Times New Roman"/>
                <w:sz w:val="20"/>
                <w:szCs w:val="20"/>
              </w:rPr>
              <w:t xml:space="preserve">, or conditions for early reimbursement are contractually foreseen, </w:t>
            </w:r>
            <w:r w:rsidR="005C5CBE">
              <w:rPr>
                <w:rFonts w:ascii="Times New Roman" w:hAnsi="Times New Roman" w:eastAsia="Times New Roman" w:cs="Times New Roman"/>
                <w:sz w:val="20"/>
                <w:szCs w:val="20"/>
              </w:rPr>
              <w:t xml:space="preserve">provide </w:t>
            </w:r>
            <w:r w:rsidRPr="005F5507">
              <w:rPr>
                <w:rFonts w:ascii="Times New Roman" w:hAnsi="Times New Roman" w:eastAsia="Times New Roman" w:cs="Times New Roman"/>
                <w:sz w:val="20"/>
                <w:szCs w:val="20"/>
              </w:rPr>
              <w:t>the earliest occurrence date</w:t>
            </w:r>
            <w:r w:rsidRPr="005F5507" w:rsidR="00F13DC5">
              <w:rPr>
                <w:rFonts w:ascii="Times New Roman" w:hAnsi="Times New Roman" w:eastAsia="Times New Roman" w:cs="Times New Roman"/>
                <w:sz w:val="20"/>
                <w:szCs w:val="20"/>
              </w:rPr>
              <w:t>, otherwise the date of the legal final maturity of the deposit</w:t>
            </w:r>
            <w:r w:rsidRPr="005F5507">
              <w:rPr>
                <w:rFonts w:ascii="Times New Roman" w:hAnsi="Times New Roman" w:eastAsia="Times New Roman" w:cs="Times New Roman"/>
                <w:sz w:val="20"/>
                <w:szCs w:val="20"/>
              </w:rPr>
              <w:t xml:space="preserve">. If the early reimbursement relates to only a portion of the liability (e.g. early reimbursement of 50% of the nominal amount), </w:t>
            </w:r>
            <w:r w:rsidR="005C5CBE">
              <w:rPr>
                <w:rFonts w:ascii="Times New Roman" w:hAnsi="Times New Roman" w:eastAsia="Times New Roman" w:cs="Times New Roman"/>
                <w:sz w:val="20"/>
                <w:szCs w:val="20"/>
              </w:rPr>
              <w:t xml:space="preserve">split </w:t>
            </w:r>
            <w:r w:rsidRPr="005F5507">
              <w:rPr>
                <w:rFonts w:ascii="Times New Roman" w:hAnsi="Times New Roman" w:eastAsia="Times New Roman" w:cs="Times New Roman"/>
                <w:sz w:val="20"/>
                <w:szCs w:val="20"/>
              </w:rPr>
              <w:t>the liability to take into account this partial early redemption clause</w:t>
            </w:r>
            <w:r w:rsidRPr="005F5507" w:rsidR="00F13DC5">
              <w:rPr>
                <w:rFonts w:ascii="Times New Roman" w:hAnsi="Times New Roman" w:eastAsia="Times New Roman" w:cs="Times New Roman"/>
                <w:sz w:val="20"/>
                <w:szCs w:val="20"/>
              </w:rPr>
              <w:t>.</w:t>
            </w:r>
          </w:p>
        </w:tc>
      </w:tr>
      <w:tr w:rsidRPr="00D43D39" w:rsidR="5E2F2DB1" w:rsidTr="005F5507" w14:paraId="48A9D019" w14:textId="77777777">
        <w:tc>
          <w:tcPr>
            <w:tcW w:w="1188" w:type="dxa"/>
            <w:vMerge/>
            <w:tcBorders>
              <w:bottom w:val="single" w:color="1A171C" w:sz="8" w:space="0"/>
              <w:right w:val="single" w:color="1A171C" w:sz="8" w:space="0"/>
            </w:tcBorders>
            <w:vAlign w:val="center"/>
          </w:tcPr>
          <w:p w:rsidRPr="005F5507" w:rsidR="00404742" w:rsidRDefault="00404742" w14:paraId="63A86C80" w14:textId="77777777">
            <w:pPr>
              <w:rPr>
                <w:rFonts w:ascii="Times New Roman" w:hAnsi="Times New Roman" w:cs="Times New Roman"/>
              </w:rPr>
            </w:pPr>
          </w:p>
        </w:tc>
        <w:tc>
          <w:tcPr>
            <w:tcW w:w="7838" w:type="dxa"/>
            <w:gridSpan w:val="2"/>
            <w:tcBorders>
              <w:left w:val="single" w:color="1A171C" w:sz="8" w:space="0"/>
              <w:bottom w:val="single" w:color="1A171C" w:sz="8" w:space="0"/>
              <w:right w:val="nil"/>
            </w:tcBorders>
          </w:tcPr>
          <w:p w:rsidRPr="005F5507" w:rsidR="5E2F2DB1" w:rsidP="005F5507" w:rsidRDefault="5E2F2DB1" w14:paraId="0CA0E687" w14:textId="05F2313C">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the deposits reported on an aggregate level, the earliest redemption date shall be reported as “2199-12-31”. </w:t>
            </w:r>
          </w:p>
        </w:tc>
      </w:tr>
      <w:tr w:rsidRPr="00D43D39" w:rsidR="5E2F2DB1" w:rsidTr="005F5507" w14:paraId="73326078" w14:textId="77777777">
        <w:tc>
          <w:tcPr>
            <w:tcW w:w="1188" w:type="dxa"/>
            <w:vMerge w:val="restart"/>
            <w:tcBorders>
              <w:top w:val="single" w:color="1A171C" w:sz="8" w:space="0"/>
              <w:left w:val="nil"/>
              <w:right w:val="single" w:color="1A171C" w:sz="8" w:space="0"/>
            </w:tcBorders>
          </w:tcPr>
          <w:p w:rsidRPr="005F5507" w:rsidR="5E2F2DB1" w:rsidRDefault="5E2F2DB1" w14:paraId="638C9231" w14:textId="375782FE">
            <w:pPr>
              <w:rPr>
                <w:rFonts w:ascii="Times New Roman" w:hAnsi="Times New Roman" w:cs="Times New Roman"/>
              </w:rPr>
            </w:pPr>
          </w:p>
        </w:tc>
        <w:tc>
          <w:tcPr>
            <w:tcW w:w="7838" w:type="dxa"/>
            <w:gridSpan w:val="2"/>
            <w:tcBorders>
              <w:top w:val="single" w:color="1A171C" w:sz="8" w:space="0"/>
              <w:left w:val="single" w:color="1A171C" w:sz="8" w:space="0"/>
              <w:right w:val="nil"/>
            </w:tcBorders>
          </w:tcPr>
          <w:p w:rsidRPr="005F5507" w:rsidR="5E2F2DB1" w:rsidP="005F5507" w:rsidRDefault="5E2F2DB1" w14:paraId="3A7E259F" w14:textId="127D8517">
            <w:pPr>
              <w:pStyle w:val="TableParagraph"/>
              <w:spacing w:before="108"/>
              <w:ind w:left="85"/>
              <w:jc w:val="both"/>
              <w:rPr>
                <w:rFonts w:ascii="Times New Roman" w:hAnsi="Times New Roman" w:eastAsia="Times New Roman" w:cs="Times New Roman"/>
                <w:sz w:val="20"/>
                <w:szCs w:val="20"/>
              </w:rPr>
            </w:pPr>
          </w:p>
        </w:tc>
      </w:tr>
      <w:tr w:rsidRPr="00D43D39" w:rsidR="5E2F2DB1" w:rsidTr="005F5507" w14:paraId="560886DB" w14:textId="77777777">
        <w:tc>
          <w:tcPr>
            <w:tcW w:w="1188" w:type="dxa"/>
            <w:vMerge/>
            <w:tcBorders>
              <w:bottom w:val="single" w:color="1A171C" w:sz="8" w:space="0"/>
              <w:right w:val="single" w:color="1A171C" w:sz="8" w:space="0"/>
            </w:tcBorders>
            <w:vAlign w:val="center"/>
          </w:tcPr>
          <w:p w:rsidRPr="005F5507" w:rsidR="00404742" w:rsidRDefault="00404742" w14:paraId="06A948C3" w14:textId="77777777">
            <w:pPr>
              <w:rPr>
                <w:rFonts w:ascii="Times New Roman" w:hAnsi="Times New Roman" w:cs="Times New Roman"/>
              </w:rPr>
            </w:pPr>
          </w:p>
        </w:tc>
        <w:tc>
          <w:tcPr>
            <w:tcW w:w="7838" w:type="dxa"/>
            <w:gridSpan w:val="2"/>
            <w:tcBorders>
              <w:left w:val="single" w:color="1A171C" w:sz="8" w:space="0"/>
              <w:bottom w:val="single" w:color="1A171C" w:sz="8" w:space="0"/>
              <w:right w:val="nil"/>
            </w:tcBorders>
          </w:tcPr>
          <w:p w:rsidRPr="005F5507" w:rsidR="5E2F2DB1" w:rsidRDefault="5E2F2DB1" w14:paraId="2E19F7B6" w14:textId="3EAB8D8B">
            <w:pPr>
              <w:rPr>
                <w:rFonts w:ascii="Times New Roman" w:hAnsi="Times New Roman" w:cs="Times New Roman"/>
              </w:rPr>
            </w:pPr>
          </w:p>
        </w:tc>
      </w:tr>
    </w:tbl>
    <w:p w:rsidRPr="005F5507" w:rsidR="5E2F2DB1" w:rsidP="5E2F2DB1" w:rsidRDefault="5E2F2DB1" w14:paraId="1A0A98FA" w14:textId="128D2788">
      <w:pPr>
        <w:pStyle w:val="body"/>
        <w:rPr>
          <w:rFonts w:ascii="Times New Roman" w:hAnsi="Times New Roman" w:cs="Times New Roman"/>
          <w:color w:val="000000" w:themeColor="text1"/>
          <w:sz w:val="20"/>
          <w:szCs w:val="20"/>
          <w:lang w:val="en-GB"/>
        </w:rPr>
      </w:pPr>
    </w:p>
    <w:p w:rsidRPr="005F5507" w:rsidR="005B682F" w:rsidP="005B682F" w:rsidRDefault="005B682F" w14:paraId="7B5D5478" w14:textId="77777777">
      <w:pPr>
        <w:rPr>
          <w:rFonts w:ascii="Times New Roman" w:hAnsi="Times New Roman" w:cs="Times New Roman"/>
        </w:rPr>
      </w:pPr>
    </w:p>
    <w:p w:rsidRPr="00D43D39" w:rsidR="005B682F" w:rsidP="005B682F" w:rsidRDefault="005B682F" w14:paraId="467E8185" w14:textId="77777777">
      <w:pPr>
        <w:pStyle w:val="Instructionsberschrift2"/>
        <w:ind w:left="357"/>
        <w:rPr>
          <w:rFonts w:ascii="Times New Roman" w:hAnsi="Times New Roman" w:eastAsia="Calibri" w:cs="Times New Roman"/>
          <w:szCs w:val="20"/>
        </w:rPr>
      </w:pPr>
    </w:p>
    <w:p w:rsidRPr="005F5507" w:rsidR="005B682F" w:rsidP="005F5507" w:rsidRDefault="00EE5E3A" w14:paraId="4C325396" w14:textId="5FB5E7A4">
      <w:pPr>
        <w:pStyle w:val="Instructionsberschrift2"/>
        <w:numPr>
          <w:ilvl w:val="1"/>
          <w:numId w:val="49"/>
        </w:numPr>
        <w:spacing w:before="0"/>
        <w:ind w:left="357" w:hanging="357"/>
        <w:rPr>
          <w:rFonts w:ascii="Times New Roman" w:hAnsi="Times New Roman" w:cs="Times New Roman"/>
          <w:color w:val="000000" w:themeColor="text1"/>
          <w:szCs w:val="20"/>
        </w:rPr>
      </w:pPr>
      <w:r w:rsidRPr="005F5507">
        <w:rPr>
          <w:rFonts w:ascii="Times New Roman" w:hAnsi="Times New Roman" w:cs="Times New Roman" w:eastAsiaTheme="minorEastAsia"/>
        </w:rPr>
        <w:t xml:space="preserve"> </w:t>
      </w:r>
      <w:bookmarkStart w:name="_Toc172732257" w:id="226"/>
      <w:r w:rsidRPr="005F5507" w:rsidR="005B682F">
        <w:rPr>
          <w:rFonts w:ascii="Times New Roman" w:hAnsi="Times New Roman" w:cs="Times New Roman" w:eastAsiaTheme="minorEastAsia"/>
        </w:rPr>
        <w:t xml:space="preserve">Z10.04  - </w:t>
      </w:r>
      <w:r w:rsidRPr="00335CD6" w:rsidR="005B682F">
        <w:rPr>
          <w:rFonts w:ascii="Times New Roman" w:hAnsi="Times New Roman" w:cs="Times New Roman"/>
          <w:color w:val="000000" w:themeColor="text1"/>
        </w:rPr>
        <w:t>Other Financial Liabilities (not included in other tabs, excluding intragroup)</w:t>
      </w:r>
      <w:r w:rsidR="00056E47">
        <w:rPr>
          <w:rFonts w:ascii="Times New Roman" w:hAnsi="Times New Roman" w:cs="Times New Roman"/>
          <w:color w:val="000000" w:themeColor="text1"/>
        </w:rPr>
        <w:t xml:space="preserve"> </w:t>
      </w:r>
      <w:r w:rsidRPr="00056E47" w:rsidR="00056E47">
        <w:rPr>
          <w:rFonts w:ascii="Times New Roman" w:hAnsi="Times New Roman" w:eastAsia="Calibri" w:cs="Times New Roman"/>
          <w:szCs w:val="20"/>
        </w:rPr>
        <w:t>(LIAB-G-</w:t>
      </w:r>
      <w:r w:rsidR="00056E47">
        <w:rPr>
          <w:rFonts w:ascii="Times New Roman" w:hAnsi="Times New Roman" w:eastAsia="Calibri" w:cs="Times New Roman"/>
          <w:szCs w:val="20"/>
        </w:rPr>
        <w:t>4</w:t>
      </w:r>
      <w:r w:rsidRPr="00056E47" w:rsidR="00056E47">
        <w:rPr>
          <w:rFonts w:ascii="Times New Roman" w:hAnsi="Times New Roman" w:eastAsia="Calibri" w:cs="Times New Roman"/>
          <w:szCs w:val="20"/>
        </w:rPr>
        <w:t>)</w:t>
      </w:r>
      <w:bookmarkEnd w:id="226"/>
    </w:p>
    <w:p w:rsidRPr="005F5507" w:rsidR="5372A26D" w:rsidP="005F5507" w:rsidRDefault="5372A26D" w14:paraId="2063505B" w14:textId="61597454">
      <w:pPr>
        <w:pStyle w:val="Instructionsberschrift2"/>
        <w:ind w:left="357"/>
        <w:rPr>
          <w:rFonts w:ascii="Times New Roman" w:hAnsi="Times New Roman" w:cs="Times New Roman" w:eastAsiaTheme="minorEastAsia"/>
          <w:color w:val="000000" w:themeColor="text1"/>
        </w:rPr>
      </w:pPr>
    </w:p>
    <w:p w:rsidRPr="00D43D39" w:rsidR="5372A26D" w:rsidP="5E2F2DB1" w:rsidRDefault="5372A26D" w14:paraId="2B056D48" w14:textId="77777777">
      <w:pPr>
        <w:pStyle w:val="Numberedtitlelevel3"/>
        <w:rPr>
          <w:rFonts w:ascii="Times New Roman" w:hAnsi="Times New Roman" w:cs="Times New Roman"/>
          <w:b w:val="0"/>
          <w:color w:val="000000" w:themeColor="text1"/>
          <w:sz w:val="20"/>
          <w:szCs w:val="20"/>
          <w:u w:val="single"/>
          <w:lang w:val="en-GB"/>
        </w:rPr>
      </w:pPr>
      <w:r w:rsidRPr="00D43D39">
        <w:rPr>
          <w:rFonts w:ascii="Times New Roman" w:hAnsi="Times New Roman" w:cs="Times New Roman"/>
          <w:b w:val="0"/>
          <w:color w:val="000000" w:themeColor="text1"/>
          <w:sz w:val="20"/>
          <w:szCs w:val="20"/>
          <w:u w:val="single"/>
          <w:lang w:val="en-GB"/>
        </w:rPr>
        <w:t>General remarks</w:t>
      </w:r>
    </w:p>
    <w:p w:rsidRPr="005F5507" w:rsidR="5372A26D" w:rsidP="005F5507" w:rsidRDefault="5372A26D" w14:paraId="038B58A5" w14:textId="4A97826E">
      <w:pPr>
        <w:pStyle w:val="InstructionsText2"/>
        <w:numPr>
          <w:ilvl w:val="2"/>
          <w:numId w:val="209"/>
        </w:numPr>
        <w:spacing w:before="0"/>
        <w:ind w:left="1276"/>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 xml:space="preserve">This table covers all the liabilities, that are not reported in any of the other detailed information requirements (i.e. </w:t>
      </w:r>
      <w:r w:rsidRPr="005F5507" w:rsidR="004B7506">
        <w:rPr>
          <w:rFonts w:ascii="Times New Roman" w:hAnsi="Times New Roman" w:eastAsia="Cambria" w:cs="Times New Roman"/>
          <w:sz w:val="20"/>
          <w:szCs w:val="20"/>
          <w:lang w:val="en-GB"/>
        </w:rPr>
        <w:t>Z10</w:t>
      </w:r>
      <w:r w:rsidRPr="005F5507">
        <w:rPr>
          <w:rFonts w:ascii="Times New Roman" w:hAnsi="Times New Roman" w:eastAsia="Cambria" w:cs="Times New Roman"/>
          <w:sz w:val="20"/>
          <w:szCs w:val="20"/>
          <w:lang w:val="en-GB"/>
        </w:rPr>
        <w:t xml:space="preserve">.01, </w:t>
      </w:r>
      <w:r w:rsidRPr="005F5507" w:rsidR="00910AE0">
        <w:rPr>
          <w:rFonts w:ascii="Times New Roman" w:hAnsi="Times New Roman" w:eastAsia="Cambria" w:cs="Times New Roman"/>
          <w:sz w:val="20"/>
          <w:szCs w:val="20"/>
          <w:lang w:val="en-GB"/>
        </w:rPr>
        <w:t>Z</w:t>
      </w:r>
      <w:r w:rsidRPr="005F5507" w:rsidR="00B165F3">
        <w:rPr>
          <w:rFonts w:ascii="Times New Roman" w:hAnsi="Times New Roman" w:eastAsia="Cambria" w:cs="Times New Roman"/>
          <w:sz w:val="20"/>
          <w:szCs w:val="20"/>
          <w:lang w:val="en-GB"/>
        </w:rPr>
        <w:t>1</w:t>
      </w:r>
      <w:r w:rsidRPr="005F5507" w:rsidR="004B7506">
        <w:rPr>
          <w:rFonts w:ascii="Times New Roman" w:hAnsi="Times New Roman" w:eastAsia="Cambria" w:cs="Times New Roman"/>
          <w:sz w:val="20"/>
          <w:szCs w:val="20"/>
          <w:lang w:val="en-GB"/>
        </w:rPr>
        <w:t>0</w:t>
      </w:r>
      <w:r w:rsidRPr="005F5507">
        <w:rPr>
          <w:rFonts w:ascii="Times New Roman" w:hAnsi="Times New Roman" w:eastAsia="Cambria" w:cs="Times New Roman"/>
          <w:sz w:val="20"/>
          <w:szCs w:val="20"/>
          <w:lang w:val="en-GB"/>
        </w:rPr>
        <w:t>.0</w:t>
      </w:r>
      <w:r w:rsidRPr="005F5507" w:rsidR="004B7506">
        <w:rPr>
          <w:rFonts w:ascii="Times New Roman" w:hAnsi="Times New Roman" w:eastAsia="Cambria" w:cs="Times New Roman"/>
          <w:sz w:val="20"/>
          <w:szCs w:val="20"/>
          <w:lang w:val="en-GB"/>
        </w:rPr>
        <w:t>2</w:t>
      </w:r>
      <w:r w:rsidRPr="005F5507">
        <w:rPr>
          <w:rFonts w:ascii="Times New Roman" w:hAnsi="Times New Roman" w:eastAsia="Cambria" w:cs="Times New Roman"/>
          <w:sz w:val="20"/>
          <w:szCs w:val="20"/>
          <w:lang w:val="en-GB"/>
        </w:rPr>
        <w:t xml:space="preserve">, </w:t>
      </w:r>
      <w:r w:rsidRPr="005F5507" w:rsidR="00910AE0">
        <w:rPr>
          <w:rFonts w:ascii="Times New Roman" w:hAnsi="Times New Roman" w:eastAsia="Cambria" w:cs="Times New Roman"/>
          <w:sz w:val="20"/>
          <w:szCs w:val="20"/>
          <w:lang w:val="en-GB"/>
        </w:rPr>
        <w:t>Z</w:t>
      </w:r>
      <w:r w:rsidRPr="005F5507" w:rsidR="00B165F3">
        <w:rPr>
          <w:rFonts w:ascii="Times New Roman" w:hAnsi="Times New Roman" w:eastAsia="Cambria" w:cs="Times New Roman"/>
          <w:sz w:val="20"/>
          <w:szCs w:val="20"/>
          <w:lang w:val="en-GB"/>
        </w:rPr>
        <w:t>1</w:t>
      </w:r>
      <w:r w:rsidRPr="005F5507" w:rsidR="004B7506">
        <w:rPr>
          <w:rFonts w:ascii="Times New Roman" w:hAnsi="Times New Roman" w:eastAsia="Cambria" w:cs="Times New Roman"/>
          <w:sz w:val="20"/>
          <w:szCs w:val="20"/>
          <w:lang w:val="en-GB"/>
        </w:rPr>
        <w:t>0</w:t>
      </w:r>
      <w:r w:rsidRPr="005F5507">
        <w:rPr>
          <w:rFonts w:ascii="Times New Roman" w:hAnsi="Times New Roman" w:eastAsia="Cambria" w:cs="Times New Roman"/>
          <w:sz w:val="20"/>
          <w:szCs w:val="20"/>
          <w:lang w:val="en-GB"/>
        </w:rPr>
        <w:t>.0</w:t>
      </w:r>
      <w:r w:rsidRPr="005F5507" w:rsidR="004B7506">
        <w:rPr>
          <w:rFonts w:ascii="Times New Roman" w:hAnsi="Times New Roman" w:eastAsia="Cambria" w:cs="Times New Roman"/>
          <w:sz w:val="20"/>
          <w:szCs w:val="20"/>
          <w:lang w:val="en-GB"/>
        </w:rPr>
        <w:t>3</w:t>
      </w:r>
      <w:r w:rsidRPr="005F5507">
        <w:rPr>
          <w:rFonts w:ascii="Times New Roman" w:hAnsi="Times New Roman" w:eastAsia="Cambria" w:cs="Times New Roman"/>
          <w:sz w:val="20"/>
          <w:szCs w:val="20"/>
          <w:lang w:val="en-GB"/>
        </w:rPr>
        <w:t xml:space="preserve">, </w:t>
      </w:r>
      <w:r w:rsidRPr="005F5507" w:rsidR="00910AE0">
        <w:rPr>
          <w:rFonts w:ascii="Times New Roman" w:hAnsi="Times New Roman" w:eastAsia="Cambria" w:cs="Times New Roman"/>
          <w:sz w:val="20"/>
          <w:szCs w:val="20"/>
          <w:lang w:val="en-GB"/>
        </w:rPr>
        <w:t>Z</w:t>
      </w:r>
      <w:r w:rsidRPr="005F5507" w:rsidR="00B165F3">
        <w:rPr>
          <w:rFonts w:ascii="Times New Roman" w:hAnsi="Times New Roman" w:eastAsia="Cambria" w:cs="Times New Roman"/>
          <w:sz w:val="20"/>
          <w:szCs w:val="20"/>
          <w:lang w:val="en-GB"/>
        </w:rPr>
        <w:t>1</w:t>
      </w:r>
      <w:r w:rsidRPr="005F5507" w:rsidR="004B7506">
        <w:rPr>
          <w:rFonts w:ascii="Times New Roman" w:hAnsi="Times New Roman" w:eastAsia="Cambria" w:cs="Times New Roman"/>
          <w:sz w:val="20"/>
          <w:szCs w:val="20"/>
          <w:lang w:val="en-GB"/>
        </w:rPr>
        <w:t>0</w:t>
      </w:r>
      <w:r w:rsidRPr="005F5507">
        <w:rPr>
          <w:rFonts w:ascii="Times New Roman" w:hAnsi="Times New Roman" w:eastAsia="Cambria" w:cs="Times New Roman"/>
          <w:sz w:val="20"/>
          <w:szCs w:val="20"/>
          <w:lang w:val="en-GB"/>
        </w:rPr>
        <w:t>.0</w:t>
      </w:r>
      <w:r w:rsidRPr="005F5507" w:rsidR="004B7506">
        <w:rPr>
          <w:rFonts w:ascii="Times New Roman" w:hAnsi="Times New Roman" w:eastAsia="Cambria" w:cs="Times New Roman"/>
          <w:sz w:val="20"/>
          <w:szCs w:val="20"/>
          <w:lang w:val="en-GB"/>
        </w:rPr>
        <w:t>5</w:t>
      </w:r>
      <w:r w:rsidRPr="005F5507">
        <w:rPr>
          <w:rFonts w:ascii="Times New Roman" w:hAnsi="Times New Roman" w:eastAsia="Cambria" w:cs="Times New Roman"/>
          <w:sz w:val="20"/>
          <w:szCs w:val="20"/>
          <w:lang w:val="en-GB"/>
        </w:rPr>
        <w:t xml:space="preserve">, </w:t>
      </w:r>
      <w:r w:rsidRPr="005F5507" w:rsidR="00910AE0">
        <w:rPr>
          <w:rFonts w:ascii="Times New Roman" w:hAnsi="Times New Roman" w:eastAsia="Cambria" w:cs="Times New Roman"/>
          <w:sz w:val="20"/>
          <w:szCs w:val="20"/>
          <w:lang w:val="en-GB"/>
        </w:rPr>
        <w:t>Z</w:t>
      </w:r>
      <w:r w:rsidRPr="005F5507" w:rsidR="00B165F3">
        <w:rPr>
          <w:rFonts w:ascii="Times New Roman" w:hAnsi="Times New Roman" w:eastAsia="Cambria" w:cs="Times New Roman"/>
          <w:sz w:val="20"/>
          <w:szCs w:val="20"/>
          <w:lang w:val="en-GB"/>
        </w:rPr>
        <w:t>1</w:t>
      </w:r>
      <w:r w:rsidRPr="005F5507" w:rsidR="004B7506">
        <w:rPr>
          <w:rFonts w:ascii="Times New Roman" w:hAnsi="Times New Roman" w:eastAsia="Cambria" w:cs="Times New Roman"/>
          <w:sz w:val="20"/>
          <w:szCs w:val="20"/>
          <w:lang w:val="en-GB"/>
        </w:rPr>
        <w:t>0</w:t>
      </w:r>
      <w:r w:rsidRPr="005F5507">
        <w:rPr>
          <w:rFonts w:ascii="Times New Roman" w:hAnsi="Times New Roman" w:eastAsia="Cambria" w:cs="Times New Roman"/>
          <w:sz w:val="20"/>
          <w:szCs w:val="20"/>
          <w:lang w:val="en-GB"/>
        </w:rPr>
        <w:t>.0</w:t>
      </w:r>
      <w:r w:rsidRPr="005F5507" w:rsidR="004B7506">
        <w:rPr>
          <w:rFonts w:ascii="Times New Roman" w:hAnsi="Times New Roman" w:eastAsia="Cambria" w:cs="Times New Roman"/>
          <w:sz w:val="20"/>
          <w:szCs w:val="20"/>
          <w:lang w:val="en-GB"/>
        </w:rPr>
        <w:t>6</w:t>
      </w:r>
      <w:r w:rsidRPr="005F5507">
        <w:rPr>
          <w:rFonts w:ascii="Times New Roman" w:hAnsi="Times New Roman" w:eastAsia="Cambria" w:cs="Times New Roman"/>
          <w:sz w:val="20"/>
          <w:szCs w:val="20"/>
          <w:lang w:val="en-GB"/>
        </w:rPr>
        <w:t xml:space="preserve"> and </w:t>
      </w:r>
      <w:r w:rsidRPr="005F5507" w:rsidR="00910AE0">
        <w:rPr>
          <w:rFonts w:ascii="Times New Roman" w:hAnsi="Times New Roman" w:eastAsia="Cambria" w:cs="Times New Roman"/>
          <w:sz w:val="20"/>
          <w:szCs w:val="20"/>
          <w:lang w:val="en-GB"/>
        </w:rPr>
        <w:t>Z</w:t>
      </w:r>
      <w:r w:rsidRPr="005F5507" w:rsidR="00B165F3">
        <w:rPr>
          <w:rFonts w:ascii="Times New Roman" w:hAnsi="Times New Roman" w:eastAsia="Cambria" w:cs="Times New Roman"/>
          <w:sz w:val="20"/>
          <w:szCs w:val="20"/>
          <w:lang w:val="en-GB"/>
        </w:rPr>
        <w:t>1</w:t>
      </w:r>
      <w:r w:rsidRPr="005F5507" w:rsidR="004B7506">
        <w:rPr>
          <w:rFonts w:ascii="Times New Roman" w:hAnsi="Times New Roman" w:eastAsia="Cambria" w:cs="Times New Roman"/>
          <w:sz w:val="20"/>
          <w:szCs w:val="20"/>
          <w:lang w:val="en-GB"/>
        </w:rPr>
        <w:t>0</w:t>
      </w:r>
      <w:r w:rsidRPr="005F5507">
        <w:rPr>
          <w:rFonts w:ascii="Times New Roman" w:hAnsi="Times New Roman" w:eastAsia="Cambria" w:cs="Times New Roman"/>
          <w:sz w:val="20"/>
          <w:szCs w:val="20"/>
          <w:lang w:val="en-GB"/>
        </w:rPr>
        <w:t>.0</w:t>
      </w:r>
      <w:r w:rsidRPr="005F5507" w:rsidR="004B7506">
        <w:rPr>
          <w:rFonts w:ascii="Times New Roman" w:hAnsi="Times New Roman" w:eastAsia="Cambria" w:cs="Times New Roman"/>
          <w:sz w:val="20"/>
          <w:szCs w:val="20"/>
          <w:lang w:val="en-GB"/>
        </w:rPr>
        <w:t>7</w:t>
      </w:r>
      <w:r w:rsidRPr="005F5507">
        <w:rPr>
          <w:rFonts w:ascii="Times New Roman" w:hAnsi="Times New Roman" w:eastAsia="Cambria" w:cs="Times New Roman"/>
          <w:sz w:val="20"/>
          <w:szCs w:val="20"/>
          <w:lang w:val="en-GB"/>
        </w:rPr>
        <w:t>), such as loans, operational liabilities, liabilities towards clearing houses, etc.</w:t>
      </w:r>
    </w:p>
    <w:p w:rsidRPr="005F5507" w:rsidR="5372A26D" w:rsidP="005F5507" w:rsidRDefault="00B03925" w14:paraId="49717E5C" w14:textId="3DCF7399">
      <w:pPr>
        <w:pStyle w:val="InstructionsText2"/>
        <w:numPr>
          <w:ilvl w:val="2"/>
          <w:numId w:val="209"/>
        </w:numPr>
        <w:spacing w:before="0"/>
        <w:ind w:left="1276"/>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C</w:t>
      </w:r>
      <w:r w:rsidRPr="005F5507" w:rsidR="5372A26D">
        <w:rPr>
          <w:rFonts w:ascii="Times New Roman" w:hAnsi="Times New Roman" w:eastAsia="Cambria" w:cs="Times New Roman"/>
          <w:sz w:val="20"/>
          <w:szCs w:val="20"/>
          <w:lang w:val="en-GB"/>
        </w:rPr>
        <w:t xml:space="preserve">ells which are not applicable </w:t>
      </w:r>
      <w:r w:rsidRPr="005F5507" w:rsidR="00910AE0">
        <w:rPr>
          <w:rFonts w:ascii="Times New Roman" w:hAnsi="Times New Roman" w:eastAsia="Cambria" w:cs="Times New Roman"/>
          <w:sz w:val="20"/>
          <w:szCs w:val="20"/>
          <w:lang w:val="en-GB"/>
        </w:rPr>
        <w:t xml:space="preserve">for a given liability </w:t>
      </w:r>
      <w:r w:rsidRPr="005F5507" w:rsidR="5372A26D">
        <w:rPr>
          <w:rFonts w:ascii="Times New Roman" w:hAnsi="Times New Roman" w:eastAsia="Cambria" w:cs="Times New Roman"/>
          <w:sz w:val="20"/>
          <w:szCs w:val="20"/>
          <w:lang w:val="en-GB"/>
        </w:rPr>
        <w:t>(e.g. accrued interest, current interest rate, issuance date, etc.) can be left blank.</w:t>
      </w:r>
    </w:p>
    <w:p w:rsidRPr="005F5507" w:rsidR="5372A26D" w:rsidP="005F5507" w:rsidRDefault="5372A26D" w14:paraId="117B5E08" w14:textId="2013CCCE">
      <w:pPr>
        <w:pStyle w:val="InstructionsText2"/>
        <w:numPr>
          <w:ilvl w:val="2"/>
          <w:numId w:val="209"/>
        </w:numPr>
        <w:spacing w:before="0"/>
        <w:ind w:left="1276"/>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 xml:space="preserve">For the purposes of this table, liabilities </w:t>
      </w:r>
      <w:r w:rsidRPr="005F5507" w:rsidR="00B03925">
        <w:rPr>
          <w:rFonts w:ascii="Times New Roman" w:hAnsi="Times New Roman" w:eastAsia="Cambria" w:cs="Times New Roman"/>
          <w:sz w:val="20"/>
          <w:szCs w:val="20"/>
          <w:lang w:val="en-GB"/>
        </w:rPr>
        <w:t>shall</w:t>
      </w:r>
      <w:r w:rsidRPr="005F5507">
        <w:rPr>
          <w:rFonts w:ascii="Times New Roman" w:hAnsi="Times New Roman" w:eastAsia="Cambria" w:cs="Times New Roman"/>
          <w:sz w:val="20"/>
          <w:szCs w:val="20"/>
          <w:lang w:val="en-GB"/>
        </w:rPr>
        <w:t xml:space="preserve"> be reported </w:t>
      </w:r>
      <w:r w:rsidRPr="005F5507" w:rsidR="00B03925">
        <w:rPr>
          <w:rFonts w:ascii="Times New Roman" w:hAnsi="Times New Roman" w:eastAsia="Cambria" w:cs="Times New Roman"/>
          <w:sz w:val="20"/>
          <w:szCs w:val="20"/>
          <w:lang w:val="en-GB"/>
        </w:rPr>
        <w:t xml:space="preserve">in </w:t>
      </w:r>
      <w:r w:rsidRPr="005F5507" w:rsidR="008E145C">
        <w:rPr>
          <w:rFonts w:ascii="Times New Roman" w:hAnsi="Times New Roman" w:eastAsia="Cambria" w:cs="Times New Roman"/>
          <w:sz w:val="20"/>
          <w:szCs w:val="20"/>
          <w:lang w:val="en-GB"/>
        </w:rPr>
        <w:t>line</w:t>
      </w:r>
      <w:r w:rsidRPr="005F5507" w:rsidR="00B03925">
        <w:rPr>
          <w:rFonts w:ascii="Times New Roman" w:hAnsi="Times New Roman" w:eastAsia="Cambria" w:cs="Times New Roman"/>
          <w:sz w:val="20"/>
          <w:szCs w:val="20"/>
          <w:lang w:val="en-GB"/>
        </w:rPr>
        <w:t>s at the granularity level defined by</w:t>
      </w:r>
      <w:r w:rsidRPr="005F5507" w:rsidR="001536B9">
        <w:rPr>
          <w:rFonts w:ascii="Times New Roman" w:hAnsi="Times New Roman" w:eastAsia="Cambria" w:cs="Times New Roman"/>
          <w:sz w:val="20"/>
          <w:szCs w:val="20"/>
          <w:lang w:val="en-GB"/>
        </w:rPr>
        <w:t xml:space="preserve"> the requested fields.</w:t>
      </w:r>
      <w:r w:rsidRPr="005F5507">
        <w:rPr>
          <w:rFonts w:ascii="Times New Roman" w:hAnsi="Times New Roman" w:eastAsia="Cambria" w:cs="Times New Roman"/>
          <w:sz w:val="20"/>
          <w:szCs w:val="20"/>
          <w:lang w:val="en-GB"/>
        </w:rPr>
        <w:t xml:space="preserve"> </w:t>
      </w:r>
      <w:r w:rsidR="005C5CBE">
        <w:rPr>
          <w:rFonts w:ascii="Times New Roman" w:hAnsi="Times New Roman" w:eastAsia="Cambria" w:cs="Times New Roman"/>
          <w:sz w:val="20"/>
          <w:szCs w:val="20"/>
          <w:lang w:val="en-GB"/>
        </w:rPr>
        <w:t>Group e</w:t>
      </w:r>
      <w:r w:rsidRPr="005F5507" w:rsidR="001536B9">
        <w:rPr>
          <w:rFonts w:ascii="Times New Roman" w:hAnsi="Times New Roman" w:eastAsia="Cambria" w:cs="Times New Roman"/>
          <w:sz w:val="20"/>
          <w:szCs w:val="20"/>
          <w:lang w:val="en-GB"/>
        </w:rPr>
        <w:t>mployees’ liabilities by type and insolvency ranking.</w:t>
      </w:r>
    </w:p>
    <w:p w:rsidRPr="00043481" w:rsidR="5372A26D" w:rsidP="005F5507" w:rsidRDefault="5372A26D" w14:paraId="1E7E4F1F" w14:textId="77777777">
      <w:pPr>
        <w:pStyle w:val="InstructionsText2"/>
        <w:numPr>
          <w:ilvl w:val="0"/>
          <w:numId w:val="0"/>
        </w:numPr>
        <w:spacing w:before="0"/>
        <w:rPr>
          <w:rFonts w:ascii="Times New Roman" w:hAnsi="Times New Roman" w:cs="Times New Roman"/>
          <w:color w:val="000000" w:themeColor="text1"/>
          <w:sz w:val="20"/>
          <w:szCs w:val="20"/>
          <w:u w:val="single"/>
          <w:lang w:val="en-GB"/>
        </w:rPr>
      </w:pPr>
      <w:r w:rsidRPr="00335CD6">
        <w:rPr>
          <w:rFonts w:ascii="Times New Roman" w:hAnsi="Times New Roman" w:cs="Times New Roman"/>
          <w:color w:val="000000" w:themeColor="text1"/>
          <w:sz w:val="20"/>
          <w:szCs w:val="20"/>
          <w:u w:val="single"/>
          <w:lang w:val="en-GB"/>
        </w:rPr>
        <w:t>Instructions concerning specific positions</w:t>
      </w:r>
    </w:p>
    <w:tbl>
      <w:tblPr>
        <w:tblW w:w="9015" w:type="dxa"/>
        <w:tblInd w:w="135" w:type="dxa"/>
        <w:tblLayout w:type="fixed"/>
        <w:tblLook w:val="04A0" w:firstRow="1" w:lastRow="0" w:firstColumn="1" w:lastColumn="0" w:noHBand="0" w:noVBand="1"/>
      </w:tblPr>
      <w:tblGrid>
        <w:gridCol w:w="1183"/>
        <w:gridCol w:w="7832"/>
      </w:tblGrid>
      <w:tr w:rsidRPr="00D43D39" w:rsidR="00C473FC" w:rsidTr="005F5507" w14:paraId="591D65EC" w14:textId="77777777">
        <w:trPr>
          <w:tblHeader/>
        </w:trPr>
        <w:tc>
          <w:tcPr>
            <w:tcW w:w="1183" w:type="dxa"/>
            <w:tcBorders>
              <w:top w:val="single" w:color="1A171C" w:sz="8" w:space="0"/>
              <w:left w:val="nil"/>
              <w:bottom w:val="single" w:color="1A171C" w:sz="8" w:space="0"/>
              <w:right w:val="single" w:color="1A171C" w:sz="8" w:space="0"/>
            </w:tcBorders>
            <w:shd w:val="clear" w:color="auto" w:fill="D9D9D9" w:themeFill="background1" w:themeFillShade="D9"/>
          </w:tcPr>
          <w:p w:rsidRPr="005F5507" w:rsidR="5E2F2DB1" w:rsidP="005F5507" w:rsidRDefault="5E2F2DB1" w14:paraId="42C4BA86" w14:textId="327AA4A3">
            <w:pPr>
              <w:pStyle w:val="TableParagraph"/>
              <w:spacing w:before="108"/>
              <w:ind w:left="85"/>
              <w:rPr>
                <w:rFonts w:ascii="Times New Roman" w:hAnsi="Times New Roman" w:eastAsia="Cambria" w:cs="Times New Roman"/>
                <w:color w:val="000000" w:themeColor="text1"/>
                <w:sz w:val="20"/>
                <w:szCs w:val="20"/>
                <w:lang w:val="en-GB"/>
              </w:rPr>
            </w:pPr>
            <w:r w:rsidRPr="005F5507">
              <w:rPr>
                <w:rFonts w:ascii="Times New Roman" w:hAnsi="Times New Roman" w:eastAsia="Cambria" w:cs="Times New Roman"/>
                <w:color w:val="000000" w:themeColor="text1"/>
                <w:sz w:val="20"/>
                <w:szCs w:val="20"/>
                <w:lang w:val="en-GB"/>
              </w:rPr>
              <w:t xml:space="preserve">Columns </w:t>
            </w:r>
          </w:p>
        </w:tc>
        <w:tc>
          <w:tcPr>
            <w:tcW w:w="7832" w:type="dxa"/>
            <w:tcBorders>
              <w:top w:val="single" w:color="1A171C" w:sz="8" w:space="0"/>
              <w:left w:val="single" w:color="1A171C" w:sz="8" w:space="0"/>
              <w:bottom w:val="single" w:color="1A171C" w:sz="8" w:space="0"/>
              <w:right w:val="nil"/>
            </w:tcBorders>
            <w:shd w:val="clear" w:color="auto" w:fill="D9D9D9" w:themeFill="background1" w:themeFillShade="D9"/>
          </w:tcPr>
          <w:p w:rsidRPr="005F5507" w:rsidR="5E2F2DB1" w:rsidP="005F5507" w:rsidRDefault="5E2F2DB1" w14:paraId="239FE0A6" w14:textId="1618A733">
            <w:pPr>
              <w:pStyle w:val="TableParagraph"/>
              <w:spacing w:before="108"/>
              <w:ind w:left="85"/>
              <w:rPr>
                <w:rFonts w:ascii="Times New Roman" w:hAnsi="Times New Roman" w:eastAsia="Cambria" w:cs="Times New Roman"/>
                <w:color w:val="000000" w:themeColor="text1"/>
                <w:sz w:val="20"/>
                <w:szCs w:val="20"/>
                <w:lang w:val="en-GB"/>
              </w:rPr>
            </w:pPr>
            <w:r w:rsidRPr="005F5507">
              <w:rPr>
                <w:rFonts w:ascii="Times New Roman" w:hAnsi="Times New Roman" w:eastAsia="Cambria" w:cs="Times New Roman"/>
                <w:color w:val="000000" w:themeColor="text1"/>
                <w:sz w:val="20"/>
                <w:szCs w:val="20"/>
                <w:lang w:val="en-GB"/>
              </w:rPr>
              <w:t xml:space="preserve">Instructions </w:t>
            </w:r>
          </w:p>
        </w:tc>
      </w:tr>
      <w:tr w:rsidRPr="00D43D39" w:rsidR="00C473FC" w:rsidTr="00EE5E3A" w14:paraId="27623E58"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7FB5CF37" w14:textId="2ACEF6D5">
            <w:pPr>
              <w:rPr>
                <w:rFonts w:ascii="Times New Roman" w:hAnsi="Times New Roman" w:cs="Times New Roman"/>
              </w:rPr>
            </w:pPr>
            <w:r w:rsidRPr="005F5507">
              <w:rPr>
                <w:rFonts w:ascii="Times New Roman" w:hAnsi="Times New Roman" w:eastAsia="Times New Roman" w:cs="Times New Roman"/>
                <w:sz w:val="20"/>
                <w:szCs w:val="20"/>
              </w:rPr>
              <w:t>0010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59DC3848" w14:textId="57C649E8">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N° </w:t>
            </w:r>
          </w:p>
          <w:p w:rsidRPr="005F5507" w:rsidR="5E2F2DB1" w:rsidP="005F5507" w:rsidRDefault="5E2F2DB1" w14:paraId="32F98C1D" w14:textId="6D0E2C6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Unique number/primary key to identify the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w:t>
            </w:r>
          </w:p>
        </w:tc>
      </w:tr>
      <w:tr w:rsidRPr="00D43D39" w:rsidR="00C473FC" w:rsidTr="00EE5E3A" w14:paraId="09ED6EF0"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E7C99F6" w14:textId="689BC6A1">
            <w:pPr>
              <w:rPr>
                <w:rFonts w:ascii="Times New Roman" w:hAnsi="Times New Roman" w:cs="Times New Roman"/>
              </w:rPr>
            </w:pPr>
            <w:r w:rsidRPr="005F5507">
              <w:rPr>
                <w:rFonts w:ascii="Times New Roman" w:hAnsi="Times New Roman" w:eastAsia="Times New Roman" w:cs="Times New Roman"/>
                <w:sz w:val="20"/>
                <w:szCs w:val="20"/>
              </w:rPr>
              <w:t>0020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008E145C" w14:paraId="11981157" w14:textId="1F184DCF">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Line</w:t>
            </w:r>
            <w:r w:rsidRPr="005F5507" w:rsidR="5E2F2DB1">
              <w:rPr>
                <w:rFonts w:ascii="Times New Roman" w:hAnsi="Times New Roman" w:eastAsia="Times New Roman" w:cs="Times New Roman"/>
                <w:b/>
                <w:bCs/>
                <w:sz w:val="20"/>
                <w:szCs w:val="20"/>
              </w:rPr>
              <w:t xml:space="preserve"> </w:t>
            </w:r>
          </w:p>
          <w:p w:rsidRPr="005F5507" w:rsidR="5E2F2DB1" w:rsidP="005F5507" w:rsidRDefault="5E2F2DB1" w14:paraId="033139A2" w14:textId="6D277F2A">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each </w:t>
            </w:r>
            <w:r w:rsidRPr="005F5507" w:rsidR="001536B9">
              <w:rPr>
                <w:rFonts w:ascii="Times New Roman" w:hAnsi="Times New Roman" w:eastAsia="Times New Roman" w:cs="Times New Roman"/>
                <w:sz w:val="20"/>
                <w:szCs w:val="20"/>
              </w:rPr>
              <w:t xml:space="preserve">reported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a reconciliation with the categories of liabilities of the liability structure in </w:t>
            </w:r>
            <w:r w:rsidRPr="005F5507" w:rsidR="001536B9">
              <w:rPr>
                <w:rFonts w:ascii="Times New Roman" w:hAnsi="Times New Roman" w:eastAsia="Times New Roman" w:cs="Times New Roman"/>
                <w:sz w:val="20"/>
                <w:szCs w:val="20"/>
              </w:rPr>
              <w:t>Z</w:t>
            </w:r>
            <w:r w:rsidRPr="005F5507">
              <w:rPr>
                <w:rFonts w:ascii="Times New Roman" w:hAnsi="Times New Roman" w:eastAsia="Times New Roman" w:cs="Times New Roman"/>
                <w:sz w:val="20"/>
                <w:szCs w:val="20"/>
              </w:rPr>
              <w:t>0</w:t>
            </w:r>
            <w:r w:rsidRPr="005F5507" w:rsidR="001536B9">
              <w:rPr>
                <w:rFonts w:ascii="Times New Roman" w:hAnsi="Times New Roman" w:eastAsia="Times New Roman" w:cs="Times New Roman"/>
                <w:sz w:val="20"/>
                <w:szCs w:val="20"/>
              </w:rPr>
              <w:t>2</w:t>
            </w:r>
            <w:r w:rsidRPr="005F5507">
              <w:rPr>
                <w:rFonts w:ascii="Times New Roman" w:hAnsi="Times New Roman" w:eastAsia="Times New Roman" w:cs="Times New Roman"/>
                <w:sz w:val="20"/>
                <w:szCs w:val="20"/>
              </w:rPr>
              <w:t>.00 has to be provided at the level of maturity from a predefined list of values.</w:t>
            </w:r>
          </w:p>
        </w:tc>
      </w:tr>
      <w:tr w:rsidRPr="00D43D39" w:rsidR="00C473FC" w:rsidTr="00EE5E3A" w14:paraId="2E84CC00"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AC4B111" w14:textId="19960274">
            <w:pPr>
              <w:rPr>
                <w:rFonts w:ascii="Times New Roman" w:hAnsi="Times New Roman" w:cs="Times New Roman"/>
              </w:rPr>
            </w:pPr>
            <w:r w:rsidRPr="005F5507">
              <w:rPr>
                <w:rFonts w:ascii="Times New Roman" w:hAnsi="Times New Roman" w:eastAsia="Times New Roman" w:cs="Times New Roman"/>
                <w:sz w:val="20"/>
                <w:szCs w:val="20"/>
              </w:rPr>
              <w:t>0030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70DF4307" w14:textId="1F46608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Column </w:t>
            </w:r>
          </w:p>
          <w:p w:rsidRPr="005F5507" w:rsidR="5E2F2DB1" w:rsidP="005F5507" w:rsidRDefault="5E2F2DB1" w14:paraId="2A94165F" w14:textId="4B75CCA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each </w:t>
            </w:r>
            <w:r w:rsidRPr="005F5507" w:rsidR="001536B9">
              <w:rPr>
                <w:rFonts w:ascii="Times New Roman" w:hAnsi="Times New Roman" w:eastAsia="Times New Roman" w:cs="Times New Roman"/>
                <w:sz w:val="20"/>
                <w:szCs w:val="20"/>
              </w:rPr>
              <w:t xml:space="preserve">reported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a reconciliation with the counterparty class in </w:t>
            </w:r>
            <w:r w:rsidRPr="005F5507" w:rsidR="001536B9">
              <w:rPr>
                <w:rFonts w:ascii="Times New Roman" w:hAnsi="Times New Roman" w:eastAsia="Times New Roman" w:cs="Times New Roman"/>
                <w:sz w:val="20"/>
                <w:szCs w:val="20"/>
              </w:rPr>
              <w:t>Z</w:t>
            </w:r>
            <w:r w:rsidRPr="005F5507">
              <w:rPr>
                <w:rFonts w:ascii="Times New Roman" w:hAnsi="Times New Roman" w:eastAsia="Times New Roman" w:cs="Times New Roman"/>
                <w:sz w:val="20"/>
                <w:szCs w:val="20"/>
              </w:rPr>
              <w:t>0</w:t>
            </w:r>
            <w:r w:rsidRPr="005F5507" w:rsidR="001536B9">
              <w:rPr>
                <w:rFonts w:ascii="Times New Roman" w:hAnsi="Times New Roman" w:eastAsia="Times New Roman" w:cs="Times New Roman"/>
                <w:sz w:val="20"/>
                <w:szCs w:val="20"/>
              </w:rPr>
              <w:t>2</w:t>
            </w:r>
            <w:r w:rsidRPr="005F5507">
              <w:rPr>
                <w:rFonts w:ascii="Times New Roman" w:hAnsi="Times New Roman" w:eastAsia="Times New Roman" w:cs="Times New Roman"/>
                <w:sz w:val="20"/>
                <w:szCs w:val="20"/>
              </w:rPr>
              <w:t>.00 to which the liability is owed has to be provided from predefined list of values.</w:t>
            </w:r>
          </w:p>
        </w:tc>
      </w:tr>
      <w:tr w:rsidRPr="00D43D39" w:rsidR="00C473FC" w:rsidTr="00EE5E3A" w14:paraId="0A103D5B"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116474AE" w14:textId="3B10B9A6">
            <w:pPr>
              <w:rPr>
                <w:rFonts w:ascii="Times New Roman" w:hAnsi="Times New Roman" w:cs="Times New Roman"/>
              </w:rPr>
            </w:pPr>
            <w:r w:rsidRPr="005F5507">
              <w:rPr>
                <w:rFonts w:ascii="Times New Roman" w:hAnsi="Times New Roman" w:eastAsia="Times New Roman" w:cs="Times New Roman"/>
                <w:sz w:val="20"/>
                <w:szCs w:val="20"/>
              </w:rPr>
              <w:t>0040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6530DF89" w14:textId="285AC1D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Insolvency </w:t>
            </w:r>
            <w:r w:rsidRPr="005F5507" w:rsidR="001536B9">
              <w:rPr>
                <w:rFonts w:ascii="Times New Roman" w:hAnsi="Times New Roman" w:eastAsia="Times New Roman" w:cs="Times New Roman"/>
                <w:b/>
                <w:bCs/>
                <w:sz w:val="20"/>
                <w:szCs w:val="20"/>
              </w:rPr>
              <w:t>r</w:t>
            </w:r>
            <w:r w:rsidRPr="005F5507">
              <w:rPr>
                <w:rFonts w:ascii="Times New Roman" w:hAnsi="Times New Roman" w:eastAsia="Times New Roman" w:cs="Times New Roman"/>
                <w:b/>
                <w:bCs/>
                <w:sz w:val="20"/>
                <w:szCs w:val="20"/>
              </w:rPr>
              <w:t xml:space="preserve">anking  </w:t>
            </w:r>
          </w:p>
          <w:p w:rsidRPr="005F5507" w:rsidR="5E2F2DB1" w:rsidP="005F5507" w:rsidRDefault="001536B9" w14:paraId="564908BD" w14:textId="3CCB13BF">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insolvency rank shall be one of the ranks included in the insolvency rankings published by the resolution authority of that jurisdiction.</w:t>
            </w:r>
          </w:p>
        </w:tc>
      </w:tr>
      <w:tr w:rsidRPr="00D43D39" w:rsidR="00C473FC" w:rsidTr="00EE5E3A" w14:paraId="41D407CA"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546653E8" w14:textId="480F8086">
            <w:pPr>
              <w:rPr>
                <w:rFonts w:ascii="Times New Roman" w:hAnsi="Times New Roman" w:cs="Times New Roman"/>
              </w:rPr>
            </w:pPr>
            <w:r w:rsidRPr="005F5507">
              <w:rPr>
                <w:rFonts w:ascii="Times New Roman" w:hAnsi="Times New Roman" w:eastAsia="Times New Roman" w:cs="Times New Roman"/>
                <w:sz w:val="20"/>
                <w:szCs w:val="20"/>
              </w:rPr>
              <w:t>0050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60EC73F" w14:textId="7A4400D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Contract identifier </w:t>
            </w:r>
          </w:p>
          <w:p w:rsidRPr="005F5507" w:rsidR="5E2F2DB1" w:rsidP="005F5507" w:rsidRDefault="001536B9" w14:paraId="14091F35" w14:textId="55C1660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ISIN or, in case the ISIN is not available, another contract identifier of the instrument shall be reported.</w:t>
            </w:r>
          </w:p>
        </w:tc>
      </w:tr>
      <w:tr w:rsidRPr="00D43D39" w:rsidR="00C473FC" w:rsidTr="00EE5E3A" w14:paraId="67754429"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CE3BE03" w14:textId="1A8AD566">
            <w:pPr>
              <w:rPr>
                <w:rFonts w:ascii="Times New Roman" w:hAnsi="Times New Roman" w:cs="Times New Roman"/>
              </w:rPr>
            </w:pPr>
            <w:r w:rsidRPr="005F5507">
              <w:rPr>
                <w:rFonts w:ascii="Times New Roman" w:hAnsi="Times New Roman" w:eastAsia="Times New Roman" w:cs="Times New Roman"/>
                <w:sz w:val="20"/>
                <w:szCs w:val="20"/>
              </w:rPr>
              <w:t>0055</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00945B6F" w14:paraId="78B4E781" w14:textId="3E4C6AE0">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N</w:t>
            </w:r>
            <w:r w:rsidRPr="005F5507" w:rsidR="5E2F2DB1">
              <w:rPr>
                <w:rFonts w:ascii="Times New Roman" w:hAnsi="Times New Roman" w:eastAsia="Times New Roman" w:cs="Times New Roman"/>
                <w:b/>
                <w:bCs/>
                <w:sz w:val="20"/>
                <w:szCs w:val="20"/>
              </w:rPr>
              <w:t xml:space="preserve">ame of the counterparty </w:t>
            </w:r>
          </w:p>
          <w:p w:rsidRPr="005F5507" w:rsidR="5E2F2DB1" w:rsidP="005F5507" w:rsidRDefault="00945B6F" w14:paraId="58E38E45" w14:textId="48856F1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entity name of the counterparty of the liability.</w:t>
            </w:r>
            <w:r w:rsidRPr="005F5507" w:rsidR="5E2F2DB1">
              <w:rPr>
                <w:rFonts w:ascii="Times New Roman" w:hAnsi="Times New Roman" w:eastAsia="Times New Roman" w:cs="Times New Roman"/>
                <w:sz w:val="20"/>
                <w:szCs w:val="20"/>
              </w:rPr>
              <w:t>.</w:t>
            </w:r>
          </w:p>
        </w:tc>
      </w:tr>
      <w:tr w:rsidRPr="00D43D39" w:rsidR="00C473FC" w:rsidTr="00EE5E3A" w14:paraId="5CACCDBC"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150B92E3" w14:textId="49BEA15E">
            <w:pPr>
              <w:rPr>
                <w:rFonts w:ascii="Times New Roman" w:hAnsi="Times New Roman" w:cs="Times New Roman"/>
              </w:rPr>
            </w:pPr>
            <w:r w:rsidRPr="005F5507">
              <w:rPr>
                <w:rFonts w:ascii="Times New Roman" w:hAnsi="Times New Roman" w:eastAsia="Times New Roman" w:cs="Times New Roman"/>
                <w:sz w:val="20"/>
                <w:szCs w:val="20"/>
              </w:rPr>
              <w:t>0060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009623D5" w14:textId="4204B986">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Lending Entity/Counterpart (ID) </w:t>
            </w:r>
          </w:p>
          <w:p w:rsidRPr="00D43D39" w:rsidR="5E2F2DB1" w:rsidP="005F5507" w:rsidRDefault="00486437" w14:paraId="48922E11" w14:textId="38F85AE5">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w:t>
            </w:r>
            <w:r w:rsidRPr="005F5507" w:rsidR="5E2F2DB1">
              <w:rPr>
                <w:rFonts w:ascii="Times New Roman" w:hAnsi="Times New Roman" w:eastAsia="Times New Roman" w:cs="Times New Roman"/>
                <w:sz w:val="20"/>
                <w:szCs w:val="20"/>
              </w:rPr>
              <w:t xml:space="preserve">eport the creditor’s LEI code. In the absence of a LEI, in the case of banks’ </w:t>
            </w:r>
            <w:r w:rsidR="005C5CBE">
              <w:rPr>
                <w:rFonts w:ascii="Times New Roman" w:hAnsi="Times New Roman" w:eastAsia="Times New Roman" w:cs="Times New Roman"/>
                <w:sz w:val="20"/>
                <w:szCs w:val="20"/>
              </w:rPr>
              <w:t xml:space="preserve">report </w:t>
            </w:r>
            <w:r w:rsidRPr="005F5507" w:rsidR="5E2F2DB1">
              <w:rPr>
                <w:rFonts w:ascii="Times New Roman" w:hAnsi="Times New Roman" w:eastAsia="Times New Roman" w:cs="Times New Roman"/>
                <w:sz w:val="20"/>
                <w:szCs w:val="20"/>
              </w:rPr>
              <w:t xml:space="preserve">the ECB Monetary Financial Institutions identifier (MFI ID) used in RIAD. Exclusively in absence of both these identifiers, </w:t>
            </w:r>
            <w:r w:rsidR="005463EE">
              <w:rPr>
                <w:rFonts w:ascii="Times New Roman" w:hAnsi="Times New Roman" w:eastAsia="Times New Roman" w:cs="Times New Roman"/>
                <w:sz w:val="20"/>
                <w:szCs w:val="20"/>
              </w:rPr>
              <w:t xml:space="preserve">report </w:t>
            </w:r>
            <w:r w:rsidRPr="005F5507" w:rsidR="5E2F2DB1">
              <w:rPr>
                <w:rFonts w:ascii="Times New Roman" w:hAnsi="Times New Roman" w:eastAsia="Times New Roman" w:cs="Times New Roman"/>
                <w:sz w:val="20"/>
                <w:szCs w:val="20"/>
              </w:rPr>
              <w:t>an internal identifier.</w:t>
            </w:r>
          </w:p>
          <w:p w:rsidRPr="005F5507" w:rsidR="00EE562F" w:rsidP="005F5507" w:rsidRDefault="00EE562F" w14:paraId="1A41BD7C" w14:textId="7E5C6916">
            <w:pPr>
              <w:pStyle w:val="TableParagraph"/>
              <w:spacing w:before="108"/>
              <w:ind w:left="85"/>
              <w:jc w:val="both"/>
              <w:rPr>
                <w:rFonts w:ascii="Times New Roman" w:hAnsi="Times New Roman" w:eastAsia="Times New Roman" w:cs="Times New Roman"/>
                <w:sz w:val="20"/>
                <w:szCs w:val="20"/>
              </w:rPr>
            </w:pPr>
          </w:p>
        </w:tc>
      </w:tr>
      <w:tr w:rsidRPr="00D43D39" w:rsidR="00C473FC" w:rsidTr="00EE5E3A" w14:paraId="0D1B976E"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C75B50E" w14:textId="4D6BAA11">
            <w:pPr>
              <w:rPr>
                <w:rFonts w:ascii="Times New Roman" w:hAnsi="Times New Roman" w:cs="Times New Roman"/>
              </w:rPr>
            </w:pPr>
            <w:r w:rsidRPr="005F5507">
              <w:rPr>
                <w:rFonts w:ascii="Times New Roman" w:hAnsi="Times New Roman" w:eastAsia="Times New Roman" w:cs="Times New Roman"/>
                <w:sz w:val="20"/>
                <w:szCs w:val="20"/>
              </w:rPr>
              <w:t>0065</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00077182" w14:textId="1B41F98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Type of </w:t>
            </w:r>
            <w:r w:rsidRPr="005F5507" w:rsidR="00B03925">
              <w:rPr>
                <w:rFonts w:ascii="Times New Roman" w:hAnsi="Times New Roman" w:eastAsia="Times New Roman" w:cs="Times New Roman"/>
                <w:b/>
                <w:bCs/>
                <w:sz w:val="20"/>
                <w:szCs w:val="20"/>
              </w:rPr>
              <w:t xml:space="preserve">identifier </w:t>
            </w:r>
          </w:p>
          <w:p w:rsidRPr="005F5507" w:rsidR="5E2F2DB1" w:rsidP="005F5507" w:rsidRDefault="5E2F2DB1" w14:paraId="442A6D59" w14:textId="107FF82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To be chosen among the following options: “LEI code”, “MFI code” or “Type of identifier, other than LEI or MFI code”.</w:t>
            </w:r>
          </w:p>
        </w:tc>
      </w:tr>
      <w:tr w:rsidRPr="00D43D39" w:rsidR="00C473FC" w:rsidTr="00EE5E3A" w14:paraId="6EC6917F"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6489A3BA" w14:textId="26A73EE0">
            <w:pPr>
              <w:rPr>
                <w:rFonts w:ascii="Times New Roman" w:hAnsi="Times New Roman" w:cs="Times New Roman"/>
              </w:rPr>
            </w:pPr>
            <w:r w:rsidRPr="005F5507">
              <w:rPr>
                <w:rFonts w:ascii="Times New Roman" w:hAnsi="Times New Roman" w:eastAsia="Times New Roman" w:cs="Times New Roman"/>
                <w:sz w:val="20"/>
                <w:szCs w:val="20"/>
              </w:rPr>
              <w:t xml:space="preserve"> 007</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34575B3" w14:textId="3A385F70">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Governing </w:t>
            </w:r>
            <w:r w:rsidRPr="005F5507" w:rsidR="00B03925">
              <w:rPr>
                <w:rFonts w:ascii="Times New Roman" w:hAnsi="Times New Roman" w:eastAsia="Times New Roman" w:cs="Times New Roman"/>
                <w:sz w:val="20"/>
                <w:szCs w:val="20"/>
              </w:rPr>
              <w:t xml:space="preserve">law  </w:t>
            </w:r>
          </w:p>
          <w:p w:rsidRPr="005F5507" w:rsidR="5E2F2DB1" w:rsidP="005F5507" w:rsidRDefault="002E0749" w14:paraId="719CB71E" w14:textId="0EDB0ECA">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ISO 3166-1 alpha-2 code of the country whose law governs the instrument (use the ISO 3166-2 code when the law of an administrative subdivision is relevant, e.g. ‘US-NY’). </w:t>
            </w:r>
            <w:r w:rsidRPr="005F5507" w:rsidR="5E2F2DB1">
              <w:rPr>
                <w:rFonts w:ascii="Times New Roman" w:hAnsi="Times New Roman" w:eastAsia="Times New Roman" w:cs="Times New Roman"/>
                <w:sz w:val="20"/>
                <w:szCs w:val="20"/>
              </w:rPr>
              <w:t xml:space="preserve">If the contract is governed by the law of more than one country, the country the law of which has the highest relevance for the recognition of write down and conversion powers shall be reported.  </w:t>
            </w:r>
          </w:p>
        </w:tc>
      </w:tr>
      <w:tr w:rsidRPr="00D43D39" w:rsidR="00C473FC" w:rsidTr="00EE5E3A" w14:paraId="74949C2E"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6ED8B5F" w14:textId="655CDFD5">
            <w:pPr>
              <w:rPr>
                <w:rFonts w:ascii="Times New Roman" w:hAnsi="Times New Roman" w:cs="Times New Roman"/>
              </w:rPr>
            </w:pPr>
            <w:r w:rsidRPr="005F5507">
              <w:rPr>
                <w:rFonts w:ascii="Times New Roman" w:hAnsi="Times New Roman" w:eastAsia="Times New Roman" w:cs="Times New Roman"/>
                <w:sz w:val="20"/>
                <w:szCs w:val="20"/>
              </w:rPr>
              <w:t xml:space="preserve"> 007</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5B4A23FA" w14:textId="04D3154E">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Type of </w:t>
            </w:r>
            <w:r w:rsidRPr="005F5507" w:rsidR="00B03925">
              <w:rPr>
                <w:rFonts w:ascii="Times New Roman" w:hAnsi="Times New Roman" w:eastAsia="Times New Roman" w:cs="Times New Roman"/>
                <w:b/>
                <w:bCs/>
                <w:sz w:val="20"/>
                <w:szCs w:val="20"/>
              </w:rPr>
              <w:t xml:space="preserve">financial liabilities </w:t>
            </w:r>
          </w:p>
          <w:p w:rsidRPr="005F5507" w:rsidR="5E2F2DB1" w:rsidP="005F5507" w:rsidRDefault="5E2F2DB1" w14:paraId="703CA7E3" w14:textId="5F4F363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To be chosen among the following options “</w:t>
            </w:r>
            <w:r w:rsidR="00E83511">
              <w:rPr>
                <w:rFonts w:ascii="Times New Roman" w:hAnsi="Times New Roman" w:eastAsia="Times New Roman" w:cs="Times New Roman"/>
                <w:sz w:val="20"/>
                <w:szCs w:val="20"/>
              </w:rPr>
              <w:t>Borrower Note Loan</w:t>
            </w:r>
            <w:r w:rsidRPr="005F5507">
              <w:rPr>
                <w:rFonts w:ascii="Times New Roman" w:hAnsi="Times New Roman" w:eastAsia="Times New Roman" w:cs="Times New Roman"/>
                <w:sz w:val="20"/>
                <w:szCs w:val="20"/>
              </w:rPr>
              <w:t xml:space="preserve">”, “Registered </w:t>
            </w:r>
            <w:r w:rsidR="00E83511">
              <w:rPr>
                <w:rFonts w:ascii="Times New Roman" w:hAnsi="Times New Roman" w:eastAsia="Times New Roman" w:cs="Times New Roman"/>
                <w:sz w:val="20"/>
                <w:szCs w:val="20"/>
              </w:rPr>
              <w:t>bond</w:t>
            </w:r>
            <w:r w:rsidRPr="005F5507">
              <w:rPr>
                <w:rFonts w:ascii="Times New Roman" w:hAnsi="Times New Roman" w:eastAsia="Times New Roman" w:cs="Times New Roman"/>
                <w:sz w:val="20"/>
                <w:szCs w:val="20"/>
              </w:rPr>
              <w:t>”, “Bill of exchange”, “Silent Partnership Contributions”, “Financial liabilities other than debt securities issued, deposits, promissory notes, registered notes, bills of exchange, silent partnership contributions”.</w:t>
            </w:r>
          </w:p>
        </w:tc>
      </w:tr>
      <w:tr w:rsidRPr="00D43D39" w:rsidR="00C473FC" w:rsidTr="00EE5E3A" w14:paraId="3C6C824D"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D1F2F1C" w14:textId="6486B114">
            <w:pPr>
              <w:rPr>
                <w:rFonts w:ascii="Times New Roman" w:hAnsi="Times New Roman" w:cs="Times New Roman"/>
              </w:rPr>
            </w:pPr>
            <w:r w:rsidRPr="005F5507">
              <w:rPr>
                <w:rFonts w:ascii="Times New Roman" w:hAnsi="Times New Roman" w:eastAsia="Times New Roman" w:cs="Times New Roman"/>
                <w:sz w:val="20"/>
                <w:szCs w:val="20"/>
              </w:rPr>
              <w:t>0080</w:t>
            </w:r>
          </w:p>
        </w:tc>
        <w:tc>
          <w:tcPr>
            <w:tcW w:w="7832" w:type="dxa"/>
            <w:tcBorders>
              <w:top w:val="single" w:color="1A171C" w:sz="8" w:space="0"/>
              <w:left w:val="single" w:color="1A171C" w:sz="8" w:space="0"/>
              <w:bottom w:val="single" w:color="1A171C" w:sz="8" w:space="0"/>
              <w:right w:val="nil"/>
            </w:tcBorders>
            <w:vAlign w:val="bottom"/>
          </w:tcPr>
          <w:p w:rsidRPr="005F5507" w:rsidR="00B03925" w:rsidP="005F5507" w:rsidRDefault="5E2F2DB1" w14:paraId="0B2DC800" w14:textId="30EAD55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b/>
                <w:bCs/>
                <w:sz w:val="20"/>
                <w:szCs w:val="20"/>
              </w:rPr>
              <w:t>If Third Country Law law</w:t>
            </w:r>
            <w:r w:rsidRPr="005F5507" w:rsidR="002E0749">
              <w:rPr>
                <w:rFonts w:ascii="Times New Roman" w:hAnsi="Times New Roman" w:eastAsia="Times New Roman" w:cs="Times New Roman"/>
                <w:b/>
                <w:bCs/>
                <w:sz w:val="20"/>
                <w:szCs w:val="20"/>
              </w:rPr>
              <w:t>,</w:t>
            </w:r>
            <w:r w:rsidRPr="005F5507">
              <w:rPr>
                <w:rFonts w:ascii="Times New Roman" w:hAnsi="Times New Roman" w:eastAsia="Times New Roman" w:cs="Times New Roman"/>
                <w:b/>
                <w:bCs/>
                <w:sz w:val="20"/>
                <w:szCs w:val="20"/>
              </w:rPr>
              <w:t xml:space="preserve"> </w:t>
            </w:r>
            <w:r w:rsidRPr="005F5507" w:rsidR="002E0749">
              <w:rPr>
                <w:rFonts w:ascii="Times New Roman" w:hAnsi="Times New Roman" w:eastAsia="Times New Roman" w:cs="Times New Roman"/>
                <w:b/>
                <w:bCs/>
                <w:sz w:val="20"/>
                <w:szCs w:val="20"/>
              </w:rPr>
              <w:t>c</w:t>
            </w:r>
            <w:r w:rsidRPr="005F5507">
              <w:rPr>
                <w:rFonts w:ascii="Times New Roman" w:hAnsi="Times New Roman" w:eastAsia="Times New Roman" w:cs="Times New Roman"/>
                <w:b/>
                <w:bCs/>
                <w:sz w:val="20"/>
                <w:szCs w:val="20"/>
              </w:rPr>
              <w:t xml:space="preserve">ontractual </w:t>
            </w:r>
            <w:r w:rsidRPr="005F5507" w:rsidR="002E0749">
              <w:rPr>
                <w:rFonts w:ascii="Times New Roman" w:hAnsi="Times New Roman" w:eastAsia="Times New Roman" w:cs="Times New Roman"/>
                <w:b/>
                <w:bCs/>
                <w:sz w:val="20"/>
                <w:szCs w:val="20"/>
              </w:rPr>
              <w:t>r</w:t>
            </w:r>
            <w:r w:rsidRPr="005F5507">
              <w:rPr>
                <w:rFonts w:ascii="Times New Roman" w:hAnsi="Times New Roman" w:eastAsia="Times New Roman" w:cs="Times New Roman"/>
                <w:b/>
                <w:bCs/>
                <w:sz w:val="20"/>
                <w:szCs w:val="20"/>
              </w:rPr>
              <w:t xml:space="preserve">ecognition </w:t>
            </w:r>
          </w:p>
          <w:p w:rsidRPr="005F5507" w:rsidR="004F4C6D" w:rsidP="005F5507" w:rsidRDefault="5E2F2DB1" w14:paraId="25200EAD"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 xml:space="preserve">Identification of contractual provisions for the recognition of bail-in powers in line with article 55 of the BRRD, either </w:t>
            </w:r>
          </w:p>
          <w:p w:rsidRPr="005F5507" w:rsidR="004F4C6D" w:rsidP="005F5507" w:rsidRDefault="004F4C6D" w14:paraId="18E54016" w14:textId="70987DD4">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Yes, supported by Legal Opinion” = the liability includes a bail-in recognition clause in line with Article 55 BRRD that is supported by a legal opinion;</w:t>
            </w:r>
          </w:p>
          <w:p w:rsidRPr="005F5507" w:rsidR="004F4C6D" w:rsidP="005F5507" w:rsidRDefault="004F4C6D" w14:paraId="2DD84730"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“Yes, not supported by Legal Opinion” = the liability includes a bail-in recognition clause in line with Article 55 BRRD that is currently not supported by a legal opinion;</w:t>
            </w:r>
          </w:p>
          <w:p w:rsidRPr="005F5507" w:rsidR="004F4C6D" w:rsidP="005F5507" w:rsidRDefault="004F4C6D" w14:paraId="5D2FC2F2" w14:textId="77777777">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“No” = the liability does not include a bail-in recognition clause;</w:t>
            </w:r>
          </w:p>
          <w:p w:rsidRPr="005F5507" w:rsidR="004F4C6D" w:rsidP="005F5507" w:rsidRDefault="004F4C6D" w14:paraId="42828A61" w14:textId="4BE06913">
            <w:pPr>
              <w:pStyle w:val="TableParagraph"/>
              <w:spacing w:before="108"/>
              <w:ind w:left="85"/>
              <w:jc w:val="both"/>
              <w:rPr>
                <w:rFonts w:ascii="Times New Roman" w:hAnsi="Times New Roman" w:eastAsia="Times New Roman"/>
                <w:sz w:val="20"/>
                <w:szCs w:val="20"/>
              </w:rPr>
            </w:pPr>
            <w:r w:rsidRPr="005F5507">
              <w:rPr>
                <w:rFonts w:ascii="Times New Roman" w:hAnsi="Times New Roman" w:eastAsia="Times New Roman" w:cs="Times New Roman"/>
                <w:sz w:val="20"/>
                <w:szCs w:val="20"/>
              </w:rPr>
              <w:t>“Not applicable”</w:t>
            </w:r>
            <w:r w:rsidR="000142F4">
              <w:rPr>
                <w:rFonts w:ascii="Times New Roman" w:hAnsi="Times New Roman" w:eastAsia="Times New Roman" w:cs="Times New Roman"/>
                <w:sz w:val="20"/>
                <w:szCs w:val="20"/>
              </w:rPr>
              <w:t>,</w:t>
            </w:r>
            <w:r w:rsidRPr="005F5507">
              <w:rPr>
                <w:rFonts w:ascii="Times New Roman" w:hAnsi="Times New Roman" w:eastAsia="Times New Roman" w:cs="Times New Roman"/>
                <w:sz w:val="20"/>
                <w:szCs w:val="20"/>
              </w:rPr>
              <w:t xml:space="preserve">  </w:t>
            </w:r>
            <w:r w:rsidRPr="005F5507" w:rsidR="5E2F2DB1">
              <w:rPr>
                <w:rFonts w:ascii="Times New Roman" w:hAnsi="Times New Roman" w:eastAsia="Times New Roman" w:cs="Times New Roman"/>
                <w:sz w:val="20"/>
                <w:szCs w:val="20"/>
              </w:rPr>
              <w:t xml:space="preserve"> </w:t>
            </w:r>
          </w:p>
          <w:p w:rsidRPr="005F5507" w:rsidR="5E2F2DB1" w:rsidP="005F5507" w:rsidRDefault="5E2F2DB1" w14:paraId="26AA24E5" w14:textId="1FE5809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from a predefined list.</w:t>
            </w:r>
          </w:p>
        </w:tc>
      </w:tr>
      <w:tr w:rsidRPr="00D43D39" w:rsidR="00C473FC" w:rsidTr="00EE5E3A" w14:paraId="29BF87C3"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334B7AA6" w14:textId="106308DE">
            <w:pPr>
              <w:rPr>
                <w:rFonts w:ascii="Times New Roman" w:hAnsi="Times New Roman" w:cs="Times New Roman"/>
              </w:rPr>
            </w:pPr>
            <w:r w:rsidRPr="005F5507">
              <w:rPr>
                <w:rFonts w:ascii="Times New Roman" w:hAnsi="Times New Roman" w:eastAsia="Times New Roman" w:cs="Times New Roman"/>
                <w:sz w:val="20"/>
                <w:szCs w:val="20"/>
              </w:rPr>
              <w:t>0090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262A05C7" w14:textId="7B2BD664">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Outstanding Principal Amount  </w:t>
            </w:r>
          </w:p>
          <w:p w:rsidRPr="005F5507" w:rsidR="5E2F2DB1" w:rsidP="005F5507" w:rsidRDefault="5E2F2DB1" w14:paraId="558EEFF0" w14:textId="5556C50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outstanding principal amount of the </w:t>
            </w:r>
            <w:r w:rsidRPr="005F5507" w:rsidR="002E0749">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w:t>
            </w:r>
          </w:p>
        </w:tc>
      </w:tr>
      <w:tr w:rsidRPr="00D43D39" w:rsidR="00C473FC" w:rsidTr="00EE5E3A" w14:paraId="01943B29"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9A17191" w14:textId="0397DE44">
            <w:pPr>
              <w:rPr>
                <w:rFonts w:ascii="Times New Roman" w:hAnsi="Times New Roman" w:cs="Times New Roman"/>
              </w:rPr>
            </w:pPr>
            <w:r w:rsidRPr="005F5507">
              <w:rPr>
                <w:rFonts w:ascii="Times New Roman" w:hAnsi="Times New Roman" w:eastAsia="Times New Roman" w:cs="Times New Roman"/>
                <w:sz w:val="20"/>
                <w:szCs w:val="20"/>
              </w:rPr>
              <w:t>0100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7768BCB7" w14:textId="646DEB70">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Accrued Interest </w:t>
            </w:r>
          </w:p>
          <w:p w:rsidRPr="005F5507" w:rsidR="5E2F2DB1" w:rsidP="005F5507" w:rsidRDefault="5E2F2DB1" w14:paraId="1C5CEC05" w14:textId="025DBE2D">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outstanding accrued interest on the</w:t>
            </w:r>
            <w:r w:rsidRPr="005F5507" w:rsidR="002E0749">
              <w:rPr>
                <w:rFonts w:ascii="Times New Roman" w:hAnsi="Times New Roman" w:eastAsia="Times New Roman" w:cs="Times New Roman"/>
                <w:sz w:val="20"/>
                <w:szCs w:val="20"/>
              </w:rPr>
              <w:t xml:space="preserve"> liability</w:t>
            </w:r>
            <w:r w:rsidRPr="005F5507">
              <w:rPr>
                <w:rFonts w:ascii="Times New Roman" w:hAnsi="Times New Roman" w:eastAsia="Times New Roman" w:cs="Times New Roman"/>
                <w:sz w:val="20"/>
                <w:szCs w:val="20"/>
              </w:rPr>
              <w:t>.</w:t>
            </w:r>
          </w:p>
        </w:tc>
      </w:tr>
      <w:tr w:rsidRPr="00D43D39" w:rsidR="00C473FC" w:rsidTr="00EE5E3A" w14:paraId="580E99E0"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6A99380E" w14:textId="726B29CC">
            <w:pPr>
              <w:rPr>
                <w:rFonts w:ascii="Times New Roman" w:hAnsi="Times New Roman" w:cs="Times New Roman"/>
              </w:rPr>
            </w:pPr>
            <w:r w:rsidRPr="005F5507">
              <w:rPr>
                <w:rFonts w:ascii="Times New Roman" w:hAnsi="Times New Roman" w:eastAsia="Times New Roman" w:cs="Times New Roman"/>
                <w:sz w:val="20"/>
                <w:szCs w:val="20"/>
              </w:rPr>
              <w:t>0110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05E0E7EA" w14:textId="615583A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Current Interest Rate (%) </w:t>
            </w:r>
          </w:p>
          <w:p w:rsidRPr="005F5507" w:rsidR="5E2F2DB1" w:rsidP="005F5507" w:rsidRDefault="5E2F2DB1" w14:paraId="07044669" w14:textId="7048DA4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Current level of the interest rate that is applicable to the </w:t>
            </w:r>
            <w:r w:rsidRPr="005F5507" w:rsidR="002E0749">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 xml:space="preserve">. </w:t>
            </w:r>
          </w:p>
        </w:tc>
      </w:tr>
      <w:tr w:rsidRPr="00D43D39" w:rsidR="00C473FC" w:rsidTr="00EE5E3A" w14:paraId="137DFC96"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C4FCDC7" w14:textId="068E9DAB">
            <w:pPr>
              <w:rPr>
                <w:rFonts w:ascii="Times New Roman" w:hAnsi="Times New Roman" w:cs="Times New Roman"/>
              </w:rPr>
            </w:pPr>
            <w:r w:rsidRPr="005F5507">
              <w:rPr>
                <w:rFonts w:ascii="Times New Roman" w:hAnsi="Times New Roman" w:eastAsia="Times New Roman" w:cs="Times New Roman"/>
                <w:sz w:val="20"/>
                <w:szCs w:val="20"/>
              </w:rPr>
              <w:t>0120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389F3495" w14:textId="3420042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Currency  </w:t>
            </w:r>
          </w:p>
          <w:p w:rsidRPr="005F5507" w:rsidR="5E2F2DB1" w:rsidP="005F5507" w:rsidRDefault="5E2F2DB1" w14:paraId="02DE2F5D" w14:textId="35EA630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currency </w:t>
            </w:r>
            <w:r w:rsidRPr="005F5507" w:rsidR="002E0749">
              <w:rPr>
                <w:rFonts w:ascii="Times New Roman" w:hAnsi="Times New Roman" w:eastAsia="Times New Roman" w:cs="Times New Roman"/>
                <w:sz w:val="20"/>
                <w:szCs w:val="20"/>
              </w:rPr>
              <w:t>of the liability</w:t>
            </w:r>
            <w:r w:rsidRPr="005F5507" w:rsidR="00EA7A46">
              <w:rPr>
                <w:rFonts w:ascii="Times New Roman" w:hAnsi="Times New Roman" w:eastAsia="Times New Roman" w:cs="Times New Roman"/>
                <w:sz w:val="20"/>
                <w:szCs w:val="20"/>
              </w:rPr>
              <w:t xml:space="preserve"> in line with its 3-letter ISO 4217 code</w:t>
            </w:r>
            <w:r w:rsidRPr="005F5507">
              <w:rPr>
                <w:rFonts w:ascii="Times New Roman" w:hAnsi="Times New Roman" w:eastAsia="Times New Roman" w:cs="Times New Roman"/>
                <w:sz w:val="20"/>
                <w:szCs w:val="20"/>
              </w:rPr>
              <w:t>.</w:t>
            </w:r>
          </w:p>
        </w:tc>
      </w:tr>
      <w:tr w:rsidRPr="00D43D39" w:rsidR="00C473FC" w:rsidTr="00EE5E3A" w14:paraId="35FBCEFD"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9999327" w14:textId="01D60751">
            <w:pPr>
              <w:rPr>
                <w:rFonts w:ascii="Times New Roman" w:hAnsi="Times New Roman" w:cs="Times New Roman"/>
              </w:rPr>
            </w:pPr>
            <w:r w:rsidRPr="005F5507">
              <w:rPr>
                <w:rFonts w:ascii="Times New Roman" w:hAnsi="Times New Roman" w:eastAsia="Times New Roman" w:cs="Times New Roman"/>
                <w:sz w:val="20"/>
                <w:szCs w:val="20"/>
              </w:rPr>
              <w:t>0130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6824C499" w14:textId="7BE6EFC4">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Issuance Date </w:t>
            </w:r>
          </w:p>
          <w:p w:rsidRPr="005F5507" w:rsidR="5E2F2DB1" w:rsidP="005F5507" w:rsidRDefault="5E2F2DB1" w14:paraId="549C53D6" w14:textId="12A9F596">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Date of the original issuance of the liability.</w:t>
            </w:r>
          </w:p>
        </w:tc>
      </w:tr>
      <w:tr w:rsidRPr="00D43D39" w:rsidR="00C473FC" w:rsidTr="00EE5E3A" w14:paraId="55EEADE7"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5F48A839" w14:textId="02374482">
            <w:pPr>
              <w:rPr>
                <w:rFonts w:ascii="Times New Roman" w:hAnsi="Times New Roman" w:cs="Times New Roman"/>
              </w:rPr>
            </w:pPr>
            <w:r w:rsidRPr="005F5507">
              <w:rPr>
                <w:rFonts w:ascii="Times New Roman" w:hAnsi="Times New Roman" w:eastAsia="Times New Roman" w:cs="Times New Roman"/>
                <w:sz w:val="20"/>
                <w:szCs w:val="20"/>
              </w:rPr>
              <w:t>0140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243EBCDA" w14:textId="658930AE">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Earliest Redemption Date  </w:t>
            </w:r>
          </w:p>
          <w:p w:rsidRPr="005F5507" w:rsidR="5E2F2DB1" w:rsidP="005F5507" w:rsidRDefault="5E2F2DB1" w14:paraId="556D76D5" w14:textId="1408650C">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If an option exists for the creditor to request early reimbursement, or conditions for early reimbursement</w:t>
            </w:r>
            <w:r w:rsidRPr="005F5507" w:rsidR="00E83C0C">
              <w:rPr>
                <w:rFonts w:ascii="Times New Roman" w:hAnsi="Times New Roman" w:eastAsia="Times New Roman" w:cs="Times New Roman"/>
                <w:sz w:val="20"/>
                <w:szCs w:val="20"/>
              </w:rPr>
              <w:t xml:space="preserve"> of the liability</w:t>
            </w:r>
            <w:r w:rsidRPr="005F5507">
              <w:rPr>
                <w:rFonts w:ascii="Times New Roman" w:hAnsi="Times New Roman" w:eastAsia="Times New Roman" w:cs="Times New Roman"/>
                <w:sz w:val="20"/>
                <w:szCs w:val="20"/>
              </w:rPr>
              <w:t xml:space="preserve"> are contractually foreseen, </w:t>
            </w:r>
            <w:r w:rsidR="005C5CBE">
              <w:rPr>
                <w:rFonts w:ascii="Times New Roman" w:hAnsi="Times New Roman" w:eastAsia="Times New Roman" w:cs="Times New Roman"/>
                <w:sz w:val="20"/>
                <w:szCs w:val="20"/>
              </w:rPr>
              <w:t xml:space="preserve">provide </w:t>
            </w:r>
            <w:r w:rsidRPr="005F5507">
              <w:rPr>
                <w:rFonts w:ascii="Times New Roman" w:hAnsi="Times New Roman" w:eastAsia="Times New Roman" w:cs="Times New Roman"/>
                <w:sz w:val="20"/>
                <w:szCs w:val="20"/>
              </w:rPr>
              <w:t xml:space="preserve">the earliest occurrence date. If the early reimbursement relates to only a portion of the liability (e.g. early reimbursement of 50% of the nominal amount), </w:t>
            </w:r>
            <w:r w:rsidR="005C5CBE">
              <w:rPr>
                <w:rFonts w:ascii="Times New Roman" w:hAnsi="Times New Roman" w:eastAsia="Times New Roman" w:cs="Times New Roman"/>
                <w:sz w:val="20"/>
                <w:szCs w:val="20"/>
              </w:rPr>
              <w:t xml:space="preserve">split </w:t>
            </w:r>
            <w:r w:rsidRPr="005F5507">
              <w:rPr>
                <w:rFonts w:ascii="Times New Roman" w:hAnsi="Times New Roman" w:eastAsia="Times New Roman" w:cs="Times New Roman"/>
                <w:sz w:val="20"/>
                <w:szCs w:val="20"/>
              </w:rPr>
              <w:t>the liability to take into account this partial early redemption clause.</w:t>
            </w:r>
          </w:p>
        </w:tc>
      </w:tr>
      <w:tr w:rsidRPr="00D43D39" w:rsidR="00C473FC" w:rsidTr="00EE5E3A" w14:paraId="44F1C54A"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3F3D9206" w14:textId="7B63686C">
            <w:pPr>
              <w:rPr>
                <w:rFonts w:ascii="Times New Roman" w:hAnsi="Times New Roman" w:cs="Times New Roman"/>
              </w:rPr>
            </w:pPr>
            <w:r w:rsidRPr="005F5507">
              <w:rPr>
                <w:rFonts w:ascii="Times New Roman" w:hAnsi="Times New Roman" w:eastAsia="Times New Roman" w:cs="Times New Roman"/>
                <w:sz w:val="20"/>
                <w:szCs w:val="20"/>
              </w:rPr>
              <w:t>0150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E28D4AC" w14:textId="48D055A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 Legal Maturity </w:t>
            </w:r>
          </w:p>
          <w:p w:rsidRPr="005F5507" w:rsidR="5E2F2DB1" w:rsidP="005F5507" w:rsidRDefault="5E2F2DB1" w14:paraId="0DC55EAC" w14:textId="211942F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Date of the legal, final maturity of the instrument. For perpetual instruments, </w:t>
            </w:r>
            <w:r w:rsidR="005C5CBE">
              <w:rPr>
                <w:rFonts w:ascii="Times New Roman" w:hAnsi="Times New Roman" w:eastAsia="Times New Roman" w:cs="Times New Roman"/>
                <w:sz w:val="20"/>
                <w:szCs w:val="20"/>
              </w:rPr>
              <w:t>use</w:t>
            </w:r>
            <w:r w:rsidRPr="005F5507">
              <w:rPr>
                <w:rFonts w:ascii="Times New Roman" w:hAnsi="Times New Roman" w:eastAsia="Times New Roman" w:cs="Times New Roman"/>
                <w:sz w:val="20"/>
                <w:szCs w:val="20"/>
              </w:rPr>
              <w:t xml:space="preserve"> ‘2099-01-31’.</w:t>
            </w:r>
          </w:p>
        </w:tc>
      </w:tr>
      <w:tr w:rsidRPr="00D43D39" w:rsidR="00C473FC" w:rsidTr="00EE5E3A" w14:paraId="78AFE52A"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1F9FE740" w14:textId="56B7F257">
            <w:pPr>
              <w:rPr>
                <w:rFonts w:ascii="Times New Roman" w:hAnsi="Times New Roman" w:cs="Times New Roman"/>
              </w:rPr>
            </w:pPr>
            <w:r w:rsidRPr="005F5507">
              <w:rPr>
                <w:rFonts w:ascii="Times New Roman" w:hAnsi="Times New Roman" w:eastAsia="Times New Roman" w:cs="Times New Roman"/>
                <w:sz w:val="20"/>
                <w:szCs w:val="20"/>
              </w:rPr>
              <w:t>0170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0629B2D6" w14:textId="643FA81D">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Amount of pledge, lien or collateral </w:t>
            </w:r>
          </w:p>
          <w:p w:rsidRPr="005F5507" w:rsidR="5E2F2DB1" w:rsidP="005F5507" w:rsidRDefault="5E2F2DB1" w14:paraId="7F5CF700" w14:textId="4FBE9E9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Where a liability is secured by a pledge, lien or collateral, the gross market value of the latter shall be provided. Otherwise, for unsecured liabilities this category shall be reported as nil. This amount will determine the collateralized and eventually the uncollateralized part of any secured liability. For collateral pools securing multiple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 </w:t>
            </w:r>
            <w:r w:rsidR="005C5CBE">
              <w:rPr>
                <w:rFonts w:ascii="Times New Roman" w:hAnsi="Times New Roman" w:eastAsia="Times New Roman" w:cs="Times New Roman"/>
                <w:sz w:val="20"/>
                <w:szCs w:val="20"/>
              </w:rPr>
              <w:t xml:space="preserve">determine </w:t>
            </w:r>
            <w:r w:rsidRPr="005F5507">
              <w:rPr>
                <w:rFonts w:ascii="Times New Roman" w:hAnsi="Times New Roman" w:eastAsia="Times New Roman" w:cs="Times New Roman"/>
                <w:sz w:val="20"/>
                <w:szCs w:val="20"/>
              </w:rPr>
              <w:t>the overall coverage ratio and appl</w:t>
            </w:r>
            <w:r w:rsidR="005C5CBE">
              <w:rPr>
                <w:rFonts w:ascii="Times New Roman" w:hAnsi="Times New Roman" w:eastAsia="Times New Roman" w:cs="Times New Roman"/>
                <w:sz w:val="20"/>
                <w:szCs w:val="20"/>
              </w:rPr>
              <w:t>y</w:t>
            </w:r>
            <w:r w:rsidRPr="005F5507">
              <w:rPr>
                <w:rFonts w:ascii="Times New Roman" w:hAnsi="Times New Roman" w:eastAsia="Times New Roman" w:cs="Times New Roman"/>
                <w:sz w:val="20"/>
                <w:szCs w:val="20"/>
              </w:rPr>
              <w:t xml:space="preserve"> pro rata to all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 covered by this pool.</w:t>
            </w:r>
          </w:p>
        </w:tc>
      </w:tr>
      <w:tr w:rsidRPr="00D43D39" w:rsidR="00C473FC" w:rsidTr="00EE5E3A" w14:paraId="0B94EEB5"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5874FB46" w14:textId="6B508D53">
            <w:pPr>
              <w:rPr>
                <w:rFonts w:ascii="Times New Roman" w:hAnsi="Times New Roman" w:cs="Times New Roman"/>
              </w:rPr>
            </w:pPr>
            <w:r w:rsidRPr="005F5507">
              <w:rPr>
                <w:rFonts w:ascii="Times New Roman" w:hAnsi="Times New Roman" w:eastAsia="Times New Roman" w:cs="Times New Roman"/>
                <w:sz w:val="20"/>
                <w:szCs w:val="20"/>
              </w:rPr>
              <w:t>0180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1F2985C6" w14:textId="1FABECB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Guarantor </w:t>
            </w:r>
          </w:p>
          <w:p w:rsidRPr="005F5507" w:rsidR="5E2F2DB1" w:rsidP="005F5507" w:rsidRDefault="5E2F2DB1" w14:paraId="676B8F27" w14:textId="430EA1EA">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If there are guarantees provided for the instrument, provide a detailed identification of the guarantor (LEI code, ISO 3166-1 alpha-2 country code for government, etc.). Where multiple guarantors are present, </w:t>
            </w:r>
            <w:r w:rsidR="005C5CBE">
              <w:rPr>
                <w:rFonts w:ascii="Times New Roman" w:hAnsi="Times New Roman" w:eastAsia="Times New Roman" w:cs="Times New Roman"/>
                <w:sz w:val="20"/>
                <w:szCs w:val="20"/>
              </w:rPr>
              <w:t>report all</w:t>
            </w:r>
            <w:r w:rsidRPr="005F5507">
              <w:rPr>
                <w:rFonts w:ascii="Times New Roman" w:hAnsi="Times New Roman" w:eastAsia="Times New Roman" w:cs="Times New Roman"/>
                <w:sz w:val="20"/>
                <w:szCs w:val="20"/>
              </w:rPr>
              <w:t xml:space="preserve"> identifiers, separated by a semicolon.</w:t>
            </w:r>
          </w:p>
        </w:tc>
      </w:tr>
      <w:tr w:rsidRPr="00D43D39" w:rsidR="00C473FC" w:rsidTr="00EE5E3A" w14:paraId="1C091705"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714CF637" w14:textId="51A07446">
            <w:pPr>
              <w:rPr>
                <w:rFonts w:ascii="Times New Roman" w:hAnsi="Times New Roman" w:cs="Times New Roman"/>
              </w:rPr>
            </w:pPr>
            <w:r w:rsidRPr="005F5507">
              <w:rPr>
                <w:rFonts w:ascii="Times New Roman" w:hAnsi="Times New Roman" w:eastAsia="Times New Roman" w:cs="Times New Roman"/>
                <w:sz w:val="20"/>
                <w:szCs w:val="20"/>
              </w:rPr>
              <w:t>0205</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79352A3F" w14:textId="4547CA46">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Amount meeting the conditions for MREL eligibility </w:t>
            </w:r>
          </w:p>
          <w:p w:rsidRPr="005F5507" w:rsidR="5E2F2DB1" w:rsidP="005F5507" w:rsidRDefault="00B57BE3" w14:paraId="2FC3144C" w14:textId="256F2461">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outstanding amount of the own funds and eligible liabilities counting towards the requirement set in accordance with Article 45a(1) of the Directive 2014/59/EU</w:t>
            </w:r>
          </w:p>
        </w:tc>
      </w:tr>
      <w:tr w:rsidRPr="00D43D39" w:rsidR="00C473FC" w:rsidTr="00EE5E3A" w14:paraId="72D6927B"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044A8F8" w14:textId="27A837B3">
            <w:pPr>
              <w:rPr>
                <w:rFonts w:ascii="Times New Roman" w:hAnsi="Times New Roman" w:cs="Times New Roman"/>
              </w:rPr>
            </w:pPr>
            <w:r w:rsidRPr="005F5507">
              <w:rPr>
                <w:rFonts w:ascii="Times New Roman" w:hAnsi="Times New Roman" w:eastAsia="Times New Roman" w:cs="Times New Roman"/>
                <w:sz w:val="20"/>
                <w:szCs w:val="20"/>
              </w:rPr>
              <w:t>0210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50A7E74C" w14:textId="33D3706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Qualifying as </w:t>
            </w:r>
            <w:r w:rsidRPr="005F5507" w:rsidR="00B03925">
              <w:rPr>
                <w:rFonts w:ascii="Times New Roman" w:hAnsi="Times New Roman" w:eastAsia="Times New Roman" w:cs="Times New Roman"/>
                <w:b/>
                <w:bCs/>
                <w:sz w:val="20"/>
                <w:szCs w:val="20"/>
              </w:rPr>
              <w:t xml:space="preserve">own funds </w:t>
            </w:r>
          </w:p>
          <w:p w:rsidRPr="005F5507" w:rsidR="5E2F2DB1" w:rsidP="005F5507" w:rsidRDefault="00486437" w14:paraId="19D77CCE" w14:textId="518C3772">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w:t>
            </w:r>
            <w:r w:rsidRPr="005F5507" w:rsidR="5E2F2DB1">
              <w:rPr>
                <w:rFonts w:ascii="Times New Roman" w:hAnsi="Times New Roman" w:eastAsia="Times New Roman" w:cs="Times New Roman"/>
                <w:sz w:val="20"/>
                <w:szCs w:val="20"/>
              </w:rPr>
              <w:t>ndicate if and at which level the instrument is included in the own funds, alongside information on the phase-out regime and grandfathering arrangements. Value can be ‘No’, ‘Partially (A)T1 and T2’, ‘T2 in phase-out’, ‘Grandfathered T2’, ‘Fully Compliant T2’, ‘Grandfathered AT1’, ‘Fully Compliant AT1’ or ‘CET1’ from a predefined list.</w:t>
            </w:r>
          </w:p>
        </w:tc>
      </w:tr>
      <w:tr w:rsidRPr="00D43D39" w:rsidR="00C473FC" w:rsidTr="00EE5E3A" w14:paraId="1F1B03E4"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524D8E0F" w14:textId="19560FE6">
            <w:pPr>
              <w:rPr>
                <w:rFonts w:ascii="Times New Roman" w:hAnsi="Times New Roman" w:cs="Times New Roman"/>
              </w:rPr>
            </w:pPr>
            <w:r w:rsidRPr="005F5507">
              <w:rPr>
                <w:rFonts w:ascii="Times New Roman" w:hAnsi="Times New Roman" w:eastAsia="Times New Roman" w:cs="Times New Roman"/>
                <w:sz w:val="20"/>
                <w:szCs w:val="20"/>
              </w:rPr>
              <w:t>0220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3C9CB949" w14:textId="0F6CDB32">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Amount </w:t>
            </w:r>
            <w:r w:rsidRPr="005F5507" w:rsidR="00171B62">
              <w:rPr>
                <w:rFonts w:ascii="Times New Roman" w:hAnsi="Times New Roman" w:eastAsia="Times New Roman" w:cs="Times New Roman"/>
                <w:b/>
                <w:bCs/>
                <w:sz w:val="20"/>
                <w:szCs w:val="20"/>
              </w:rPr>
              <w:t>Qualifying as</w:t>
            </w:r>
            <w:r w:rsidRPr="005F5507" w:rsidR="00B03925">
              <w:rPr>
                <w:rFonts w:ascii="Times New Roman" w:hAnsi="Times New Roman" w:eastAsia="Times New Roman" w:cs="Times New Roman"/>
                <w:b/>
                <w:bCs/>
                <w:sz w:val="20"/>
                <w:szCs w:val="20"/>
              </w:rPr>
              <w:t xml:space="preserve"> </w:t>
            </w:r>
            <w:r w:rsidRPr="005F5507" w:rsidR="00171B62">
              <w:rPr>
                <w:rFonts w:ascii="Times New Roman" w:hAnsi="Times New Roman" w:eastAsia="Times New Roman" w:cs="Times New Roman"/>
                <w:b/>
                <w:bCs/>
                <w:sz w:val="20"/>
                <w:szCs w:val="20"/>
              </w:rPr>
              <w:t>O</w:t>
            </w:r>
            <w:r w:rsidRPr="005F5507" w:rsidR="00B03925">
              <w:rPr>
                <w:rFonts w:ascii="Times New Roman" w:hAnsi="Times New Roman" w:eastAsia="Times New Roman" w:cs="Times New Roman"/>
                <w:b/>
                <w:bCs/>
                <w:sz w:val="20"/>
                <w:szCs w:val="20"/>
              </w:rPr>
              <w:t xml:space="preserve">wn </w:t>
            </w:r>
            <w:r w:rsidRPr="005F5507" w:rsidR="00171B62">
              <w:rPr>
                <w:rFonts w:ascii="Times New Roman" w:hAnsi="Times New Roman" w:eastAsia="Times New Roman" w:cs="Times New Roman"/>
                <w:b/>
                <w:bCs/>
                <w:sz w:val="20"/>
                <w:szCs w:val="20"/>
              </w:rPr>
              <w:t>F</w:t>
            </w:r>
            <w:r w:rsidRPr="005F5507" w:rsidR="00B03925">
              <w:rPr>
                <w:rFonts w:ascii="Times New Roman" w:hAnsi="Times New Roman" w:eastAsia="Times New Roman" w:cs="Times New Roman"/>
                <w:b/>
                <w:bCs/>
                <w:sz w:val="20"/>
                <w:szCs w:val="20"/>
              </w:rPr>
              <w:t xml:space="preserve">unds </w:t>
            </w:r>
          </w:p>
          <w:p w:rsidRPr="005F5507" w:rsidR="5E2F2DB1" w:rsidP="005F5507" w:rsidRDefault="5E2F2DB1" w14:paraId="098B64E3" w14:textId="52C8042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amount of the instrument qualifying as own funds.</w:t>
            </w:r>
          </w:p>
        </w:tc>
      </w:tr>
    </w:tbl>
    <w:p w:rsidRPr="00D43D39" w:rsidR="00EE5E3A" w:rsidP="00EE5E3A" w:rsidRDefault="00EE5E3A" w14:paraId="226DBEC7" w14:textId="77777777">
      <w:pPr>
        <w:pStyle w:val="Instructionsberschrift2"/>
        <w:ind w:left="357"/>
        <w:rPr>
          <w:rFonts w:ascii="Times New Roman" w:hAnsi="Times New Roman" w:eastAsia="Calibri" w:cs="Times New Roman"/>
          <w:szCs w:val="20"/>
        </w:rPr>
      </w:pPr>
      <w:bookmarkStart w:name="_Toc81454216" w:id="227"/>
    </w:p>
    <w:p w:rsidRPr="005F5507" w:rsidR="00EE5E3A" w:rsidP="00EE5E3A" w:rsidRDefault="00EE5E3A" w14:paraId="673C9AFA" w14:textId="494E006A">
      <w:pPr>
        <w:pStyle w:val="Instructionsberschrift2"/>
        <w:numPr>
          <w:ilvl w:val="1"/>
          <w:numId w:val="49"/>
        </w:numPr>
        <w:spacing w:before="0"/>
        <w:ind w:left="357" w:hanging="357"/>
        <w:rPr>
          <w:rFonts w:ascii="Times New Roman" w:hAnsi="Times New Roman" w:cs="Times New Roman"/>
        </w:rPr>
      </w:pPr>
      <w:bookmarkStart w:name="_Toc172732258" w:id="228"/>
      <w:r w:rsidRPr="005F5507">
        <w:rPr>
          <w:rFonts w:ascii="Times New Roman" w:hAnsi="Times New Roman" w:cs="Times New Roman" w:eastAsiaTheme="minorEastAsia"/>
        </w:rPr>
        <w:t>Z10.05  - Derivatives</w:t>
      </w:r>
      <w:r w:rsidR="00056E47">
        <w:rPr>
          <w:rFonts w:ascii="Times New Roman" w:hAnsi="Times New Roman" w:cs="Times New Roman" w:eastAsiaTheme="minorEastAsia"/>
        </w:rPr>
        <w:t xml:space="preserve"> </w:t>
      </w:r>
      <w:r w:rsidRPr="00056E47" w:rsidR="00056E47">
        <w:rPr>
          <w:rFonts w:ascii="Times New Roman" w:hAnsi="Times New Roman" w:eastAsia="Calibri" w:cs="Times New Roman"/>
          <w:szCs w:val="20"/>
          <w:lang w:val="fr-BE"/>
        </w:rPr>
        <w:t>(LIAB-G-</w:t>
      </w:r>
      <w:r w:rsidR="00056E47">
        <w:rPr>
          <w:rFonts w:ascii="Times New Roman" w:hAnsi="Times New Roman" w:eastAsia="Calibri" w:cs="Times New Roman"/>
          <w:szCs w:val="20"/>
          <w:lang w:val="fr-BE"/>
        </w:rPr>
        <w:t>5</w:t>
      </w:r>
      <w:r w:rsidRPr="00056E47" w:rsidR="00056E47">
        <w:rPr>
          <w:rFonts w:ascii="Times New Roman" w:hAnsi="Times New Roman" w:eastAsia="Calibri" w:cs="Times New Roman"/>
          <w:szCs w:val="20"/>
          <w:lang w:val="fr-BE"/>
        </w:rPr>
        <w:t>)</w:t>
      </w:r>
      <w:bookmarkEnd w:id="228"/>
    </w:p>
    <w:bookmarkEnd w:id="227"/>
    <w:p w:rsidRPr="005F5507" w:rsidR="2430047A" w:rsidP="5E2F2DB1" w:rsidRDefault="2430047A" w14:paraId="065D221B" w14:textId="77777777">
      <w:pPr>
        <w:pStyle w:val="Numberedtitlelevel3"/>
        <w:rPr>
          <w:rFonts w:ascii="Times New Roman" w:hAnsi="Times New Roman" w:cs="Times New Roman"/>
          <w:b w:val="0"/>
          <w:color w:val="auto"/>
          <w:sz w:val="20"/>
          <w:szCs w:val="20"/>
          <w:lang w:val="en-GB"/>
        </w:rPr>
      </w:pPr>
      <w:r w:rsidRPr="005F5507">
        <w:rPr>
          <w:rFonts w:ascii="Times New Roman" w:hAnsi="Times New Roman" w:cs="Times New Roman"/>
          <w:b w:val="0"/>
          <w:color w:val="auto"/>
          <w:sz w:val="20"/>
          <w:szCs w:val="20"/>
          <w:lang w:val="en-GB"/>
        </w:rPr>
        <w:t>General remarks</w:t>
      </w:r>
    </w:p>
    <w:p w:rsidRPr="005F5507" w:rsidR="2430047A" w:rsidP="005F5507" w:rsidRDefault="2430047A" w14:paraId="177742C9" w14:textId="6673FC38">
      <w:pPr>
        <w:pStyle w:val="InstructionsText2"/>
        <w:numPr>
          <w:ilvl w:val="2"/>
          <w:numId w:val="209"/>
        </w:numPr>
        <w:spacing w:before="0"/>
        <w:ind w:left="1276"/>
        <w:rPr>
          <w:rFonts w:ascii="Times New Roman" w:hAnsi="Times New Roman" w:cs="Times New Roman" w:eastAsiaTheme="majorEastAsia"/>
          <w:sz w:val="20"/>
          <w:szCs w:val="20"/>
          <w:lang w:val="en-GB"/>
        </w:rPr>
      </w:pPr>
      <w:r w:rsidRPr="005F5507">
        <w:rPr>
          <w:rFonts w:ascii="Times New Roman" w:hAnsi="Times New Roman" w:eastAsia="Cambria" w:cs="Times New Roman"/>
          <w:sz w:val="20"/>
          <w:szCs w:val="20"/>
          <w:lang w:val="en-GB"/>
        </w:rPr>
        <w:t xml:space="preserve">For the purposes of this table, </w:t>
      </w:r>
      <w:r w:rsidRPr="005F5507" w:rsidR="00932E05">
        <w:rPr>
          <w:rFonts w:ascii="Times New Roman" w:hAnsi="Times New Roman" w:eastAsia="Cambria" w:cs="Times New Roman"/>
          <w:sz w:val="20"/>
          <w:szCs w:val="20"/>
          <w:lang w:val="en-GB"/>
        </w:rPr>
        <w:t xml:space="preserve">liabilities arising from </w:t>
      </w:r>
      <w:r w:rsidRPr="005F5507">
        <w:rPr>
          <w:rFonts w:ascii="Times New Roman" w:hAnsi="Times New Roman" w:eastAsia="Cambria" w:cs="Times New Roman"/>
          <w:sz w:val="20"/>
          <w:szCs w:val="20"/>
          <w:lang w:val="en-GB"/>
        </w:rPr>
        <w:t xml:space="preserve">derivatives </w:t>
      </w:r>
      <w:r w:rsidRPr="005F5507" w:rsidR="00932E05">
        <w:rPr>
          <w:rFonts w:ascii="Times New Roman" w:hAnsi="Times New Roman" w:eastAsia="Cambria" w:cs="Times New Roman"/>
          <w:sz w:val="20"/>
          <w:szCs w:val="20"/>
          <w:lang w:val="en-GB"/>
        </w:rPr>
        <w:t xml:space="preserve">shall </w:t>
      </w:r>
      <w:r w:rsidRPr="005F5507">
        <w:rPr>
          <w:rFonts w:ascii="Times New Roman" w:hAnsi="Times New Roman" w:eastAsia="Cambria" w:cs="Times New Roman"/>
          <w:sz w:val="20"/>
          <w:szCs w:val="20"/>
          <w:lang w:val="en-GB"/>
        </w:rPr>
        <w:t xml:space="preserve">be reported by netting set, i.e. each netting set reported as an individual </w:t>
      </w:r>
      <w:r w:rsidRPr="005F5507" w:rsidR="008E145C">
        <w:rPr>
          <w:rFonts w:ascii="Times New Roman" w:hAnsi="Times New Roman" w:eastAsia="Cambria" w:cs="Times New Roman"/>
          <w:sz w:val="20"/>
          <w:szCs w:val="20"/>
          <w:lang w:val="en-GB"/>
        </w:rPr>
        <w:t>line</w:t>
      </w:r>
      <w:r w:rsidRPr="005F5507">
        <w:rPr>
          <w:rFonts w:ascii="Times New Roman" w:hAnsi="Times New Roman" w:eastAsia="Cambria" w:cs="Times New Roman"/>
          <w:sz w:val="20"/>
          <w:szCs w:val="20"/>
          <w:lang w:val="en-GB"/>
        </w:rPr>
        <w:t xml:space="preserve"> item. </w:t>
      </w:r>
    </w:p>
    <w:p w:rsidRPr="005F5507" w:rsidR="2430047A" w:rsidP="005F5507" w:rsidRDefault="2430047A" w14:paraId="32E2C73B" w14:textId="4D538A5C">
      <w:pPr>
        <w:pStyle w:val="InstructionsText2"/>
        <w:numPr>
          <w:ilvl w:val="2"/>
          <w:numId w:val="209"/>
        </w:numPr>
        <w:spacing w:before="0"/>
        <w:ind w:left="1276"/>
        <w:rPr>
          <w:rFonts w:ascii="Times New Roman" w:hAnsi="Times New Roman" w:cs="Times New Roman"/>
          <w:sz w:val="20"/>
          <w:szCs w:val="20"/>
          <w:lang w:val="en-GB"/>
        </w:rPr>
      </w:pPr>
      <w:r w:rsidRPr="005F5507">
        <w:rPr>
          <w:rFonts w:ascii="Times New Roman" w:hAnsi="Times New Roman" w:eastAsia="Cambria" w:cs="Times New Roman"/>
          <w:sz w:val="20"/>
          <w:szCs w:val="20"/>
          <w:lang w:val="en-GB"/>
        </w:rPr>
        <w:t xml:space="preserve">Only </w:t>
      </w:r>
      <w:r w:rsidR="005C5CBE">
        <w:rPr>
          <w:rFonts w:ascii="Times New Roman" w:hAnsi="Times New Roman" w:eastAsia="Cambria" w:cs="Times New Roman"/>
          <w:sz w:val="20"/>
          <w:szCs w:val="20"/>
          <w:lang w:val="en-GB"/>
        </w:rPr>
        <w:t xml:space="preserve">report </w:t>
      </w:r>
      <w:r w:rsidRPr="005F5507">
        <w:rPr>
          <w:rFonts w:ascii="Times New Roman" w:hAnsi="Times New Roman" w:eastAsia="Cambria" w:cs="Times New Roman"/>
          <w:sz w:val="20"/>
          <w:szCs w:val="20"/>
          <w:lang w:val="en-GB"/>
        </w:rPr>
        <w:t>the derivative netting sets/single contracts resulting in a net mark-to-market (</w:t>
      </w:r>
      <w:r w:rsidRPr="005F5507" w:rsidR="00625F9C">
        <w:rPr>
          <w:rFonts w:ascii="Times New Roman" w:hAnsi="Times New Roman" w:eastAsia="Cambria" w:cs="Times New Roman"/>
          <w:sz w:val="20"/>
          <w:szCs w:val="20"/>
          <w:lang w:val="en-GB"/>
        </w:rPr>
        <w:t>column</w:t>
      </w:r>
      <w:r w:rsidRPr="005F5507">
        <w:rPr>
          <w:rFonts w:ascii="Times New Roman" w:hAnsi="Times New Roman" w:eastAsia="Cambria" w:cs="Times New Roman"/>
          <w:sz w:val="20"/>
          <w:szCs w:val="20"/>
          <w:lang w:val="en-GB"/>
        </w:rPr>
        <w:t xml:space="preserve"> c0120) liability.</w:t>
      </w:r>
    </w:p>
    <w:p w:rsidRPr="005F5507" w:rsidR="2430047A" w:rsidP="5E2F2DB1" w:rsidRDefault="2430047A" w14:paraId="189C741C" w14:textId="77777777">
      <w:pPr>
        <w:pStyle w:val="Numberedtitlelevel3"/>
        <w:rPr>
          <w:rFonts w:ascii="Times New Roman" w:hAnsi="Times New Roman" w:cs="Times New Roman"/>
          <w:b w:val="0"/>
          <w:color w:val="auto"/>
          <w:sz w:val="20"/>
          <w:szCs w:val="20"/>
          <w:lang w:val="en-GB"/>
        </w:rPr>
      </w:pPr>
      <w:r w:rsidRPr="005F5507">
        <w:rPr>
          <w:rFonts w:ascii="Times New Roman" w:hAnsi="Times New Roman" w:cs="Times New Roman"/>
          <w:b w:val="0"/>
          <w:color w:val="auto"/>
          <w:sz w:val="20"/>
          <w:szCs w:val="20"/>
          <w:lang w:val="en-GB"/>
        </w:rPr>
        <w:t>Instructions concerning specific positions</w:t>
      </w:r>
    </w:p>
    <w:tbl>
      <w:tblPr>
        <w:tblW w:w="9015" w:type="dxa"/>
        <w:tblInd w:w="135" w:type="dxa"/>
        <w:tblLayout w:type="fixed"/>
        <w:tblLook w:val="04A0" w:firstRow="1" w:lastRow="0" w:firstColumn="1" w:lastColumn="0" w:noHBand="0" w:noVBand="1"/>
      </w:tblPr>
      <w:tblGrid>
        <w:gridCol w:w="1183"/>
        <w:gridCol w:w="7832"/>
      </w:tblGrid>
      <w:tr w:rsidRPr="00D43D39" w:rsidR="00C473FC" w:rsidTr="005F5507" w14:paraId="59357AEE" w14:textId="77777777">
        <w:trPr>
          <w:tblHeader/>
        </w:trPr>
        <w:tc>
          <w:tcPr>
            <w:tcW w:w="1183" w:type="dxa"/>
            <w:tcBorders>
              <w:top w:val="single" w:color="1A171C" w:sz="8" w:space="0"/>
              <w:left w:val="nil"/>
              <w:bottom w:val="single" w:color="1A171C" w:sz="8" w:space="0"/>
              <w:right w:val="single" w:color="1A171C" w:sz="8" w:space="0"/>
            </w:tcBorders>
            <w:shd w:val="clear" w:color="auto" w:fill="D9D9D9" w:themeFill="background1" w:themeFillShade="D9"/>
          </w:tcPr>
          <w:p w:rsidRPr="005F5507" w:rsidR="5E2F2DB1" w:rsidRDefault="5E2F2DB1" w14:paraId="7C9E36A2" w14:textId="09165DDF">
            <w:pPr>
              <w:rPr>
                <w:rFonts w:ascii="Times New Roman" w:hAnsi="Times New Roman" w:cs="Times New Roman"/>
              </w:rPr>
            </w:pPr>
            <w:r w:rsidRPr="005F5507">
              <w:rPr>
                <w:rFonts w:ascii="Times New Roman" w:hAnsi="Times New Roman" w:eastAsia="Times New Roman" w:cs="Times New Roman"/>
                <w:sz w:val="20"/>
                <w:szCs w:val="20"/>
              </w:rPr>
              <w:t xml:space="preserve">Columns </w:t>
            </w:r>
          </w:p>
        </w:tc>
        <w:tc>
          <w:tcPr>
            <w:tcW w:w="7832" w:type="dxa"/>
            <w:tcBorders>
              <w:top w:val="single" w:color="1A171C" w:sz="8" w:space="0"/>
              <w:left w:val="single" w:color="1A171C" w:sz="8" w:space="0"/>
              <w:bottom w:val="single" w:color="1A171C" w:sz="8" w:space="0"/>
              <w:right w:val="nil"/>
            </w:tcBorders>
            <w:shd w:val="clear" w:color="auto" w:fill="D9D9D9" w:themeFill="background1" w:themeFillShade="D9"/>
          </w:tcPr>
          <w:p w:rsidRPr="005F5507" w:rsidR="5E2F2DB1" w:rsidRDefault="5E2F2DB1" w14:paraId="4461B426" w14:textId="440A0887">
            <w:pPr>
              <w:rPr>
                <w:rFonts w:ascii="Times New Roman" w:hAnsi="Times New Roman" w:cs="Times New Roman"/>
              </w:rPr>
            </w:pPr>
            <w:r w:rsidRPr="005F5507">
              <w:rPr>
                <w:rFonts w:ascii="Times New Roman" w:hAnsi="Times New Roman" w:eastAsia="Times New Roman" w:cs="Times New Roman"/>
                <w:sz w:val="20"/>
                <w:szCs w:val="20"/>
              </w:rPr>
              <w:t xml:space="preserve">Instructions </w:t>
            </w:r>
          </w:p>
        </w:tc>
      </w:tr>
      <w:tr w:rsidRPr="00D43D39" w:rsidR="00C473FC" w:rsidTr="000B0F33" w14:paraId="7CCE9E9B"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9C54D06" w14:textId="56FA678D">
            <w:pPr>
              <w:rPr>
                <w:rFonts w:ascii="Times New Roman" w:hAnsi="Times New Roman" w:cs="Times New Roman"/>
              </w:rPr>
            </w:pPr>
            <w:r w:rsidRPr="005F5507">
              <w:rPr>
                <w:rFonts w:ascii="Times New Roman" w:hAnsi="Times New Roman" w:eastAsia="Times New Roman" w:cs="Times New Roman"/>
                <w:sz w:val="20"/>
                <w:szCs w:val="20"/>
              </w:rPr>
              <w:t>0010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3BFE6501" w14:textId="2B2CE316">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N° </w:t>
            </w:r>
          </w:p>
          <w:p w:rsidRPr="005F5507" w:rsidR="5E2F2DB1" w:rsidP="005F5507" w:rsidRDefault="5E2F2DB1" w14:paraId="795E51E4" w14:textId="74108646">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Unique number/primary key to identify the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w:t>
            </w:r>
          </w:p>
        </w:tc>
      </w:tr>
      <w:tr w:rsidRPr="00D43D39" w:rsidR="00C473FC" w:rsidTr="000B0F33" w14:paraId="40B716CB"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60BB94F" w14:textId="0E3FA053">
            <w:pPr>
              <w:rPr>
                <w:rFonts w:ascii="Times New Roman" w:hAnsi="Times New Roman" w:cs="Times New Roman"/>
              </w:rPr>
            </w:pPr>
            <w:r w:rsidRPr="005F5507">
              <w:rPr>
                <w:rFonts w:ascii="Times New Roman" w:hAnsi="Times New Roman" w:eastAsia="Times New Roman" w:cs="Times New Roman"/>
                <w:sz w:val="20"/>
                <w:szCs w:val="20"/>
              </w:rPr>
              <w:t>0020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3A16D67A" w14:textId="38FC2FFB">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Column </w:t>
            </w:r>
          </w:p>
          <w:p w:rsidRPr="005F5507" w:rsidR="5E2F2DB1" w:rsidP="005F5507" w:rsidRDefault="5E2F2DB1" w14:paraId="5D40F230" w14:textId="095FF61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For each netting set, a reconciliation with which of the counterparty classes the liability structure in T01.00 it has been contracted to has to be provided from predefined list of values.</w:t>
            </w:r>
          </w:p>
        </w:tc>
      </w:tr>
      <w:tr w:rsidRPr="00D43D39" w:rsidR="00C473FC" w:rsidTr="000B0F33" w14:paraId="59DA0FCB"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348F38E3" w14:textId="2689BC9C">
            <w:pPr>
              <w:rPr>
                <w:rFonts w:ascii="Times New Roman" w:hAnsi="Times New Roman" w:cs="Times New Roman"/>
              </w:rPr>
            </w:pPr>
            <w:r w:rsidRPr="005F5507">
              <w:rPr>
                <w:rFonts w:ascii="Times New Roman" w:hAnsi="Times New Roman" w:eastAsia="Times New Roman" w:cs="Times New Roman"/>
                <w:sz w:val="20"/>
                <w:szCs w:val="20"/>
              </w:rPr>
              <w:t>0030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777E9D69" w14:textId="3DC9701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Insolvency Ranking  </w:t>
            </w:r>
          </w:p>
          <w:p w:rsidRPr="005F5507" w:rsidR="5E2F2DB1" w:rsidP="005F5507" w:rsidRDefault="00912D2C" w14:paraId="5AFBF673" w14:textId="31473B6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insolvency rank shall be one of the ranks included in the insolvency rankings published by the resolution authority of that jurisdiction.</w:t>
            </w:r>
          </w:p>
        </w:tc>
      </w:tr>
      <w:tr w:rsidRPr="00D43D39" w:rsidR="00C473FC" w:rsidTr="000B0F33" w14:paraId="6574C5F8"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676EC7BF" w14:textId="288709D5">
            <w:pPr>
              <w:rPr>
                <w:rFonts w:ascii="Times New Roman" w:hAnsi="Times New Roman" w:cs="Times New Roman"/>
              </w:rPr>
            </w:pPr>
            <w:r w:rsidRPr="005F5507">
              <w:rPr>
                <w:rFonts w:ascii="Times New Roman" w:hAnsi="Times New Roman" w:eastAsia="Times New Roman" w:cs="Times New Roman"/>
                <w:sz w:val="20"/>
                <w:szCs w:val="20"/>
              </w:rPr>
              <w:t>0040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78C4F80C" w14:textId="14BF37A3">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Master Agreement ID  </w:t>
            </w:r>
          </w:p>
          <w:p w:rsidRPr="005F5507" w:rsidR="5E2F2DB1" w:rsidP="005F5507" w:rsidRDefault="5E2F2DB1" w14:paraId="72BDF8B1" w14:textId="3B4CD461">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Internal identifier of the master agreement or single contract.</w:t>
            </w:r>
          </w:p>
        </w:tc>
      </w:tr>
      <w:tr w:rsidRPr="00D43D39" w:rsidR="00C473FC" w:rsidTr="000B0F33" w14:paraId="02111A7E"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3CC0EA05" w14:textId="02C9815E">
            <w:pPr>
              <w:rPr>
                <w:rFonts w:ascii="Times New Roman" w:hAnsi="Times New Roman" w:cs="Times New Roman"/>
              </w:rPr>
            </w:pPr>
            <w:r w:rsidRPr="005F5507">
              <w:rPr>
                <w:rFonts w:ascii="Times New Roman" w:hAnsi="Times New Roman" w:eastAsia="Times New Roman" w:cs="Times New Roman"/>
                <w:sz w:val="20"/>
                <w:szCs w:val="20"/>
              </w:rPr>
              <w:t>0050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39A1CB84" w14:textId="06C631C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Type of M</w:t>
            </w:r>
            <w:r w:rsidRPr="005F5507" w:rsidR="00C875CA">
              <w:rPr>
                <w:rFonts w:ascii="Times New Roman" w:hAnsi="Times New Roman" w:eastAsia="Times New Roman" w:cs="Times New Roman"/>
                <w:b/>
                <w:bCs/>
                <w:sz w:val="20"/>
                <w:szCs w:val="20"/>
              </w:rPr>
              <w:t xml:space="preserve">aster </w:t>
            </w:r>
            <w:r w:rsidRPr="005F5507">
              <w:rPr>
                <w:rFonts w:ascii="Times New Roman" w:hAnsi="Times New Roman" w:eastAsia="Times New Roman" w:cs="Times New Roman"/>
                <w:b/>
                <w:bCs/>
                <w:sz w:val="20"/>
                <w:szCs w:val="20"/>
              </w:rPr>
              <w:t>A</w:t>
            </w:r>
            <w:r w:rsidRPr="005F5507" w:rsidR="00C875CA">
              <w:rPr>
                <w:rFonts w:ascii="Times New Roman" w:hAnsi="Times New Roman" w:eastAsia="Times New Roman" w:cs="Times New Roman"/>
                <w:b/>
                <w:bCs/>
                <w:sz w:val="20"/>
                <w:szCs w:val="20"/>
              </w:rPr>
              <w:t>greement</w:t>
            </w:r>
            <w:r w:rsidRPr="005F5507">
              <w:rPr>
                <w:rFonts w:ascii="Times New Roman" w:hAnsi="Times New Roman" w:eastAsia="Times New Roman" w:cs="Times New Roman"/>
                <w:b/>
                <w:bCs/>
                <w:sz w:val="20"/>
                <w:szCs w:val="20"/>
              </w:rPr>
              <w:t xml:space="preserve"> </w:t>
            </w:r>
          </w:p>
          <w:p w:rsidRPr="005F5507" w:rsidR="5E2F2DB1" w:rsidP="005F5507" w:rsidRDefault="5E2F2DB1" w14:paraId="1D94A23B" w14:textId="1B04FD9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Specify</w:t>
            </w:r>
            <w:r w:rsidR="006D164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sz w:val="20"/>
                <w:szCs w:val="20"/>
              </w:rPr>
              <w:t>the master agreement, either ‘ISDA 2002 MA’, ‘ISDA 1992 MA’, ‘ISDA 1987 MA’, ‘ISDA 1986 MA’, ‘ISDA 1985 MA’, ‘Other MA’, ‘Single Contract’ from a predefined list.</w:t>
            </w:r>
          </w:p>
        </w:tc>
      </w:tr>
      <w:tr w:rsidRPr="00D43D39" w:rsidR="00C473FC" w:rsidTr="000B0F33" w14:paraId="10779CEF"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F0D394F" w14:textId="5669FEAD">
            <w:pPr>
              <w:rPr>
                <w:rFonts w:ascii="Times New Roman" w:hAnsi="Times New Roman" w:cs="Times New Roman"/>
              </w:rPr>
            </w:pPr>
            <w:r w:rsidRPr="005F5507">
              <w:rPr>
                <w:rFonts w:ascii="Times New Roman" w:hAnsi="Times New Roman" w:eastAsia="Times New Roman" w:cs="Times New Roman"/>
                <w:sz w:val="20"/>
                <w:szCs w:val="20"/>
              </w:rPr>
              <w:t>0061</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2957BEC0" w14:textId="298179E0">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ISDA Protocol Adherent Entity  </w:t>
            </w:r>
          </w:p>
          <w:p w:rsidRPr="005F5507" w:rsidR="5E2F2DB1" w:rsidP="005F5507" w:rsidRDefault="5E2F2DB1" w14:paraId="2FCDAE18" w14:textId="2760892D">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Indicate whether the entity itself has signed the ISDA Universal Stay Protocol, either ‘Yes - ISDA Universal Protocol’, ‘Yes - ISDA JMP Module’</w:t>
            </w:r>
            <w:r w:rsidR="00C10144">
              <w:rPr>
                <w:rFonts w:ascii="Times New Roman" w:hAnsi="Times New Roman" w:eastAsia="Times New Roman" w:cs="Times New Roman"/>
                <w:sz w:val="20"/>
                <w:szCs w:val="20"/>
              </w:rPr>
              <w:t>,</w:t>
            </w:r>
            <w:r w:rsidRPr="00C10144" w:rsidR="00C10144">
              <w:rPr>
                <w:rFonts w:ascii="Times New Roman" w:hAnsi="Times New Roman" w:eastAsia="Times New Roman" w:cs="Times New Roman"/>
                <w:sz w:val="20"/>
                <w:szCs w:val="20"/>
              </w:rPr>
              <w:t xml:space="preserve"> ‘Yes - BRRD II Omnibus Jurisdictional Module’</w:t>
            </w:r>
            <w:r w:rsidRPr="005F5507">
              <w:rPr>
                <w:rFonts w:ascii="Times New Roman" w:hAnsi="Times New Roman" w:eastAsia="Times New Roman" w:cs="Times New Roman"/>
                <w:sz w:val="20"/>
                <w:szCs w:val="20"/>
              </w:rPr>
              <w:t xml:space="preserve"> or ‘No’ from a predefined list. </w:t>
            </w:r>
          </w:p>
        </w:tc>
      </w:tr>
      <w:tr w:rsidRPr="00D43D39" w:rsidR="00C473FC" w:rsidTr="000B0F33" w14:paraId="623E2BE0"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1E80ADA5" w14:textId="12B5FFBC">
            <w:pPr>
              <w:rPr>
                <w:rFonts w:ascii="Times New Roman" w:hAnsi="Times New Roman" w:cs="Times New Roman"/>
              </w:rPr>
            </w:pPr>
            <w:r w:rsidRPr="005F5507">
              <w:rPr>
                <w:rFonts w:ascii="Times New Roman" w:hAnsi="Times New Roman" w:eastAsia="Times New Roman" w:cs="Times New Roman"/>
                <w:sz w:val="20"/>
                <w:szCs w:val="20"/>
              </w:rPr>
              <w:t>0071</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2BA0E52C" w14:textId="3B3EE26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Resolution Stay Recognition  </w:t>
            </w:r>
          </w:p>
          <w:p w:rsidRPr="005F5507" w:rsidR="5E2F2DB1" w:rsidP="005F5507" w:rsidRDefault="5E2F2DB1" w14:paraId="5A38D2BF" w14:textId="672D4F0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Indicate whether the counterparty has adhered to , either ‘Yes - ISDA Universal Protocol’, ‘Yes - ISDA JMP Module’,</w:t>
            </w:r>
            <w:r w:rsidRPr="005F5507" w:rsidR="00F66B2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sz w:val="20"/>
                <w:szCs w:val="20"/>
              </w:rPr>
              <w:t>‘Yes - Other Agreement for resolution stay recognition’ or ‘No resolution stay recognition’ from a predefined list.</w:t>
            </w:r>
          </w:p>
        </w:tc>
      </w:tr>
      <w:tr w:rsidRPr="00D43D39" w:rsidR="00C473FC" w:rsidTr="000B0F33" w14:paraId="405E1364"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FA37E0A" w14:textId="0CF97984">
            <w:pPr>
              <w:rPr>
                <w:rFonts w:ascii="Times New Roman" w:hAnsi="Times New Roman" w:cs="Times New Roman"/>
              </w:rPr>
            </w:pPr>
            <w:r w:rsidRPr="005F5507">
              <w:rPr>
                <w:rFonts w:ascii="Times New Roman" w:hAnsi="Times New Roman" w:eastAsia="Times New Roman" w:cs="Times New Roman"/>
                <w:sz w:val="20"/>
                <w:szCs w:val="20"/>
              </w:rPr>
              <w:t>0075</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76AC2CF8" w14:textId="0F89FA1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Name of counterparty </w:t>
            </w:r>
          </w:p>
          <w:p w:rsidRPr="005F5507" w:rsidR="5E2F2DB1" w:rsidP="005F5507" w:rsidRDefault="00956804" w14:paraId="777FF552" w14:textId="4DEE925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entity n</w:t>
            </w:r>
            <w:r w:rsidRPr="005F5507" w:rsidR="5E2F2DB1">
              <w:rPr>
                <w:rFonts w:ascii="Times New Roman" w:hAnsi="Times New Roman" w:eastAsia="Times New Roman" w:cs="Times New Roman"/>
                <w:sz w:val="20"/>
                <w:szCs w:val="20"/>
              </w:rPr>
              <w:t>ame of the counterparty.</w:t>
            </w:r>
            <w:r w:rsidRPr="00D43D39" w:rsidR="00AE32A4">
              <w:rPr>
                <w:rFonts w:ascii="Times New Roman" w:hAnsi="Times New Roman" w:eastAsia="Times New Roman" w:cs="Times New Roman"/>
                <w:sz w:val="20"/>
                <w:szCs w:val="20"/>
              </w:rPr>
              <w:t xml:space="preserve"> In the case of CCP-cleared derivatives,</w:t>
            </w:r>
            <w:r w:rsidR="005C5CBE">
              <w:rPr>
                <w:rFonts w:ascii="Times New Roman" w:hAnsi="Times New Roman" w:eastAsia="Times New Roman" w:cs="Times New Roman"/>
                <w:sz w:val="20"/>
                <w:szCs w:val="20"/>
              </w:rPr>
              <w:t xml:space="preserve"> report </w:t>
            </w:r>
            <w:r w:rsidRPr="00D43D39" w:rsidR="00AE32A4">
              <w:rPr>
                <w:rFonts w:ascii="Times New Roman" w:hAnsi="Times New Roman" w:eastAsia="Times New Roman" w:cs="Times New Roman"/>
                <w:sz w:val="20"/>
                <w:szCs w:val="20"/>
              </w:rPr>
              <w:t>the relevant CCP as counterparty.</w:t>
            </w:r>
          </w:p>
        </w:tc>
      </w:tr>
      <w:tr w:rsidRPr="00D43D39" w:rsidR="00C473FC" w:rsidTr="000B0F33" w14:paraId="5CE9DBFD"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EE209B5" w14:textId="325ABE0C">
            <w:pPr>
              <w:rPr>
                <w:rFonts w:ascii="Times New Roman" w:hAnsi="Times New Roman" w:cs="Times New Roman"/>
              </w:rPr>
            </w:pPr>
            <w:r w:rsidRPr="005F5507">
              <w:rPr>
                <w:rFonts w:ascii="Times New Roman" w:hAnsi="Times New Roman" w:eastAsia="Times New Roman" w:cs="Times New Roman"/>
                <w:sz w:val="20"/>
                <w:szCs w:val="20"/>
              </w:rPr>
              <w:t>0080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28EAC9B0" w14:textId="71CC46BB">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Counterparty identifier (preferably LEI)  </w:t>
            </w:r>
          </w:p>
          <w:p w:rsidRPr="005F5507" w:rsidR="5E2F2DB1" w:rsidP="005F5507" w:rsidRDefault="00486437" w14:paraId="2F27086E" w14:textId="53A795E5">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w:t>
            </w:r>
            <w:r w:rsidRPr="005F5507" w:rsidR="5E2F2DB1">
              <w:rPr>
                <w:rFonts w:ascii="Times New Roman" w:hAnsi="Times New Roman" w:eastAsia="Times New Roman" w:cs="Times New Roman"/>
                <w:sz w:val="20"/>
                <w:szCs w:val="20"/>
              </w:rPr>
              <w:t xml:space="preserve">eport the creditor’s LEI code. In the absence of a LEI, in the case of banks’ </w:t>
            </w:r>
            <w:r w:rsidR="005C5CBE">
              <w:rPr>
                <w:rFonts w:ascii="Times New Roman" w:hAnsi="Times New Roman" w:eastAsia="Times New Roman" w:cs="Times New Roman"/>
                <w:sz w:val="20"/>
                <w:szCs w:val="20"/>
              </w:rPr>
              <w:t xml:space="preserve">report </w:t>
            </w:r>
            <w:r w:rsidRPr="005F5507" w:rsidR="5E2F2DB1">
              <w:rPr>
                <w:rFonts w:ascii="Times New Roman" w:hAnsi="Times New Roman" w:eastAsia="Times New Roman" w:cs="Times New Roman"/>
                <w:sz w:val="20"/>
                <w:szCs w:val="20"/>
              </w:rPr>
              <w:t xml:space="preserve">the ECB Monetary Financial Institutions identifier (MFI ID) used in RIAD. </w:t>
            </w:r>
            <w:r w:rsidRPr="005F5507" w:rsidR="00956804">
              <w:rPr>
                <w:rFonts w:ascii="Times New Roman" w:hAnsi="Times New Roman" w:eastAsia="Times New Roman" w:cs="Times New Roman"/>
                <w:sz w:val="20"/>
                <w:szCs w:val="20"/>
              </w:rPr>
              <w:t>I</w:t>
            </w:r>
            <w:r w:rsidRPr="005F5507" w:rsidR="5E2F2DB1">
              <w:rPr>
                <w:rFonts w:ascii="Times New Roman" w:hAnsi="Times New Roman" w:eastAsia="Times New Roman" w:cs="Times New Roman"/>
                <w:sz w:val="20"/>
                <w:szCs w:val="20"/>
              </w:rPr>
              <w:t xml:space="preserve">n absence of both these identifiers, </w:t>
            </w:r>
            <w:r w:rsidR="005C5CBE">
              <w:rPr>
                <w:rFonts w:ascii="Times New Roman" w:hAnsi="Times New Roman" w:eastAsia="Times New Roman" w:cs="Times New Roman"/>
                <w:sz w:val="20"/>
                <w:szCs w:val="20"/>
              </w:rPr>
              <w:t xml:space="preserve">report </w:t>
            </w:r>
            <w:r w:rsidRPr="005F5507" w:rsidR="5E2F2DB1">
              <w:rPr>
                <w:rFonts w:ascii="Times New Roman" w:hAnsi="Times New Roman" w:eastAsia="Times New Roman" w:cs="Times New Roman"/>
                <w:sz w:val="20"/>
                <w:szCs w:val="20"/>
              </w:rPr>
              <w:t>an internal identifier .</w:t>
            </w:r>
            <w:r w:rsidRPr="00D43D39" w:rsidR="00AE32A4">
              <w:rPr>
                <w:rFonts w:ascii="Times New Roman" w:hAnsi="Times New Roman" w:eastAsia="Times New Roman" w:cs="Times New Roman"/>
                <w:sz w:val="20"/>
                <w:szCs w:val="20"/>
              </w:rPr>
              <w:t xml:space="preserve"> </w:t>
            </w:r>
          </w:p>
        </w:tc>
      </w:tr>
      <w:tr w:rsidRPr="00D43D39" w:rsidR="00C473FC" w:rsidTr="000B0F33" w14:paraId="729227DC"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1DD66AEB" w14:textId="3F38FD73">
            <w:pPr>
              <w:rPr>
                <w:rFonts w:ascii="Times New Roman" w:hAnsi="Times New Roman" w:cs="Times New Roman"/>
              </w:rPr>
            </w:pPr>
            <w:r w:rsidRPr="005F5507">
              <w:rPr>
                <w:rFonts w:ascii="Times New Roman" w:hAnsi="Times New Roman" w:eastAsia="Times New Roman" w:cs="Times New Roman"/>
                <w:sz w:val="20"/>
                <w:szCs w:val="20"/>
              </w:rPr>
              <w:t>0085</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B51182B" w14:textId="5DF38942">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Type of Identifier </w:t>
            </w:r>
          </w:p>
          <w:p w:rsidRPr="005F5507" w:rsidR="5E2F2DB1" w:rsidP="005F5507" w:rsidRDefault="5E2F2DB1" w14:paraId="66F6A6B2" w14:textId="37E58CA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To be chosen among the following options: “LEI code”, “MFI code” or “Type of identifier, other than LEI or MFI code”.</w:t>
            </w:r>
          </w:p>
        </w:tc>
      </w:tr>
      <w:tr w:rsidRPr="00D43D39" w:rsidR="00C473FC" w:rsidTr="000B0F33" w14:paraId="7A8E5CA9"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86E1505" w14:textId="4BE0135F">
            <w:pPr>
              <w:rPr>
                <w:rFonts w:ascii="Times New Roman" w:hAnsi="Times New Roman" w:cs="Times New Roman"/>
              </w:rPr>
            </w:pPr>
            <w:r w:rsidRPr="005F5507">
              <w:rPr>
                <w:rFonts w:ascii="Times New Roman" w:hAnsi="Times New Roman" w:eastAsia="Times New Roman" w:cs="Times New Roman"/>
                <w:sz w:val="20"/>
                <w:szCs w:val="20"/>
              </w:rPr>
              <w:t>0090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7F46E26" w14:textId="5F2E4C7A">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Country of Counterparty  </w:t>
            </w:r>
          </w:p>
          <w:p w:rsidRPr="005F5507" w:rsidR="5E2F2DB1" w:rsidP="005F5507" w:rsidRDefault="5E2F2DB1" w14:paraId="22249D86" w14:textId="498D2C8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ISO 3166-1 alpha-2 identification of the country where the counterparty is incorporated.</w:t>
            </w:r>
          </w:p>
        </w:tc>
      </w:tr>
      <w:tr w:rsidRPr="00D43D39" w:rsidR="00C473FC" w:rsidTr="000B0F33" w14:paraId="0799B4F6"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P="005F5507" w:rsidRDefault="5E2F2DB1" w14:paraId="0DDE7179" w14:textId="0197A253">
            <w:pPr>
              <w:pStyle w:val="TableParagraph"/>
              <w:spacing w:before="108"/>
              <w:ind w:left="85"/>
              <w:jc w:val="both"/>
              <w:rPr>
                <w:rFonts w:ascii="Times New Roman" w:hAnsi="Times New Roman" w:cs="Times New Roman"/>
              </w:rPr>
            </w:pPr>
            <w:r w:rsidRPr="005F5507">
              <w:rPr>
                <w:rFonts w:ascii="Times New Roman" w:hAnsi="Times New Roman" w:eastAsia="Times New Roman" w:cs="Times New Roman"/>
                <w:sz w:val="20"/>
                <w:szCs w:val="20"/>
              </w:rPr>
              <w:t>0100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5B11629D" w14:textId="692C2ACD">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Governing </w:t>
            </w:r>
            <w:r w:rsidRPr="005F5507" w:rsidR="00A037C2">
              <w:rPr>
                <w:rFonts w:ascii="Times New Roman" w:hAnsi="Times New Roman" w:eastAsia="Times New Roman" w:cs="Times New Roman"/>
                <w:b/>
                <w:bCs/>
                <w:sz w:val="20"/>
                <w:szCs w:val="20"/>
              </w:rPr>
              <w:t>law of master agreement</w:t>
            </w:r>
            <w:r w:rsidRPr="005F5507">
              <w:rPr>
                <w:rFonts w:ascii="Times New Roman" w:hAnsi="Times New Roman" w:eastAsia="Times New Roman" w:cs="Times New Roman"/>
                <w:b/>
                <w:bCs/>
                <w:sz w:val="20"/>
                <w:szCs w:val="20"/>
              </w:rPr>
              <w:t xml:space="preserve">/single </w:t>
            </w:r>
            <w:r w:rsidRPr="005F5507" w:rsidR="005502E4">
              <w:rPr>
                <w:rFonts w:ascii="Times New Roman" w:hAnsi="Times New Roman" w:eastAsia="Times New Roman" w:cs="Times New Roman"/>
                <w:b/>
                <w:bCs/>
                <w:sz w:val="20"/>
                <w:szCs w:val="20"/>
              </w:rPr>
              <w:t>contract</w:t>
            </w:r>
          </w:p>
          <w:p w:rsidRPr="005F5507" w:rsidR="5E2F2DB1" w:rsidP="005F5507" w:rsidRDefault="00185833" w14:paraId="4B6A097B" w14:textId="6B48D44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ISO 3166-1 alpha-2 code of the country whose law governs the master agreement/single </w:t>
            </w:r>
            <w:r w:rsidRPr="005F5507" w:rsidR="005502E4">
              <w:rPr>
                <w:rFonts w:ascii="Times New Roman" w:hAnsi="Times New Roman" w:eastAsia="Times New Roman" w:cs="Times New Roman"/>
                <w:sz w:val="20"/>
                <w:szCs w:val="20"/>
              </w:rPr>
              <w:t>contract</w:t>
            </w:r>
            <w:r w:rsidR="006D164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sz w:val="20"/>
                <w:szCs w:val="20"/>
              </w:rPr>
              <w:t>(use the ISO 3166-2 code when the law of an administrative subdivision is relevant, e.g. ‘US-NY’)</w:t>
            </w:r>
            <w:r w:rsidRPr="005F5507" w:rsidR="5E2F2DB1">
              <w:rPr>
                <w:rFonts w:ascii="Times New Roman" w:hAnsi="Times New Roman" w:eastAsia="Times New Roman" w:cs="Times New Roman"/>
                <w:sz w:val="20"/>
                <w:szCs w:val="20"/>
              </w:rPr>
              <w:t xml:space="preserve">. If the contract is governed by the law of more than one country, the country the law of which has the highest relevance for the recognition of write down and conversion powers </w:t>
            </w:r>
            <w:r w:rsidRPr="005F5507" w:rsidR="5E2F2DB1">
              <w:rPr>
                <w:rFonts w:ascii="Times New Roman" w:hAnsi="Times New Roman" w:eastAsia="Times New Roman" w:cs="Times New Roman"/>
                <w:sz w:val="20"/>
                <w:szCs w:val="20"/>
              </w:rPr>
              <w:t xml:space="preserve">shall be reported.  </w:t>
            </w:r>
          </w:p>
        </w:tc>
      </w:tr>
      <w:tr w:rsidRPr="00D43D39" w:rsidR="00C473FC" w:rsidTr="000B0F33" w14:paraId="3D92AC7B"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7AA8942" w14:textId="3270C4A8">
            <w:pPr>
              <w:rPr>
                <w:rFonts w:ascii="Times New Roman" w:hAnsi="Times New Roman" w:cs="Times New Roman"/>
              </w:rPr>
            </w:pPr>
            <w:r w:rsidRPr="005F5507">
              <w:rPr>
                <w:rFonts w:ascii="Times New Roman" w:hAnsi="Times New Roman" w:eastAsia="Times New Roman" w:cs="Times New Roman"/>
                <w:sz w:val="20"/>
                <w:szCs w:val="20"/>
              </w:rPr>
              <w:t>0110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7CEE9A19" w14:textId="6404ECA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Number of Transactions Covered  </w:t>
            </w:r>
          </w:p>
          <w:p w:rsidRPr="005F5507" w:rsidR="5E2F2DB1" w:rsidP="005F5507" w:rsidRDefault="5E2F2DB1" w14:paraId="3B95B026" w14:textId="333D9E1D">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Indicate the number of individual contracts that are included in the netting set of the M</w:t>
            </w:r>
            <w:r w:rsidRPr="005F5507" w:rsidR="00A037C2">
              <w:rPr>
                <w:rFonts w:ascii="Times New Roman" w:hAnsi="Times New Roman" w:eastAsia="Times New Roman" w:cs="Times New Roman"/>
                <w:sz w:val="20"/>
                <w:szCs w:val="20"/>
              </w:rPr>
              <w:t xml:space="preserve">aster </w:t>
            </w:r>
            <w:r w:rsidRPr="005F5507">
              <w:rPr>
                <w:rFonts w:ascii="Times New Roman" w:hAnsi="Times New Roman" w:eastAsia="Times New Roman" w:cs="Times New Roman"/>
                <w:sz w:val="20"/>
                <w:szCs w:val="20"/>
              </w:rPr>
              <w:t>A</w:t>
            </w:r>
            <w:r w:rsidRPr="005F5507" w:rsidR="00A037C2">
              <w:rPr>
                <w:rFonts w:ascii="Times New Roman" w:hAnsi="Times New Roman" w:eastAsia="Times New Roman" w:cs="Times New Roman"/>
                <w:sz w:val="20"/>
                <w:szCs w:val="20"/>
              </w:rPr>
              <w:t>greements</w:t>
            </w:r>
            <w:r w:rsidRPr="005F5507">
              <w:rPr>
                <w:rFonts w:ascii="Times New Roman" w:hAnsi="Times New Roman" w:eastAsia="Times New Roman" w:cs="Times New Roman"/>
                <w:sz w:val="20"/>
                <w:szCs w:val="20"/>
              </w:rPr>
              <w:t>.</w:t>
            </w:r>
          </w:p>
        </w:tc>
      </w:tr>
      <w:tr w:rsidRPr="00D43D39" w:rsidR="00C473FC" w:rsidTr="000B0F33" w14:paraId="0888BF65"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7B18827" w14:textId="689791D7">
            <w:pPr>
              <w:rPr>
                <w:rFonts w:ascii="Times New Roman" w:hAnsi="Times New Roman" w:cs="Times New Roman"/>
              </w:rPr>
            </w:pPr>
            <w:r w:rsidRPr="005F5507">
              <w:rPr>
                <w:rFonts w:ascii="Times New Roman" w:hAnsi="Times New Roman" w:eastAsia="Times New Roman" w:cs="Times New Roman"/>
                <w:sz w:val="20"/>
                <w:szCs w:val="20"/>
              </w:rPr>
              <w:t>0120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62735776" w14:textId="2BF6BCE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Net </w:t>
            </w:r>
            <w:r w:rsidRPr="005F5507" w:rsidR="00A037C2">
              <w:rPr>
                <w:rFonts w:ascii="Times New Roman" w:hAnsi="Times New Roman" w:eastAsia="Times New Roman" w:cs="Times New Roman"/>
                <w:b/>
                <w:bCs/>
                <w:sz w:val="20"/>
                <w:szCs w:val="20"/>
              </w:rPr>
              <w:t xml:space="preserve">mark to market value </w:t>
            </w:r>
          </w:p>
          <w:p w:rsidRPr="005F5507" w:rsidR="5E2F2DB1" w:rsidP="005F5507" w:rsidRDefault="00D57AF6" w14:paraId="64FAE715" w14:textId="62E7708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Net market value of derivative liabilities per contractual netting set </w:t>
            </w:r>
            <w:r w:rsidRPr="005F5507" w:rsidR="5E2F2DB1">
              <w:rPr>
                <w:rFonts w:ascii="Times New Roman" w:hAnsi="Times New Roman" w:eastAsia="Times New Roman" w:cs="Times New Roman"/>
                <w:sz w:val="20"/>
                <w:szCs w:val="20"/>
              </w:rPr>
              <w:t>as</w:t>
            </w:r>
            <w:r w:rsidRPr="005F5507">
              <w:rPr>
                <w:rFonts w:ascii="Times New Roman" w:hAnsi="Times New Roman" w:eastAsia="Times New Roman" w:cs="Times New Roman"/>
                <w:sz w:val="20"/>
                <w:szCs w:val="20"/>
              </w:rPr>
              <w:t>suming closing of derivatives</w:t>
            </w:r>
            <w:r w:rsidRPr="005F5507" w:rsidR="5E2F2DB1">
              <w:rPr>
                <w:rFonts w:ascii="Times New Roman" w:hAnsi="Times New Roman" w:eastAsia="Times New Roman" w:cs="Times New Roman"/>
                <w:sz w:val="20"/>
                <w:szCs w:val="20"/>
              </w:rPr>
              <w:t xml:space="preserve"> at the </w:t>
            </w:r>
            <w:r w:rsidRPr="005F5507">
              <w:rPr>
                <w:rFonts w:ascii="Times New Roman" w:hAnsi="Times New Roman" w:eastAsia="Times New Roman" w:cs="Times New Roman"/>
                <w:sz w:val="20"/>
                <w:szCs w:val="20"/>
              </w:rPr>
              <w:t xml:space="preserve">reference </w:t>
            </w:r>
            <w:r w:rsidRPr="005F5507" w:rsidR="5E2F2DB1">
              <w:rPr>
                <w:rFonts w:ascii="Times New Roman" w:hAnsi="Times New Roman" w:eastAsia="Times New Roman" w:cs="Times New Roman"/>
                <w:sz w:val="20"/>
                <w:szCs w:val="20"/>
              </w:rPr>
              <w:t>date.</w:t>
            </w:r>
          </w:p>
        </w:tc>
      </w:tr>
      <w:tr w:rsidRPr="00D43D39" w:rsidR="00C473FC" w:rsidTr="000B0F33" w14:paraId="13D7234E"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0EC02D1" w14:textId="4ADB3405">
            <w:pPr>
              <w:rPr>
                <w:rFonts w:ascii="Times New Roman" w:hAnsi="Times New Roman" w:cs="Times New Roman"/>
              </w:rPr>
            </w:pPr>
            <w:r w:rsidRPr="005F5507">
              <w:rPr>
                <w:rFonts w:ascii="Times New Roman" w:hAnsi="Times New Roman" w:eastAsia="Times New Roman" w:cs="Times New Roman"/>
                <w:sz w:val="20"/>
                <w:szCs w:val="20"/>
              </w:rPr>
              <w:t>0130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6FE6CE29" w14:textId="63D5240A">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Value of </w:t>
            </w:r>
            <w:r w:rsidRPr="005F5507" w:rsidR="00A037C2">
              <w:rPr>
                <w:rFonts w:ascii="Times New Roman" w:hAnsi="Times New Roman" w:eastAsia="Times New Roman" w:cs="Times New Roman"/>
                <w:b/>
                <w:bCs/>
                <w:sz w:val="20"/>
                <w:szCs w:val="20"/>
              </w:rPr>
              <w:t xml:space="preserve">net collateral posted </w:t>
            </w:r>
          </w:p>
          <w:p w:rsidRPr="005F5507" w:rsidR="5E2F2DB1" w:rsidP="005F5507" w:rsidRDefault="5E2F2DB1" w14:paraId="5B6DEAA9" w14:textId="3E01858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net market value of collateral positions under a netting set (i.e. collateral posted decreased by any collateral received). This include</w:t>
            </w:r>
            <w:r w:rsidR="005C5CBE">
              <w:rPr>
                <w:rFonts w:ascii="Times New Roman" w:hAnsi="Times New Roman" w:eastAsia="Times New Roman" w:cs="Times New Roman"/>
                <w:sz w:val="20"/>
                <w:szCs w:val="20"/>
              </w:rPr>
              <w:t>s</w:t>
            </w:r>
            <w:r w:rsidRPr="005F5507">
              <w:rPr>
                <w:rFonts w:ascii="Times New Roman" w:hAnsi="Times New Roman" w:eastAsia="Times New Roman" w:cs="Times New Roman"/>
                <w:sz w:val="20"/>
                <w:szCs w:val="20"/>
              </w:rPr>
              <w:t xml:space="preserve"> any margin accounts under the netting arrangements. </w:t>
            </w:r>
            <w:r w:rsidR="005C5CBE">
              <w:rPr>
                <w:rFonts w:ascii="Times New Roman" w:hAnsi="Times New Roman" w:eastAsia="Times New Roman" w:cs="Times New Roman"/>
                <w:sz w:val="20"/>
                <w:szCs w:val="20"/>
              </w:rPr>
              <w:t>R</w:t>
            </w:r>
            <w:r w:rsidRPr="005F5507">
              <w:rPr>
                <w:rFonts w:ascii="Times New Roman" w:hAnsi="Times New Roman" w:eastAsia="Times New Roman" w:cs="Times New Roman"/>
                <w:sz w:val="20"/>
                <w:szCs w:val="20"/>
              </w:rPr>
              <w:t>eport as a positive value for net collateral posted to counterparties.</w:t>
            </w:r>
          </w:p>
        </w:tc>
      </w:tr>
      <w:tr w:rsidRPr="00D43D39" w:rsidR="00C473FC" w:rsidTr="000B0F33" w14:paraId="04C20540"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69D5F8B5" w14:textId="74450BBE">
            <w:pPr>
              <w:rPr>
                <w:rFonts w:ascii="Times New Roman" w:hAnsi="Times New Roman" w:cs="Times New Roman"/>
              </w:rPr>
            </w:pPr>
            <w:r w:rsidRPr="005F5507">
              <w:rPr>
                <w:rFonts w:ascii="Times New Roman" w:hAnsi="Times New Roman" w:eastAsia="Times New Roman" w:cs="Times New Roman"/>
                <w:sz w:val="20"/>
                <w:szCs w:val="20"/>
              </w:rPr>
              <w:t>0140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19203341" w14:textId="4839994B">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Estimated Close Out Amount </w:t>
            </w:r>
          </w:p>
          <w:p w:rsidRPr="005F5507" w:rsidR="5E2F2DB1" w:rsidP="005F5507" w:rsidRDefault="5E2F2DB1" w14:paraId="784A073C" w14:textId="5D4F4FD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estimated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 </w:t>
            </w:r>
            <w:r w:rsidR="005463EE">
              <w:rPr>
                <w:rFonts w:ascii="Times New Roman" w:hAnsi="Times New Roman" w:eastAsia="Times New Roman" w:cs="Times New Roman"/>
                <w:sz w:val="20"/>
                <w:szCs w:val="20"/>
              </w:rPr>
              <w:t>In some cases; t</w:t>
            </w:r>
            <w:r w:rsidRPr="005F5507">
              <w:rPr>
                <w:rFonts w:ascii="Times New Roman" w:hAnsi="Times New Roman" w:eastAsia="Times New Roman" w:cs="Times New Roman"/>
                <w:sz w:val="20"/>
                <w:szCs w:val="20"/>
              </w:rPr>
              <w:t xml:space="preserve">he estimations required to determine this value in line with the Delegated Regulation (EU) 2016/1401 </w:t>
            </w:r>
            <w:r w:rsidR="005463EE">
              <w:rPr>
                <w:rFonts w:ascii="Times New Roman" w:hAnsi="Times New Roman" w:eastAsia="Times New Roman" w:cs="Times New Roman"/>
                <w:sz w:val="20"/>
                <w:szCs w:val="20"/>
              </w:rPr>
              <w:t>are difficult to report</w:t>
            </w:r>
            <w:r w:rsidRPr="005F5507">
              <w:rPr>
                <w:rFonts w:ascii="Times New Roman" w:hAnsi="Times New Roman" w:eastAsia="Times New Roman" w:cs="Times New Roman"/>
                <w:sz w:val="20"/>
                <w:szCs w:val="20"/>
              </w:rPr>
              <w:t xml:space="preserve"> on an individual basis. Therefore, proxy values, based on available data such as the prudential requirements for market risk, </w:t>
            </w:r>
            <w:r w:rsidR="005463EE">
              <w:rPr>
                <w:rFonts w:ascii="Times New Roman" w:hAnsi="Times New Roman" w:eastAsia="Times New Roman" w:cs="Times New Roman"/>
                <w:sz w:val="20"/>
                <w:szCs w:val="20"/>
              </w:rPr>
              <w:t>are to</w:t>
            </w:r>
            <w:r w:rsidRPr="005F5507">
              <w:rPr>
                <w:rFonts w:ascii="Times New Roman" w:hAnsi="Times New Roman" w:eastAsia="Times New Roman" w:cs="Times New Roman"/>
                <w:sz w:val="20"/>
                <w:szCs w:val="20"/>
              </w:rPr>
              <w:t xml:space="preserve"> be used instead. A positive value for the estimated close-out amount results in an increase of the estimated early termination amount, while a negative sign would decrease the estimated early termination amount.</w:t>
            </w:r>
          </w:p>
        </w:tc>
      </w:tr>
      <w:tr w:rsidRPr="00D43D39" w:rsidR="00C473FC" w:rsidTr="000B0F33" w14:paraId="28B5ED7F" w14:textId="77777777">
        <w:tc>
          <w:tcPr>
            <w:tcW w:w="1183" w:type="dxa"/>
            <w:vMerge w:val="restart"/>
            <w:tcBorders>
              <w:top w:val="single" w:color="1A171C" w:sz="8" w:space="0"/>
              <w:left w:val="nil"/>
              <w:right w:val="single" w:color="1A171C" w:sz="8" w:space="0"/>
            </w:tcBorders>
            <w:vAlign w:val="center"/>
          </w:tcPr>
          <w:p w:rsidRPr="005F5507" w:rsidR="5E2F2DB1" w:rsidRDefault="5E2F2DB1" w14:paraId="3F914FB3" w14:textId="16EF92FE">
            <w:pPr>
              <w:rPr>
                <w:rFonts w:ascii="Times New Roman" w:hAnsi="Times New Roman" w:cs="Times New Roman"/>
              </w:rPr>
            </w:pPr>
            <w:r w:rsidRPr="005F5507">
              <w:rPr>
                <w:rFonts w:ascii="Times New Roman" w:hAnsi="Times New Roman" w:eastAsia="Times New Roman" w:cs="Times New Roman"/>
                <w:sz w:val="20"/>
                <w:szCs w:val="20"/>
              </w:rPr>
              <w:t>0150</w:t>
            </w:r>
          </w:p>
        </w:tc>
        <w:tc>
          <w:tcPr>
            <w:tcW w:w="7832" w:type="dxa"/>
            <w:tcBorders>
              <w:top w:val="single" w:color="1A171C" w:sz="8" w:space="0"/>
              <w:left w:val="single" w:color="1A171C" w:sz="8" w:space="0"/>
              <w:right w:val="nil"/>
            </w:tcBorders>
            <w:vAlign w:val="bottom"/>
          </w:tcPr>
          <w:p w:rsidRPr="005F5507" w:rsidR="5E2F2DB1" w:rsidP="005F5507" w:rsidRDefault="5E2F2DB1" w14:paraId="11314B2D" w14:textId="5E91482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Estimated Early Termination Amount </w:t>
            </w:r>
          </w:p>
          <w:p w:rsidRPr="005F5507" w:rsidR="5E2F2DB1" w:rsidP="005F5507" w:rsidRDefault="5E2F2DB1" w14:paraId="3C8CB8B0" w14:textId="5CC54C3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With reference to the Delegated Regulation (EU) 2016/1401 on the valuation of derivatives pursuant to article 49 (4) of the BRRD, this amount is determined as follows:</w:t>
            </w:r>
          </w:p>
        </w:tc>
      </w:tr>
      <w:tr w:rsidRPr="00D43D39" w:rsidR="00C473FC" w:rsidTr="000B0F33" w14:paraId="6B242B8E" w14:textId="77777777">
        <w:tc>
          <w:tcPr>
            <w:tcW w:w="1183" w:type="dxa"/>
            <w:vMerge/>
            <w:tcBorders>
              <w:right w:val="single" w:color="1A171C" w:sz="8" w:space="0"/>
            </w:tcBorders>
            <w:vAlign w:val="center"/>
          </w:tcPr>
          <w:p w:rsidRPr="005F5507" w:rsidR="00404742" w:rsidRDefault="00404742" w14:paraId="013CE850" w14:textId="77777777">
            <w:pPr>
              <w:rPr>
                <w:rFonts w:ascii="Times New Roman" w:hAnsi="Times New Roman" w:cs="Times New Roman"/>
              </w:rPr>
            </w:pPr>
          </w:p>
        </w:tc>
        <w:tc>
          <w:tcPr>
            <w:tcW w:w="7832" w:type="dxa"/>
            <w:tcBorders>
              <w:left w:val="single" w:color="1A171C" w:sz="8" w:space="0"/>
              <w:right w:val="nil"/>
            </w:tcBorders>
            <w:vAlign w:val="bottom"/>
          </w:tcPr>
          <w:p w:rsidRPr="005F5507" w:rsidR="5E2F2DB1" w:rsidP="005F5507" w:rsidRDefault="5E2F2DB1" w14:paraId="3D49F2FE" w14:textId="61E33F3B">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 "The valuer shall determine the value of liabilities arising from derivative contracts under a netting set as an early termination amount calculated as the sum of: </w:t>
            </w:r>
          </w:p>
        </w:tc>
      </w:tr>
      <w:tr w:rsidRPr="00D43D39" w:rsidR="00C473FC" w:rsidTr="000B0F33" w14:paraId="2DA71FDD" w14:textId="77777777">
        <w:tc>
          <w:tcPr>
            <w:tcW w:w="1183" w:type="dxa"/>
            <w:vMerge/>
            <w:tcBorders>
              <w:right w:val="single" w:color="1A171C" w:sz="8" w:space="0"/>
            </w:tcBorders>
            <w:vAlign w:val="center"/>
          </w:tcPr>
          <w:p w:rsidRPr="005F5507" w:rsidR="00404742" w:rsidRDefault="00404742" w14:paraId="426772DE" w14:textId="77777777">
            <w:pPr>
              <w:rPr>
                <w:rFonts w:ascii="Times New Roman" w:hAnsi="Times New Roman" w:cs="Times New Roman"/>
              </w:rPr>
            </w:pPr>
          </w:p>
        </w:tc>
        <w:tc>
          <w:tcPr>
            <w:tcW w:w="7832" w:type="dxa"/>
            <w:tcBorders>
              <w:left w:val="single" w:color="1A171C" w:sz="8" w:space="0"/>
              <w:right w:val="nil"/>
            </w:tcBorders>
            <w:vAlign w:val="bottom"/>
          </w:tcPr>
          <w:p w:rsidRPr="005F5507" w:rsidR="5E2F2DB1" w:rsidP="005F5507" w:rsidRDefault="5E2F2DB1" w14:paraId="62F6C0D5" w14:textId="305C765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 ·         Unpaid amounts, collateral or other amounts due from the entity under resolution to the counterparty, less unpaid amounts, collateral and other amounts due from the counterparty to the entity under resolution as at the close-out date; and</w:t>
            </w:r>
          </w:p>
        </w:tc>
      </w:tr>
      <w:tr w:rsidRPr="00D43D39" w:rsidR="00C473FC" w:rsidTr="000B0F33" w14:paraId="320CFFE9" w14:textId="77777777">
        <w:tc>
          <w:tcPr>
            <w:tcW w:w="1183" w:type="dxa"/>
            <w:vMerge/>
            <w:tcBorders>
              <w:right w:val="single" w:color="1A171C" w:sz="8" w:space="0"/>
            </w:tcBorders>
            <w:vAlign w:val="center"/>
          </w:tcPr>
          <w:p w:rsidRPr="005F5507" w:rsidR="00404742" w:rsidRDefault="00404742" w14:paraId="1B28A9F1" w14:textId="77777777">
            <w:pPr>
              <w:rPr>
                <w:rFonts w:ascii="Times New Roman" w:hAnsi="Times New Roman" w:cs="Times New Roman"/>
              </w:rPr>
            </w:pPr>
          </w:p>
        </w:tc>
        <w:tc>
          <w:tcPr>
            <w:tcW w:w="7832" w:type="dxa"/>
            <w:tcBorders>
              <w:left w:val="single" w:color="1A171C" w:sz="8" w:space="0"/>
              <w:right w:val="nil"/>
            </w:tcBorders>
            <w:vAlign w:val="bottom"/>
          </w:tcPr>
          <w:p w:rsidRPr="005F5507" w:rsidR="5E2F2DB1" w:rsidP="005F5507" w:rsidRDefault="5E2F2DB1" w14:paraId="13331FFA" w14:textId="61661F4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 ·         A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w:t>
            </w:r>
          </w:p>
        </w:tc>
      </w:tr>
      <w:tr w:rsidRPr="00D43D39" w:rsidR="00C473FC" w:rsidTr="000B0F33" w14:paraId="1225B11A" w14:textId="77777777">
        <w:tc>
          <w:tcPr>
            <w:tcW w:w="1183" w:type="dxa"/>
            <w:vMerge/>
            <w:tcBorders>
              <w:right w:val="single" w:color="1A171C" w:sz="8" w:space="0"/>
            </w:tcBorders>
            <w:vAlign w:val="center"/>
          </w:tcPr>
          <w:p w:rsidRPr="005F5507" w:rsidR="00404742" w:rsidRDefault="00404742" w14:paraId="1FB1E317" w14:textId="77777777">
            <w:pPr>
              <w:rPr>
                <w:rFonts w:ascii="Times New Roman" w:hAnsi="Times New Roman" w:cs="Times New Roman"/>
              </w:rPr>
            </w:pPr>
          </w:p>
        </w:tc>
        <w:tc>
          <w:tcPr>
            <w:tcW w:w="7832" w:type="dxa"/>
            <w:tcBorders>
              <w:left w:val="single" w:color="1A171C" w:sz="8" w:space="0"/>
              <w:bottom w:val="single" w:color="1A171C" w:sz="8" w:space="0"/>
              <w:right w:val="nil"/>
            </w:tcBorders>
            <w:vAlign w:val="bottom"/>
          </w:tcPr>
          <w:p w:rsidRPr="005F5507" w:rsidR="5E2F2DB1" w:rsidP="005F5507" w:rsidRDefault="5E2F2DB1" w14:paraId="41636EA5" w14:textId="3152B6B1">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 As such, the Estimated Early Termination Amount must equal the Net Mark-to-Market Value (c0120) - Value of Net Collateral Posted (c0130) + Estimated Close-Out Amount (c0140).</w:t>
            </w:r>
          </w:p>
        </w:tc>
      </w:tr>
    </w:tbl>
    <w:p w:rsidRPr="00D43D39" w:rsidR="00EE5E3A" w:rsidP="00EE5E3A" w:rsidRDefault="00EE5E3A" w14:paraId="5828306E" w14:textId="77777777">
      <w:pPr>
        <w:pStyle w:val="Instructionsberschrift2"/>
        <w:ind w:left="357"/>
        <w:rPr>
          <w:rFonts w:ascii="Times New Roman" w:hAnsi="Times New Roman" w:eastAsia="Calibri" w:cs="Times New Roman"/>
          <w:szCs w:val="20"/>
        </w:rPr>
      </w:pPr>
      <w:bookmarkStart w:name="_Toc81454217" w:id="229"/>
    </w:p>
    <w:p w:rsidRPr="005F5507" w:rsidR="00EE5E3A" w:rsidP="00EE5E3A" w:rsidRDefault="00EE5E3A" w14:paraId="18D6CB0C" w14:textId="09B56540">
      <w:pPr>
        <w:pStyle w:val="Instructionsberschrift2"/>
        <w:numPr>
          <w:ilvl w:val="1"/>
          <w:numId w:val="49"/>
        </w:numPr>
        <w:spacing w:before="0"/>
        <w:ind w:left="357" w:hanging="357"/>
        <w:rPr>
          <w:rFonts w:ascii="Times New Roman" w:hAnsi="Times New Roman" w:cs="Times New Roman"/>
        </w:rPr>
      </w:pPr>
      <w:bookmarkStart w:name="_Toc172732259" w:id="230"/>
      <w:r w:rsidRPr="005F5507">
        <w:rPr>
          <w:rFonts w:ascii="Times New Roman" w:hAnsi="Times New Roman" w:cs="Times New Roman" w:eastAsiaTheme="minorEastAsia"/>
        </w:rPr>
        <w:t>Z10.06  - Securities financing transactions, excluding intragroup</w:t>
      </w:r>
      <w:r w:rsidR="00056E47">
        <w:rPr>
          <w:rFonts w:ascii="Times New Roman" w:hAnsi="Times New Roman" w:cs="Times New Roman" w:eastAsiaTheme="minorEastAsia"/>
        </w:rPr>
        <w:t xml:space="preserve"> </w:t>
      </w:r>
      <w:r w:rsidRPr="00056E47" w:rsidR="00056E47">
        <w:rPr>
          <w:rFonts w:ascii="Times New Roman" w:hAnsi="Times New Roman" w:eastAsia="Calibri" w:cs="Times New Roman"/>
          <w:szCs w:val="20"/>
        </w:rPr>
        <w:t>(LIAB-G-</w:t>
      </w:r>
      <w:r w:rsidR="00056E47">
        <w:rPr>
          <w:rFonts w:ascii="Times New Roman" w:hAnsi="Times New Roman" w:eastAsia="Calibri" w:cs="Times New Roman"/>
          <w:szCs w:val="20"/>
        </w:rPr>
        <w:t>6</w:t>
      </w:r>
      <w:r w:rsidRPr="00056E47" w:rsidR="00056E47">
        <w:rPr>
          <w:rFonts w:ascii="Times New Roman" w:hAnsi="Times New Roman" w:eastAsia="Calibri" w:cs="Times New Roman"/>
          <w:szCs w:val="20"/>
        </w:rPr>
        <w:t>)</w:t>
      </w:r>
      <w:bookmarkEnd w:id="230"/>
    </w:p>
    <w:p w:rsidRPr="005F5507" w:rsidR="3DF9F9B9" w:rsidP="005F5507" w:rsidRDefault="00203015" w14:paraId="0626BBF4" w14:textId="60E8BB7F">
      <w:pPr>
        <w:pStyle w:val="Instructionsberschrift2"/>
        <w:rPr>
          <w:rFonts w:ascii="Times New Roman" w:hAnsi="Times New Roman" w:cs="Times New Roman" w:eastAsiaTheme="minorEastAsia"/>
          <w:u w:val="none"/>
        </w:rPr>
      </w:pPr>
      <w:r w:rsidRPr="005F5507">
        <w:rPr>
          <w:rFonts w:ascii="Times New Roman" w:hAnsi="Times New Roman" w:cs="Times New Roman"/>
          <w:u w:val="none"/>
        </w:rPr>
        <w:t xml:space="preserve"> </w:t>
      </w:r>
      <w:bookmarkEnd w:id="229"/>
    </w:p>
    <w:p w:rsidRPr="005F5507" w:rsidR="3DF9F9B9" w:rsidP="5E2F2DB1" w:rsidRDefault="3DF9F9B9" w14:paraId="269CA032" w14:textId="77777777">
      <w:pPr>
        <w:pStyle w:val="Numberedtitlelevel3"/>
        <w:rPr>
          <w:rFonts w:ascii="Times New Roman" w:hAnsi="Times New Roman" w:cs="Times New Roman"/>
          <w:b w:val="0"/>
          <w:color w:val="auto"/>
          <w:sz w:val="20"/>
          <w:szCs w:val="20"/>
          <w:lang w:val="en-GB"/>
        </w:rPr>
      </w:pPr>
      <w:r w:rsidRPr="005F5507">
        <w:rPr>
          <w:rFonts w:ascii="Times New Roman" w:hAnsi="Times New Roman" w:cs="Times New Roman"/>
          <w:b w:val="0"/>
          <w:color w:val="auto"/>
          <w:sz w:val="20"/>
          <w:szCs w:val="20"/>
          <w:lang w:val="en-GB"/>
        </w:rPr>
        <w:t>General remarks</w:t>
      </w:r>
    </w:p>
    <w:p w:rsidRPr="005F5507" w:rsidR="3DF9F9B9" w:rsidP="005F5507" w:rsidRDefault="001142AD" w14:paraId="267DE8AE" w14:textId="54A088F0">
      <w:pPr>
        <w:pStyle w:val="InstructionsText2"/>
        <w:numPr>
          <w:ilvl w:val="2"/>
          <w:numId w:val="209"/>
        </w:numPr>
        <w:spacing w:before="0"/>
        <w:ind w:left="1276"/>
        <w:rPr>
          <w:rFonts w:ascii="Times New Roman" w:hAnsi="Times New Roman" w:cs="Times New Roman" w:eastAsiaTheme="majorEastAsia"/>
          <w:lang w:val="en-GB"/>
        </w:rPr>
      </w:pPr>
      <w:r w:rsidRPr="005F5507">
        <w:rPr>
          <w:rFonts w:ascii="Times New Roman" w:hAnsi="Times New Roman" w:eastAsia="Cambria" w:cs="Times New Roman"/>
          <w:sz w:val="20"/>
          <w:szCs w:val="20"/>
          <w:lang w:val="en-GB"/>
        </w:rPr>
        <w:t>Securities financing transactions</w:t>
      </w:r>
      <w:r w:rsidRPr="005F5507" w:rsidR="00C473FC">
        <w:rPr>
          <w:rFonts w:ascii="Times New Roman" w:hAnsi="Times New Roman" w:eastAsia="Cambria" w:cs="Times New Roman"/>
          <w:sz w:val="20"/>
          <w:szCs w:val="20"/>
          <w:lang w:val="en-GB"/>
        </w:rPr>
        <w:t xml:space="preserve"> i</w:t>
      </w:r>
      <w:r w:rsidRPr="005F5507" w:rsidR="3DF9F9B9">
        <w:rPr>
          <w:rFonts w:ascii="Times New Roman" w:hAnsi="Times New Roman" w:eastAsia="Cambria" w:cs="Times New Roman"/>
          <w:sz w:val="20"/>
          <w:szCs w:val="20"/>
          <w:lang w:val="en-GB"/>
        </w:rPr>
        <w:t xml:space="preserve">nclude all financing arrangements that are subject to the provision of collateral, pledges or liens, excluding, for example, securities which have to be reported in </w:t>
      </w:r>
      <w:r w:rsidRPr="005F5507" w:rsidR="004B7506">
        <w:rPr>
          <w:rFonts w:ascii="Times New Roman" w:hAnsi="Times New Roman" w:eastAsia="Cambria" w:cs="Times New Roman"/>
          <w:sz w:val="20"/>
          <w:szCs w:val="20"/>
          <w:lang w:val="en-GB"/>
        </w:rPr>
        <w:t>Z10</w:t>
      </w:r>
      <w:r w:rsidRPr="005F5507" w:rsidR="3DF9F9B9">
        <w:rPr>
          <w:rFonts w:ascii="Times New Roman" w:hAnsi="Times New Roman" w:eastAsia="Cambria" w:cs="Times New Roman"/>
          <w:sz w:val="20"/>
          <w:szCs w:val="20"/>
          <w:lang w:val="en-GB"/>
        </w:rPr>
        <w:t>.0</w:t>
      </w:r>
      <w:r w:rsidRPr="005F5507" w:rsidR="004B7506">
        <w:rPr>
          <w:rFonts w:ascii="Times New Roman" w:hAnsi="Times New Roman" w:eastAsia="Cambria" w:cs="Times New Roman"/>
          <w:sz w:val="20"/>
          <w:szCs w:val="20"/>
          <w:lang w:val="en-GB"/>
        </w:rPr>
        <w:t>2</w:t>
      </w:r>
      <w:r w:rsidRPr="005F5507" w:rsidR="3DF9F9B9">
        <w:rPr>
          <w:rFonts w:ascii="Times New Roman" w:hAnsi="Times New Roman" w:eastAsia="Cambria" w:cs="Times New Roman"/>
          <w:sz w:val="20"/>
          <w:szCs w:val="20"/>
          <w:lang w:val="en-GB"/>
        </w:rPr>
        <w:t xml:space="preserve">. </w:t>
      </w:r>
    </w:p>
    <w:p w:rsidRPr="005F5507" w:rsidR="3DF9F9B9" w:rsidP="005F5507" w:rsidRDefault="3DF9F9B9" w14:paraId="1ECEB380" w14:textId="6F29CC14">
      <w:pPr>
        <w:pStyle w:val="InstructionsText2"/>
        <w:numPr>
          <w:ilvl w:val="2"/>
          <w:numId w:val="209"/>
        </w:numPr>
        <w:spacing w:before="0"/>
        <w:ind w:left="1276"/>
        <w:rPr>
          <w:rFonts w:ascii="Times New Roman" w:hAnsi="Times New Roman" w:cs="Times New Roman"/>
          <w:lang w:val="en-GB"/>
        </w:rPr>
      </w:pPr>
      <w:r w:rsidRPr="005F5507">
        <w:rPr>
          <w:rFonts w:ascii="Times New Roman" w:hAnsi="Times New Roman" w:eastAsia="Cambria" w:cs="Times New Roman"/>
          <w:sz w:val="20"/>
          <w:szCs w:val="20"/>
          <w:lang w:val="en-GB"/>
        </w:rPr>
        <w:t>Typical examples of such arrangements are central bank financing or repurchase agreements.</w:t>
      </w:r>
    </w:p>
    <w:p w:rsidRPr="005F5507" w:rsidR="3DF9F9B9" w:rsidP="005F5507" w:rsidRDefault="3DF9F9B9" w14:paraId="4533315F" w14:textId="0E91436C">
      <w:pPr>
        <w:pStyle w:val="InstructionsText2"/>
        <w:numPr>
          <w:ilvl w:val="2"/>
          <w:numId w:val="209"/>
        </w:numPr>
        <w:spacing w:before="0"/>
        <w:ind w:left="1276"/>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The secured liability is to be reported, not the collateral itself.</w:t>
      </w:r>
    </w:p>
    <w:p w:rsidRPr="005F5507" w:rsidR="3DF9F9B9" w:rsidP="005F5507" w:rsidRDefault="3DF9F9B9" w14:paraId="57DFFAC1" w14:textId="2C984CCE">
      <w:pPr>
        <w:pStyle w:val="InstructionsText2"/>
        <w:numPr>
          <w:ilvl w:val="2"/>
          <w:numId w:val="209"/>
        </w:numPr>
        <w:spacing w:before="0"/>
        <w:ind w:left="1276"/>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 xml:space="preserve">For the purposes of this table, secured finance arrangements have to be reported by netting set, i.e. each netting set reported as an individual </w:t>
      </w:r>
      <w:r w:rsidRPr="005F5507" w:rsidR="008E145C">
        <w:rPr>
          <w:rFonts w:ascii="Times New Roman" w:hAnsi="Times New Roman" w:eastAsia="Cambria" w:cs="Times New Roman"/>
          <w:sz w:val="20"/>
          <w:szCs w:val="20"/>
          <w:lang w:val="en-GB"/>
        </w:rPr>
        <w:t>line</w:t>
      </w:r>
      <w:r w:rsidRPr="005F5507">
        <w:rPr>
          <w:rFonts w:ascii="Times New Roman" w:hAnsi="Times New Roman" w:eastAsia="Cambria" w:cs="Times New Roman"/>
          <w:sz w:val="20"/>
          <w:szCs w:val="20"/>
          <w:lang w:val="en-GB"/>
        </w:rPr>
        <w:t xml:space="preserve"> item. </w:t>
      </w:r>
      <w:r w:rsidRPr="005F5507" w:rsidR="001D1ACF">
        <w:rPr>
          <w:rFonts w:ascii="Times New Roman" w:hAnsi="Times New Roman" w:eastAsia="Cambria" w:cs="Times New Roman"/>
          <w:sz w:val="20"/>
          <w:szCs w:val="20"/>
          <w:lang w:val="en-GB"/>
        </w:rPr>
        <w:t xml:space="preserve">However, the secured portion and the unsecured portion of the same netting set must be reported in different </w:t>
      </w:r>
      <w:r w:rsidRPr="005F5507" w:rsidR="008E145C">
        <w:rPr>
          <w:rFonts w:ascii="Times New Roman" w:hAnsi="Times New Roman" w:eastAsia="Cambria" w:cs="Times New Roman"/>
          <w:sz w:val="20"/>
          <w:szCs w:val="20"/>
          <w:lang w:val="en-GB"/>
        </w:rPr>
        <w:t>line</w:t>
      </w:r>
      <w:r w:rsidRPr="005F5507" w:rsidR="001D1ACF">
        <w:rPr>
          <w:rFonts w:ascii="Times New Roman" w:hAnsi="Times New Roman" w:eastAsia="Cambria" w:cs="Times New Roman"/>
          <w:sz w:val="20"/>
          <w:szCs w:val="20"/>
          <w:lang w:val="en-GB"/>
        </w:rPr>
        <w:t xml:space="preserve"> items in case they pertain to different insolvency rankings. </w:t>
      </w:r>
    </w:p>
    <w:p w:rsidRPr="005F5507" w:rsidR="00493F16" w:rsidP="005F5507" w:rsidRDefault="3DF9F9B9" w14:paraId="4D4D976F" w14:textId="2480A3DE">
      <w:pPr>
        <w:pStyle w:val="InstructionsText2"/>
        <w:numPr>
          <w:ilvl w:val="2"/>
          <w:numId w:val="209"/>
        </w:numPr>
        <w:spacing w:before="0"/>
        <w:ind w:left="1276"/>
        <w:rPr>
          <w:rFonts w:ascii="Times New Roman" w:hAnsi="Times New Roman" w:eastAsia="Cambria" w:cs="Times New Roman"/>
          <w:sz w:val="20"/>
          <w:szCs w:val="20"/>
          <w:lang w:val="en-GB"/>
        </w:rPr>
      </w:pPr>
      <w:r w:rsidRPr="005F5507">
        <w:rPr>
          <w:rFonts w:ascii="Times New Roman" w:hAnsi="Times New Roman" w:eastAsia="Cambria" w:cs="Times New Roman"/>
          <w:sz w:val="20"/>
          <w:szCs w:val="20"/>
          <w:lang w:val="en-GB"/>
        </w:rPr>
        <w:t>No reporting thresholds are applicable in this respect.</w:t>
      </w:r>
    </w:p>
    <w:p w:rsidRPr="005F5507" w:rsidR="3DF9F9B9" w:rsidP="5E2F2DB1" w:rsidRDefault="3DF9F9B9" w14:paraId="24C3D43F" w14:textId="77777777">
      <w:pPr>
        <w:pStyle w:val="Numberedtitlelevel3"/>
        <w:rPr>
          <w:rFonts w:ascii="Times New Roman" w:hAnsi="Times New Roman" w:cs="Times New Roman"/>
          <w:b w:val="0"/>
          <w:color w:val="auto"/>
          <w:sz w:val="20"/>
          <w:szCs w:val="20"/>
          <w:lang w:val="en-GB"/>
        </w:rPr>
      </w:pPr>
      <w:r w:rsidRPr="005F5507">
        <w:rPr>
          <w:rFonts w:ascii="Times New Roman" w:hAnsi="Times New Roman" w:cs="Times New Roman"/>
          <w:b w:val="0"/>
          <w:color w:val="auto"/>
          <w:sz w:val="20"/>
          <w:szCs w:val="20"/>
          <w:lang w:val="en-GB"/>
        </w:rPr>
        <w:t>Instructions concerning specific positions</w:t>
      </w:r>
    </w:p>
    <w:tbl>
      <w:tblPr>
        <w:tblW w:w="9015" w:type="dxa"/>
        <w:tblInd w:w="135" w:type="dxa"/>
        <w:tblLayout w:type="fixed"/>
        <w:tblLook w:val="04A0" w:firstRow="1" w:lastRow="0" w:firstColumn="1" w:lastColumn="0" w:noHBand="0" w:noVBand="1"/>
      </w:tblPr>
      <w:tblGrid>
        <w:gridCol w:w="1183"/>
        <w:gridCol w:w="7832"/>
      </w:tblGrid>
      <w:tr w:rsidRPr="00D43D39" w:rsidR="00C473FC" w:rsidTr="005F5507" w14:paraId="7AA24ACF" w14:textId="77777777">
        <w:trPr>
          <w:tblHeader/>
        </w:trPr>
        <w:tc>
          <w:tcPr>
            <w:tcW w:w="1183" w:type="dxa"/>
            <w:tcBorders>
              <w:top w:val="single" w:color="1A171C" w:sz="8" w:space="0"/>
              <w:left w:val="nil"/>
              <w:bottom w:val="single" w:color="1A171C" w:sz="8" w:space="0"/>
              <w:right w:val="single" w:color="1A171C" w:sz="8" w:space="0"/>
            </w:tcBorders>
            <w:shd w:val="clear" w:color="auto" w:fill="D9D9D9" w:themeFill="background1" w:themeFillShade="D9"/>
          </w:tcPr>
          <w:p w:rsidRPr="005F5507" w:rsidR="5E2F2DB1" w:rsidRDefault="5E2F2DB1" w14:paraId="0AF85761" w14:textId="23B3B663">
            <w:pPr>
              <w:rPr>
                <w:rFonts w:ascii="Times New Roman" w:hAnsi="Times New Roman" w:cs="Times New Roman"/>
              </w:rPr>
            </w:pPr>
            <w:r w:rsidRPr="005F5507">
              <w:rPr>
                <w:rFonts w:ascii="Times New Roman" w:hAnsi="Times New Roman" w:eastAsia="Times New Roman" w:cs="Times New Roman"/>
                <w:sz w:val="20"/>
                <w:szCs w:val="20"/>
              </w:rPr>
              <w:t xml:space="preserve">Columns </w:t>
            </w:r>
          </w:p>
        </w:tc>
        <w:tc>
          <w:tcPr>
            <w:tcW w:w="7832" w:type="dxa"/>
            <w:tcBorders>
              <w:top w:val="single" w:color="1A171C" w:sz="8" w:space="0"/>
              <w:left w:val="single" w:color="1A171C" w:sz="8" w:space="0"/>
              <w:bottom w:val="single" w:color="1A171C" w:sz="8" w:space="0"/>
              <w:right w:val="nil"/>
            </w:tcBorders>
            <w:shd w:val="clear" w:color="auto" w:fill="D9D9D9" w:themeFill="background1" w:themeFillShade="D9"/>
          </w:tcPr>
          <w:p w:rsidRPr="005F5507" w:rsidR="5E2F2DB1" w:rsidRDefault="5E2F2DB1" w14:paraId="397A3158" w14:textId="7DF976A0">
            <w:pPr>
              <w:rPr>
                <w:rFonts w:ascii="Times New Roman" w:hAnsi="Times New Roman" w:cs="Times New Roman"/>
              </w:rPr>
            </w:pPr>
            <w:r w:rsidRPr="005F5507">
              <w:rPr>
                <w:rFonts w:ascii="Times New Roman" w:hAnsi="Times New Roman" w:eastAsia="Times New Roman" w:cs="Times New Roman"/>
                <w:sz w:val="20"/>
                <w:szCs w:val="20"/>
              </w:rPr>
              <w:t xml:space="preserve">Instructions </w:t>
            </w:r>
          </w:p>
        </w:tc>
      </w:tr>
      <w:tr w:rsidRPr="00D43D39" w:rsidR="00C473FC" w:rsidTr="00EE5E3A" w14:paraId="5619E6AF"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0F893A8B" w14:textId="60764196">
            <w:pPr>
              <w:rPr>
                <w:rFonts w:ascii="Times New Roman" w:hAnsi="Times New Roman" w:cs="Times New Roman"/>
              </w:rPr>
            </w:pPr>
            <w:r w:rsidRPr="005F5507">
              <w:rPr>
                <w:rFonts w:ascii="Times New Roman" w:hAnsi="Times New Roman" w:eastAsia="Times New Roman" w:cs="Times New Roman"/>
                <w:sz w:val="20"/>
                <w:szCs w:val="20"/>
              </w:rPr>
              <w:t>0010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16D4F590" w14:textId="73FB278E">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N° </w:t>
            </w:r>
          </w:p>
          <w:p w:rsidRPr="005F5507" w:rsidR="5E2F2DB1" w:rsidP="005F5507" w:rsidRDefault="5E2F2DB1" w14:paraId="72E66DE7" w14:textId="69C757E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Unique number/primary key to identify the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w:t>
            </w:r>
          </w:p>
        </w:tc>
      </w:tr>
      <w:tr w:rsidRPr="00D43D39" w:rsidR="00C473FC" w:rsidTr="00EE5E3A" w14:paraId="09442E4C"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57B498F5" w14:textId="3F479EDA">
            <w:pPr>
              <w:rPr>
                <w:rFonts w:ascii="Times New Roman" w:hAnsi="Times New Roman" w:cs="Times New Roman"/>
              </w:rPr>
            </w:pPr>
            <w:r w:rsidRPr="005F5507">
              <w:rPr>
                <w:rFonts w:ascii="Times New Roman" w:hAnsi="Times New Roman" w:eastAsia="Times New Roman" w:cs="Times New Roman"/>
                <w:sz w:val="20"/>
                <w:szCs w:val="20"/>
              </w:rPr>
              <w:t>0020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194D671D" w14:textId="66C6D77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Column </w:t>
            </w:r>
          </w:p>
          <w:p w:rsidRPr="005F5507" w:rsidR="5E2F2DB1" w:rsidP="005F5507" w:rsidRDefault="5E2F2DB1" w14:paraId="392A00F3" w14:textId="20C08B0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each netting set, a reconciliation with the counterparty class in </w:t>
            </w:r>
            <w:r w:rsidR="00772CC7">
              <w:rPr>
                <w:rFonts w:ascii="Times New Roman" w:hAnsi="Times New Roman" w:eastAsia="Times New Roman" w:cs="Times New Roman"/>
                <w:sz w:val="20"/>
                <w:szCs w:val="20"/>
              </w:rPr>
              <w:t>Z</w:t>
            </w:r>
            <w:r w:rsidRPr="005F5507">
              <w:rPr>
                <w:rFonts w:ascii="Times New Roman" w:hAnsi="Times New Roman" w:eastAsia="Times New Roman" w:cs="Times New Roman"/>
                <w:sz w:val="20"/>
                <w:szCs w:val="20"/>
              </w:rPr>
              <w:t>0</w:t>
            </w:r>
            <w:r w:rsidR="00772CC7">
              <w:rPr>
                <w:rFonts w:ascii="Times New Roman" w:hAnsi="Times New Roman" w:eastAsia="Times New Roman" w:cs="Times New Roman"/>
                <w:sz w:val="20"/>
                <w:szCs w:val="20"/>
              </w:rPr>
              <w:t>2</w:t>
            </w:r>
            <w:r w:rsidRPr="005F5507">
              <w:rPr>
                <w:rFonts w:ascii="Times New Roman" w:hAnsi="Times New Roman" w:eastAsia="Times New Roman" w:cs="Times New Roman"/>
                <w:sz w:val="20"/>
                <w:szCs w:val="20"/>
              </w:rPr>
              <w:t>.00 to which the liability is owed has to be provided from predefined list of values.</w:t>
            </w:r>
          </w:p>
        </w:tc>
      </w:tr>
      <w:tr w:rsidRPr="00D43D39" w:rsidR="00C473FC" w:rsidTr="00EE5E3A" w14:paraId="5D32BA05"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6C211E57" w14:textId="3547B035">
            <w:pPr>
              <w:rPr>
                <w:rFonts w:ascii="Times New Roman" w:hAnsi="Times New Roman" w:cs="Times New Roman"/>
              </w:rPr>
            </w:pPr>
            <w:r w:rsidRPr="005F5507">
              <w:rPr>
                <w:rFonts w:ascii="Times New Roman" w:hAnsi="Times New Roman" w:eastAsia="Times New Roman" w:cs="Times New Roman"/>
                <w:sz w:val="20"/>
                <w:szCs w:val="20"/>
              </w:rPr>
              <w:t>0030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1269B8F0" w14:textId="4730AB43">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Insolvency Ranking  </w:t>
            </w:r>
          </w:p>
          <w:p w:rsidRPr="005F5507" w:rsidR="5E2F2DB1" w:rsidP="005F5507" w:rsidRDefault="00772CC7" w14:paraId="020C4FE4" w14:textId="15A183B3">
            <w:pPr>
              <w:pStyle w:val="TableParagraph"/>
              <w:spacing w:before="108"/>
              <w:ind w:left="85"/>
              <w:jc w:val="both"/>
              <w:rPr>
                <w:rFonts w:ascii="Times New Roman" w:hAnsi="Times New Roman" w:eastAsia="Times New Roman" w:cs="Times New Roman"/>
                <w:sz w:val="20"/>
                <w:szCs w:val="20"/>
              </w:rPr>
            </w:pPr>
            <w:r w:rsidRPr="00A50739">
              <w:rPr>
                <w:rFonts w:ascii="Times New Roman" w:hAnsi="Times New Roman" w:eastAsia="Times New Roman" w:cs="Times New Roman"/>
                <w:sz w:val="20"/>
                <w:szCs w:val="20"/>
              </w:rPr>
              <w:t>The insolvency rank shall be one of the ranks included in the insolvency rankings published by the resolution authority of that jurisdiction.</w:t>
            </w:r>
          </w:p>
        </w:tc>
      </w:tr>
      <w:tr w:rsidRPr="00D43D39" w:rsidR="00C473FC" w:rsidTr="00EE5E3A" w14:paraId="347BD8C0"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D2BFF1F" w14:textId="405A70A3">
            <w:pPr>
              <w:rPr>
                <w:rFonts w:ascii="Times New Roman" w:hAnsi="Times New Roman" w:cs="Times New Roman"/>
              </w:rPr>
            </w:pPr>
            <w:r w:rsidRPr="005F5507">
              <w:rPr>
                <w:rFonts w:ascii="Times New Roman" w:hAnsi="Times New Roman" w:eastAsia="Times New Roman" w:cs="Times New Roman"/>
                <w:sz w:val="20"/>
                <w:szCs w:val="20"/>
              </w:rPr>
              <w:t>0040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7A6B079B" w14:textId="69B0C75A">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 Master Agreement ID </w:t>
            </w:r>
          </w:p>
          <w:p w:rsidRPr="005F5507" w:rsidR="5E2F2DB1" w:rsidP="005F5507" w:rsidRDefault="5E2F2DB1" w14:paraId="1E9EF401" w14:textId="3EF4A55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Internal identifier of the master agreement or single contract.</w:t>
            </w:r>
          </w:p>
        </w:tc>
      </w:tr>
      <w:tr w:rsidRPr="00D43D39" w:rsidR="00C473FC" w:rsidTr="00EE5E3A" w14:paraId="0A3AEDC7"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7E458702" w14:textId="10759879">
            <w:pPr>
              <w:rPr>
                <w:rFonts w:ascii="Times New Roman" w:hAnsi="Times New Roman" w:cs="Times New Roman"/>
              </w:rPr>
            </w:pPr>
            <w:r w:rsidRPr="005F5507">
              <w:rPr>
                <w:rFonts w:ascii="Times New Roman" w:hAnsi="Times New Roman" w:eastAsia="Times New Roman" w:cs="Times New Roman"/>
                <w:sz w:val="20"/>
                <w:szCs w:val="20"/>
              </w:rPr>
              <w:t>0050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01742ABD" w14:textId="0385A24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 Type of MA (e.g. GMRA) </w:t>
            </w:r>
          </w:p>
          <w:p w:rsidRPr="005F5507" w:rsidR="5E2F2DB1" w:rsidP="005F5507" w:rsidRDefault="5E2F2DB1" w14:paraId="5C77F2AA" w14:textId="50D7A224">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Specify the master agreement, either ‘ICMA 2011 GMRA’, ‘ICMA 2000 GMRA’, ‘ICMA 1995 GMRA’, ‘ICMA 1992 GMRA’, ‘Other GMRA’ or ‘Single Contract’ from a predefined list.</w:t>
            </w:r>
          </w:p>
        </w:tc>
      </w:tr>
      <w:tr w:rsidRPr="00D43D39" w:rsidR="00C473FC" w:rsidTr="00EE5E3A" w14:paraId="68C123AD"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93466F1" w14:textId="1289F99E">
            <w:pPr>
              <w:rPr>
                <w:rFonts w:ascii="Times New Roman" w:hAnsi="Times New Roman" w:cs="Times New Roman"/>
              </w:rPr>
            </w:pPr>
            <w:r w:rsidRPr="005F5507">
              <w:rPr>
                <w:rFonts w:ascii="Times New Roman" w:hAnsi="Times New Roman" w:eastAsia="Times New Roman" w:cs="Times New Roman"/>
                <w:sz w:val="20"/>
                <w:szCs w:val="20"/>
              </w:rPr>
              <w:t>0055</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58F2B05D" w14:textId="7B7423DA">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Entity name of the </w:t>
            </w:r>
            <w:r w:rsidRPr="005F5507" w:rsidR="0042328E">
              <w:rPr>
                <w:rFonts w:ascii="Times New Roman" w:hAnsi="Times New Roman" w:eastAsia="Times New Roman" w:cs="Times New Roman"/>
                <w:b/>
                <w:bCs/>
                <w:sz w:val="20"/>
                <w:szCs w:val="20"/>
              </w:rPr>
              <w:t>counterparty</w:t>
            </w:r>
            <w:r w:rsidRPr="005F5507">
              <w:rPr>
                <w:rFonts w:ascii="Times New Roman" w:hAnsi="Times New Roman" w:eastAsia="Times New Roman" w:cs="Times New Roman"/>
                <w:b/>
                <w:bCs/>
                <w:sz w:val="20"/>
                <w:szCs w:val="20"/>
              </w:rPr>
              <w:t xml:space="preserve"> </w:t>
            </w:r>
          </w:p>
          <w:p w:rsidRPr="005F5507" w:rsidR="5E2F2DB1" w:rsidP="005F5507" w:rsidRDefault="5E2F2DB1" w14:paraId="60BD6DB2" w14:textId="3D651E7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Must be different from the entity name reported in T99.00-r0010.</w:t>
            </w:r>
          </w:p>
        </w:tc>
      </w:tr>
      <w:tr w:rsidRPr="00D43D39" w:rsidR="00C473FC" w:rsidTr="00EE5E3A" w14:paraId="4A128A52"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D863012" w14:textId="3B511F12">
            <w:pPr>
              <w:rPr>
                <w:rFonts w:ascii="Times New Roman" w:hAnsi="Times New Roman" w:cs="Times New Roman"/>
              </w:rPr>
            </w:pPr>
            <w:r w:rsidRPr="005F5507">
              <w:rPr>
                <w:rFonts w:ascii="Times New Roman" w:hAnsi="Times New Roman" w:eastAsia="Times New Roman" w:cs="Times New Roman"/>
                <w:sz w:val="20"/>
                <w:szCs w:val="20"/>
              </w:rPr>
              <w:t>0060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576F2FBC" w14:textId="659834BC">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Counterparty (LEI/MFI/Local Identifier)  </w:t>
            </w:r>
          </w:p>
          <w:p w:rsidRPr="005F5507" w:rsidR="5E2F2DB1" w:rsidP="005F5507" w:rsidRDefault="00486437" w14:paraId="19EDF212" w14:textId="4F2FC2E7">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w:t>
            </w:r>
            <w:r w:rsidRPr="00A50739" w:rsidR="00772CC7">
              <w:rPr>
                <w:rFonts w:ascii="Times New Roman" w:hAnsi="Times New Roman" w:eastAsia="Times New Roman" w:cs="Times New Roman"/>
                <w:sz w:val="20"/>
                <w:szCs w:val="20"/>
              </w:rPr>
              <w:t xml:space="preserve">eport the creditor’s LEI code. In the absence of a LEI, in the case of banks’ </w:t>
            </w:r>
            <w:r w:rsidR="005C5CBE">
              <w:rPr>
                <w:rFonts w:ascii="Times New Roman" w:hAnsi="Times New Roman" w:eastAsia="Times New Roman" w:cs="Times New Roman"/>
                <w:sz w:val="20"/>
                <w:szCs w:val="20"/>
              </w:rPr>
              <w:t xml:space="preserve">report </w:t>
            </w:r>
            <w:r w:rsidRPr="00A50739" w:rsidR="00772CC7">
              <w:rPr>
                <w:rFonts w:ascii="Times New Roman" w:hAnsi="Times New Roman" w:eastAsia="Times New Roman" w:cs="Times New Roman"/>
                <w:sz w:val="20"/>
                <w:szCs w:val="20"/>
              </w:rPr>
              <w:t xml:space="preserve">the ECB Monetary Financial Institutions identifier (MFI ID) used in RIAD. In absence of both these identifiers, </w:t>
            </w:r>
            <w:r w:rsidR="005C5CBE">
              <w:rPr>
                <w:rFonts w:ascii="Times New Roman" w:hAnsi="Times New Roman" w:eastAsia="Times New Roman" w:cs="Times New Roman"/>
                <w:sz w:val="20"/>
                <w:szCs w:val="20"/>
              </w:rPr>
              <w:t xml:space="preserve">report </w:t>
            </w:r>
            <w:r w:rsidRPr="00A50739" w:rsidR="00772CC7">
              <w:rPr>
                <w:rFonts w:ascii="Times New Roman" w:hAnsi="Times New Roman" w:eastAsia="Times New Roman" w:cs="Times New Roman"/>
                <w:sz w:val="20"/>
                <w:szCs w:val="20"/>
              </w:rPr>
              <w:t>an internal identifier.</w:t>
            </w:r>
          </w:p>
        </w:tc>
      </w:tr>
      <w:tr w:rsidRPr="00D43D39" w:rsidR="00C473FC" w:rsidTr="00EE5E3A" w14:paraId="5F46B4FB"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14B8F956" w14:textId="63A77AF9">
            <w:pPr>
              <w:rPr>
                <w:rFonts w:ascii="Times New Roman" w:hAnsi="Times New Roman" w:cs="Times New Roman"/>
              </w:rPr>
            </w:pPr>
            <w:r w:rsidRPr="005F5507">
              <w:rPr>
                <w:rFonts w:ascii="Times New Roman" w:hAnsi="Times New Roman" w:eastAsia="Times New Roman" w:cs="Times New Roman"/>
                <w:sz w:val="20"/>
                <w:szCs w:val="20"/>
              </w:rPr>
              <w:t>0065</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1CAA7090" w14:textId="1405C9B4">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Type of Identifier </w:t>
            </w:r>
          </w:p>
          <w:p w:rsidRPr="005F5507" w:rsidR="5E2F2DB1" w:rsidP="005F5507" w:rsidRDefault="5E2F2DB1" w14:paraId="5E7B00A9" w14:textId="51042F8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To be chosen among the following options: “LEI code”, “MFI code” or “Type of identifier, other than LEI or MFI code”.</w:t>
            </w:r>
          </w:p>
        </w:tc>
      </w:tr>
      <w:tr w:rsidRPr="00D43D39" w:rsidR="00C473FC" w:rsidTr="00EE5E3A" w14:paraId="27B89E66"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3F64C3CC" w14:textId="6B9FE0F3">
            <w:pPr>
              <w:rPr>
                <w:rFonts w:ascii="Times New Roman" w:hAnsi="Times New Roman" w:cs="Times New Roman"/>
              </w:rPr>
            </w:pPr>
            <w:r w:rsidRPr="005F5507">
              <w:rPr>
                <w:rFonts w:ascii="Times New Roman" w:hAnsi="Times New Roman" w:eastAsia="Times New Roman" w:cs="Times New Roman"/>
                <w:sz w:val="20"/>
                <w:szCs w:val="20"/>
              </w:rPr>
              <w:t>0070</w:t>
            </w:r>
          </w:p>
        </w:tc>
        <w:tc>
          <w:tcPr>
            <w:tcW w:w="7832" w:type="dxa"/>
            <w:tcBorders>
              <w:top w:val="single" w:color="1A171C" w:sz="8" w:space="0"/>
              <w:left w:val="single" w:color="1A171C" w:sz="8" w:space="0"/>
              <w:bottom w:val="single" w:color="1A171C" w:sz="8" w:space="0"/>
              <w:right w:val="nil"/>
            </w:tcBorders>
            <w:vAlign w:val="bottom"/>
          </w:tcPr>
          <w:p w:rsidRPr="005F5507" w:rsidR="00BA3312" w:rsidP="008E145C" w:rsidRDefault="5E2F2DB1" w14:paraId="7265F666" w14:textId="7777777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Country of Counterparty  </w:t>
            </w:r>
          </w:p>
          <w:p w:rsidRPr="005F5507" w:rsidR="5E2F2DB1" w:rsidP="005F5507" w:rsidRDefault="5E2F2DB1" w14:paraId="4F53A64C" w14:textId="5A2C592D">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The name of the country where the counterparty is incorporated.</w:t>
            </w:r>
          </w:p>
        </w:tc>
      </w:tr>
      <w:tr w:rsidRPr="00D43D39" w:rsidR="00C473FC" w:rsidTr="00EE5E3A" w14:paraId="6F4E792F"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189851CE" w14:textId="1FDD5197">
            <w:pPr>
              <w:rPr>
                <w:rFonts w:ascii="Times New Roman" w:hAnsi="Times New Roman" w:cs="Times New Roman"/>
              </w:rPr>
            </w:pPr>
            <w:r w:rsidRPr="005F5507">
              <w:rPr>
                <w:rFonts w:ascii="Times New Roman" w:hAnsi="Times New Roman" w:eastAsia="Times New Roman" w:cs="Times New Roman"/>
                <w:sz w:val="20"/>
                <w:szCs w:val="20"/>
              </w:rPr>
              <w:t>0080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2B91CF66" w14:textId="359C711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Governing Law of MA/single deal  </w:t>
            </w:r>
          </w:p>
          <w:p w:rsidRPr="005F5507" w:rsidR="5E2F2DB1" w:rsidP="005F5507" w:rsidRDefault="5E2F2DB1" w14:paraId="38500CD8" w14:textId="15989750">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name of the country whose law governs the MA/single contract. If the contract is governed by the law of more than one country, the country the law of which has the highest relevance for the recognition of write down and conversion powers shall be reported.  </w:t>
            </w:r>
          </w:p>
        </w:tc>
      </w:tr>
      <w:tr w:rsidRPr="00D43D39" w:rsidR="00C473FC" w:rsidTr="00EE5E3A" w14:paraId="54BB6338"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18744868" w14:textId="54417BD0">
            <w:pPr>
              <w:rPr>
                <w:rFonts w:ascii="Times New Roman" w:hAnsi="Times New Roman" w:cs="Times New Roman"/>
              </w:rPr>
            </w:pPr>
            <w:r w:rsidRPr="005F5507">
              <w:rPr>
                <w:rFonts w:ascii="Times New Roman" w:hAnsi="Times New Roman" w:eastAsia="Times New Roman" w:cs="Times New Roman"/>
                <w:sz w:val="20"/>
                <w:szCs w:val="20"/>
              </w:rPr>
              <w:t>0090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67B91731" w14:textId="37368103">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Number of Transactions Covered  </w:t>
            </w:r>
          </w:p>
          <w:p w:rsidRPr="005F5507" w:rsidR="5E2F2DB1" w:rsidP="005F5507" w:rsidRDefault="5E2F2DB1" w14:paraId="69DDBEE5" w14:textId="5113177F">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Indicate the number of individual contracts that are included in the netting set of the MA.</w:t>
            </w:r>
          </w:p>
        </w:tc>
      </w:tr>
      <w:tr w:rsidRPr="00D43D39" w:rsidR="00C473FC" w:rsidTr="00EE5E3A" w14:paraId="14739A5F"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5A2B4C48" w14:textId="66F471AE">
            <w:pPr>
              <w:rPr>
                <w:rFonts w:ascii="Times New Roman" w:hAnsi="Times New Roman" w:cs="Times New Roman"/>
              </w:rPr>
            </w:pPr>
            <w:r w:rsidRPr="005F5507">
              <w:rPr>
                <w:rFonts w:ascii="Times New Roman" w:hAnsi="Times New Roman" w:eastAsia="Times New Roman" w:cs="Times New Roman"/>
                <w:sz w:val="20"/>
                <w:szCs w:val="20"/>
              </w:rPr>
              <w:t>0100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A252684" w14:textId="66364793">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Net Amount of Funding Received  </w:t>
            </w:r>
          </w:p>
          <w:p w:rsidRPr="005F5507" w:rsidR="5E2F2DB1" w:rsidP="005F5507" w:rsidRDefault="5E2F2DB1" w14:paraId="2906D4F7" w14:textId="35977376">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Provide the net amount of funding received under secured financing agreements, taking into account all transactions subject to the netting arrangement. Note that this amount does not include accrued interests, while the related amount in </w:t>
            </w:r>
            <w:r w:rsidR="00313FC8">
              <w:rPr>
                <w:rFonts w:ascii="Times New Roman" w:hAnsi="Times New Roman" w:eastAsia="Times New Roman" w:cs="Times New Roman"/>
                <w:sz w:val="20"/>
                <w:szCs w:val="20"/>
              </w:rPr>
              <w:t>Z</w:t>
            </w:r>
            <w:r w:rsidRPr="005F5507">
              <w:rPr>
                <w:rFonts w:ascii="Times New Roman" w:hAnsi="Times New Roman" w:eastAsia="Times New Roman" w:cs="Times New Roman"/>
                <w:sz w:val="20"/>
                <w:szCs w:val="20"/>
              </w:rPr>
              <w:t>0</w:t>
            </w:r>
            <w:r w:rsidR="00313FC8">
              <w:rPr>
                <w:rFonts w:ascii="Times New Roman" w:hAnsi="Times New Roman" w:eastAsia="Times New Roman" w:cs="Times New Roman"/>
                <w:sz w:val="20"/>
                <w:szCs w:val="20"/>
              </w:rPr>
              <w:t>2</w:t>
            </w:r>
            <w:r w:rsidRPr="005F5507">
              <w:rPr>
                <w:rFonts w:ascii="Times New Roman" w:hAnsi="Times New Roman" w:eastAsia="Times New Roman" w:cs="Times New Roman"/>
                <w:sz w:val="20"/>
                <w:szCs w:val="20"/>
              </w:rPr>
              <w:t>.00 r</w:t>
            </w:r>
            <w:r w:rsidR="00313FC8">
              <w:rPr>
                <w:rFonts w:ascii="Times New Roman" w:hAnsi="Times New Roman" w:eastAsia="Times New Roman" w:cs="Times New Roman"/>
                <w:sz w:val="20"/>
                <w:szCs w:val="20"/>
              </w:rPr>
              <w:t>ow 0</w:t>
            </w:r>
            <w:r w:rsidRPr="005F5507">
              <w:rPr>
                <w:rFonts w:ascii="Times New Roman" w:hAnsi="Times New Roman" w:eastAsia="Times New Roman" w:cs="Times New Roman"/>
                <w:sz w:val="20"/>
                <w:szCs w:val="20"/>
              </w:rPr>
              <w:t>120 does.</w:t>
            </w:r>
          </w:p>
        </w:tc>
      </w:tr>
      <w:tr w:rsidRPr="00D43D39" w:rsidR="00C473FC" w:rsidTr="00EE5E3A" w14:paraId="606D7641"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0412D699" w14:textId="2E737C46">
            <w:pPr>
              <w:rPr>
                <w:rFonts w:ascii="Times New Roman" w:hAnsi="Times New Roman" w:cs="Times New Roman"/>
              </w:rPr>
            </w:pPr>
            <w:r w:rsidRPr="005F5507">
              <w:rPr>
                <w:rFonts w:ascii="Times New Roman" w:hAnsi="Times New Roman" w:eastAsia="Times New Roman" w:cs="Times New Roman"/>
                <w:sz w:val="20"/>
                <w:szCs w:val="20"/>
              </w:rPr>
              <w:t>0110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1986783E" w14:textId="5CA0656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 Net Amount of Collateral Posted  </w:t>
            </w:r>
          </w:p>
          <w:p w:rsidRPr="005F5507" w:rsidR="5E2F2DB1" w:rsidP="005F5507" w:rsidRDefault="5E2F2DB1" w14:paraId="6C365403" w14:textId="0E353F1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Per netting set, provide the net value of collateral posted to cover the secured financing transactions, taking into account all collateral positions considered in the netting arrangement. This includes any amount of collateral or margin that is exchanged.</w:t>
            </w:r>
          </w:p>
        </w:tc>
      </w:tr>
    </w:tbl>
    <w:p w:rsidRPr="00D43D39" w:rsidR="00EE5E3A" w:rsidP="00EE5E3A" w:rsidRDefault="00EE5E3A" w14:paraId="445E8515" w14:textId="77777777">
      <w:pPr>
        <w:pStyle w:val="Instructionsberschrift2"/>
        <w:ind w:left="357"/>
        <w:rPr>
          <w:rFonts w:ascii="Times New Roman" w:hAnsi="Times New Roman" w:eastAsia="Calibri" w:cs="Times New Roman"/>
          <w:szCs w:val="20"/>
        </w:rPr>
      </w:pPr>
      <w:bookmarkStart w:name="_Toc81454218" w:id="231"/>
    </w:p>
    <w:p w:rsidRPr="005F5507" w:rsidR="00EE5E3A" w:rsidP="00EE5E3A" w:rsidRDefault="00EE5E3A" w14:paraId="79245470" w14:textId="2BC18123">
      <w:pPr>
        <w:pStyle w:val="Instructionsberschrift2"/>
        <w:numPr>
          <w:ilvl w:val="1"/>
          <w:numId w:val="49"/>
        </w:numPr>
        <w:spacing w:before="0"/>
        <w:ind w:left="357" w:hanging="357"/>
        <w:rPr>
          <w:rFonts w:ascii="Times New Roman" w:hAnsi="Times New Roman" w:cs="Times New Roman"/>
        </w:rPr>
      </w:pPr>
      <w:bookmarkStart w:name="_Toc172732260" w:id="232"/>
      <w:r w:rsidRPr="005F5507">
        <w:rPr>
          <w:rFonts w:ascii="Times New Roman" w:hAnsi="Times New Roman" w:cs="Times New Roman" w:eastAsiaTheme="minorEastAsia"/>
        </w:rPr>
        <w:t xml:space="preserve">Z10.07  - </w:t>
      </w:r>
      <w:r w:rsidRPr="5129E6BD" w:rsidR="00772CC7">
        <w:rPr>
          <w:rFonts w:ascii="Times New Roman" w:hAnsi="Times New Roman" w:cs="Times New Roman"/>
          <w:color w:val="000000" w:themeColor="text1"/>
        </w:rPr>
        <w:t>Other Non-Financial Liabilities (not included in other tabs, excluding intragroup)</w:t>
      </w:r>
      <w:r w:rsidR="00056E47">
        <w:rPr>
          <w:rFonts w:ascii="Times New Roman" w:hAnsi="Times New Roman" w:cs="Times New Roman"/>
          <w:color w:val="000000" w:themeColor="text1"/>
        </w:rPr>
        <w:t xml:space="preserve"> </w:t>
      </w:r>
      <w:r w:rsidRPr="00056E47" w:rsidR="00056E47">
        <w:rPr>
          <w:rFonts w:ascii="Times New Roman" w:hAnsi="Times New Roman" w:eastAsia="Calibri" w:cs="Times New Roman"/>
          <w:szCs w:val="20"/>
        </w:rPr>
        <w:t>(LIAB-G-</w:t>
      </w:r>
      <w:r w:rsidR="00056E47">
        <w:rPr>
          <w:rFonts w:ascii="Times New Roman" w:hAnsi="Times New Roman" w:eastAsia="Calibri" w:cs="Times New Roman"/>
          <w:szCs w:val="20"/>
        </w:rPr>
        <w:t>7</w:t>
      </w:r>
      <w:r w:rsidRPr="00056E47" w:rsidR="00056E47">
        <w:rPr>
          <w:rFonts w:ascii="Times New Roman" w:hAnsi="Times New Roman" w:eastAsia="Calibri" w:cs="Times New Roman"/>
          <w:szCs w:val="20"/>
        </w:rPr>
        <w:t>)</w:t>
      </w:r>
      <w:bookmarkEnd w:id="232"/>
    </w:p>
    <w:bookmarkEnd w:id="231"/>
    <w:p w:rsidRPr="005F5507" w:rsidR="1B976A9B" w:rsidP="005F5507" w:rsidRDefault="1B976A9B" w14:paraId="6DF9D83E" w14:textId="48D53EA2">
      <w:pPr>
        <w:pStyle w:val="Instructionsberschrift2"/>
        <w:ind w:left="357"/>
        <w:rPr>
          <w:rFonts w:ascii="Times New Roman" w:hAnsi="Times New Roman" w:cs="Times New Roman" w:eastAsiaTheme="minorEastAsia"/>
          <w:u w:val="none"/>
        </w:rPr>
      </w:pPr>
    </w:p>
    <w:p w:rsidRPr="005F5507" w:rsidR="1B976A9B" w:rsidP="5E2F2DB1" w:rsidRDefault="1B976A9B" w14:paraId="07481664" w14:textId="77777777">
      <w:pPr>
        <w:pStyle w:val="Numberedtitlelevel3"/>
        <w:rPr>
          <w:rFonts w:ascii="Times New Roman" w:hAnsi="Times New Roman" w:cs="Times New Roman"/>
          <w:b w:val="0"/>
          <w:color w:val="auto"/>
          <w:sz w:val="20"/>
          <w:szCs w:val="20"/>
          <w:lang w:val="en-GB"/>
        </w:rPr>
      </w:pPr>
      <w:r w:rsidRPr="005F5507">
        <w:rPr>
          <w:rFonts w:ascii="Times New Roman" w:hAnsi="Times New Roman" w:cs="Times New Roman"/>
          <w:b w:val="0"/>
          <w:color w:val="auto"/>
          <w:sz w:val="20"/>
          <w:szCs w:val="20"/>
          <w:lang w:val="en-GB"/>
        </w:rPr>
        <w:t>General remarks</w:t>
      </w:r>
    </w:p>
    <w:p w:rsidRPr="005F5507" w:rsidR="1B976A9B" w:rsidP="005F5507" w:rsidRDefault="1B976A9B" w14:paraId="60E22550" w14:textId="38971E32">
      <w:pPr>
        <w:pStyle w:val="InstructionsText2"/>
        <w:numPr>
          <w:ilvl w:val="2"/>
          <w:numId w:val="209"/>
        </w:numPr>
        <w:spacing w:before="0"/>
        <w:ind w:left="1276"/>
        <w:rPr>
          <w:rFonts w:ascii="Times New Roman" w:hAnsi="Times New Roman" w:cs="Times New Roman" w:eastAsiaTheme="majorEastAsia"/>
          <w:sz w:val="20"/>
          <w:szCs w:val="20"/>
          <w:lang w:val="en-GB"/>
        </w:rPr>
      </w:pPr>
      <w:r w:rsidRPr="005F5507">
        <w:rPr>
          <w:rFonts w:ascii="Times New Roman" w:hAnsi="Times New Roman" w:eastAsia="Cambria" w:cs="Times New Roman"/>
          <w:sz w:val="20"/>
          <w:szCs w:val="20"/>
          <w:lang w:val="en-GB"/>
        </w:rPr>
        <w:t>General remarks This table covers non</w:t>
      </w:r>
      <w:r w:rsidR="00772CC7">
        <w:rPr>
          <w:rFonts w:ascii="Times New Roman" w:hAnsi="Times New Roman" w:eastAsia="Cambria" w:cs="Times New Roman"/>
          <w:sz w:val="20"/>
          <w:szCs w:val="20"/>
          <w:lang w:val="en-GB"/>
        </w:rPr>
        <w:t>-</w:t>
      </w:r>
      <w:r w:rsidRPr="005F5507">
        <w:rPr>
          <w:rFonts w:ascii="Times New Roman" w:hAnsi="Times New Roman" w:eastAsia="Cambria" w:cs="Times New Roman"/>
          <w:sz w:val="20"/>
          <w:szCs w:val="20"/>
          <w:lang w:val="en-GB"/>
        </w:rPr>
        <w:t>financial liabilities such as provisions, tax liabilities and deferred income.</w:t>
      </w:r>
    </w:p>
    <w:p w:rsidRPr="005F5507" w:rsidR="1B976A9B" w:rsidP="005F5507" w:rsidRDefault="005C5CBE" w14:paraId="70329E22" w14:textId="5778C79B">
      <w:pPr>
        <w:pStyle w:val="InstructionsText2"/>
        <w:numPr>
          <w:ilvl w:val="2"/>
          <w:numId w:val="209"/>
        </w:numPr>
        <w:spacing w:before="0"/>
        <w:ind w:left="1276"/>
        <w:rPr>
          <w:rFonts w:ascii="Times New Roman" w:hAnsi="Times New Roman" w:eastAsia="Cambria" w:cs="Times New Roman"/>
          <w:sz w:val="20"/>
          <w:szCs w:val="20"/>
          <w:lang w:val="en-GB"/>
        </w:rPr>
      </w:pPr>
      <w:r>
        <w:rPr>
          <w:rFonts w:ascii="Times New Roman" w:hAnsi="Times New Roman" w:eastAsia="Cambria" w:cs="Times New Roman"/>
          <w:sz w:val="20"/>
          <w:szCs w:val="20"/>
          <w:lang w:val="en-GB"/>
        </w:rPr>
        <w:t>Group t</w:t>
      </w:r>
      <w:r w:rsidRPr="005F5507" w:rsidR="1B976A9B">
        <w:rPr>
          <w:rFonts w:ascii="Times New Roman" w:hAnsi="Times New Roman" w:eastAsia="Cambria" w:cs="Times New Roman"/>
          <w:sz w:val="20"/>
          <w:szCs w:val="20"/>
          <w:lang w:val="en-GB"/>
        </w:rPr>
        <w:t>hese liabilities by type and insolvency ranking.</w:t>
      </w:r>
    </w:p>
    <w:p w:rsidRPr="005F5507" w:rsidR="1B976A9B" w:rsidP="5E2F2DB1" w:rsidRDefault="1B976A9B" w14:paraId="42848A6F" w14:textId="77777777">
      <w:pPr>
        <w:pStyle w:val="Numberedtitlelevel3"/>
        <w:rPr>
          <w:rFonts w:ascii="Times New Roman" w:hAnsi="Times New Roman" w:cs="Times New Roman"/>
          <w:b w:val="0"/>
          <w:color w:val="auto"/>
          <w:sz w:val="20"/>
          <w:szCs w:val="20"/>
          <w:lang w:val="en-GB"/>
        </w:rPr>
      </w:pPr>
      <w:r w:rsidRPr="005F5507">
        <w:rPr>
          <w:rFonts w:ascii="Times New Roman" w:hAnsi="Times New Roman" w:cs="Times New Roman"/>
          <w:b w:val="0"/>
          <w:color w:val="auto"/>
          <w:sz w:val="20"/>
          <w:szCs w:val="20"/>
          <w:lang w:val="en-GB"/>
        </w:rPr>
        <w:t>Instructions concerning specific positions</w:t>
      </w:r>
    </w:p>
    <w:tbl>
      <w:tblPr>
        <w:tblW w:w="9015" w:type="dxa"/>
        <w:tblInd w:w="135" w:type="dxa"/>
        <w:tblLayout w:type="fixed"/>
        <w:tblLook w:val="04A0" w:firstRow="1" w:lastRow="0" w:firstColumn="1" w:lastColumn="0" w:noHBand="0" w:noVBand="1"/>
      </w:tblPr>
      <w:tblGrid>
        <w:gridCol w:w="1183"/>
        <w:gridCol w:w="7832"/>
      </w:tblGrid>
      <w:tr w:rsidRPr="00D43D39" w:rsidR="00C473FC" w:rsidTr="005F5507" w14:paraId="551B5F09" w14:textId="77777777">
        <w:trPr>
          <w:tblHeader/>
        </w:trPr>
        <w:tc>
          <w:tcPr>
            <w:tcW w:w="1183" w:type="dxa"/>
            <w:tcBorders>
              <w:top w:val="single" w:color="1A171C" w:sz="8" w:space="0"/>
              <w:left w:val="nil"/>
              <w:bottom w:val="single" w:color="1A171C" w:sz="8" w:space="0"/>
              <w:right w:val="single" w:color="1A171C" w:sz="8" w:space="0"/>
            </w:tcBorders>
            <w:shd w:val="clear" w:color="auto" w:fill="D9D9D9" w:themeFill="background1" w:themeFillShade="D9"/>
          </w:tcPr>
          <w:p w:rsidRPr="005F5507" w:rsidR="5E2F2DB1" w:rsidRDefault="5E2F2DB1" w14:paraId="3F3B66D0" w14:textId="356C5116">
            <w:pPr>
              <w:rPr>
                <w:rFonts w:ascii="Times New Roman" w:hAnsi="Times New Roman" w:cs="Times New Roman"/>
              </w:rPr>
            </w:pPr>
            <w:r w:rsidRPr="005F5507">
              <w:rPr>
                <w:rFonts w:ascii="Times New Roman" w:hAnsi="Times New Roman" w:eastAsia="Times New Roman" w:cs="Times New Roman"/>
                <w:sz w:val="20"/>
                <w:szCs w:val="20"/>
              </w:rPr>
              <w:t xml:space="preserve">Columns </w:t>
            </w:r>
          </w:p>
        </w:tc>
        <w:tc>
          <w:tcPr>
            <w:tcW w:w="7832" w:type="dxa"/>
            <w:tcBorders>
              <w:top w:val="single" w:color="1A171C" w:sz="8" w:space="0"/>
              <w:left w:val="single" w:color="1A171C" w:sz="8" w:space="0"/>
              <w:bottom w:val="single" w:color="1A171C" w:sz="8" w:space="0"/>
              <w:right w:val="nil"/>
            </w:tcBorders>
            <w:shd w:val="clear" w:color="auto" w:fill="D9D9D9" w:themeFill="background1" w:themeFillShade="D9"/>
          </w:tcPr>
          <w:p w:rsidRPr="005F5507" w:rsidR="5E2F2DB1" w:rsidRDefault="5E2F2DB1" w14:paraId="0606C291" w14:textId="1E7DC4CC">
            <w:pPr>
              <w:rPr>
                <w:rFonts w:ascii="Times New Roman" w:hAnsi="Times New Roman" w:cs="Times New Roman"/>
              </w:rPr>
            </w:pPr>
            <w:r w:rsidRPr="005F5507">
              <w:rPr>
                <w:rFonts w:ascii="Times New Roman" w:hAnsi="Times New Roman" w:eastAsia="Times New Roman" w:cs="Times New Roman"/>
                <w:sz w:val="20"/>
                <w:szCs w:val="20"/>
              </w:rPr>
              <w:t xml:space="preserve">Instructions </w:t>
            </w:r>
          </w:p>
        </w:tc>
      </w:tr>
      <w:tr w:rsidRPr="00D43D39" w:rsidR="00C473FC" w:rsidTr="00BA3312" w14:paraId="1AD3756E"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31C88468" w14:textId="2013FE3B">
            <w:pPr>
              <w:rPr>
                <w:rFonts w:ascii="Times New Roman" w:hAnsi="Times New Roman" w:cs="Times New Roman"/>
              </w:rPr>
            </w:pPr>
            <w:r w:rsidRPr="005F5507">
              <w:rPr>
                <w:rFonts w:ascii="Times New Roman" w:hAnsi="Times New Roman" w:eastAsia="Times New Roman" w:cs="Times New Roman"/>
                <w:sz w:val="20"/>
                <w:szCs w:val="20"/>
              </w:rPr>
              <w:t>0010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F25E459" w14:textId="60495AFF">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 N° </w:t>
            </w:r>
          </w:p>
          <w:p w:rsidRPr="005F5507" w:rsidR="5E2F2DB1" w:rsidP="005F5507" w:rsidRDefault="5E2F2DB1" w14:paraId="47D5FBED" w14:textId="5B69133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Unique number/primary key to identify the </w:t>
            </w:r>
            <w:r w:rsidRPr="00D43D39" w:rsidR="008E145C">
              <w:rPr>
                <w:rFonts w:ascii="Times New Roman" w:hAnsi="Times New Roman" w:eastAsia="Times New Roman" w:cs="Times New Roman"/>
                <w:sz w:val="20"/>
                <w:szCs w:val="20"/>
              </w:rPr>
              <w:t>line</w:t>
            </w:r>
            <w:r w:rsidRPr="005F5507">
              <w:rPr>
                <w:rFonts w:ascii="Times New Roman" w:hAnsi="Times New Roman" w:eastAsia="Times New Roman" w:cs="Times New Roman"/>
                <w:sz w:val="20"/>
                <w:szCs w:val="20"/>
              </w:rPr>
              <w:t xml:space="preserve"> items.</w:t>
            </w:r>
          </w:p>
        </w:tc>
      </w:tr>
      <w:tr w:rsidRPr="00D43D39" w:rsidR="00C473FC" w:rsidTr="00BA3312" w14:paraId="7F2ECEFC"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16BE8E2" w14:textId="62BD6BC2">
            <w:pPr>
              <w:rPr>
                <w:rFonts w:ascii="Times New Roman" w:hAnsi="Times New Roman" w:cs="Times New Roman"/>
              </w:rPr>
            </w:pPr>
            <w:r w:rsidRPr="005F5507">
              <w:rPr>
                <w:rFonts w:ascii="Times New Roman" w:hAnsi="Times New Roman" w:eastAsia="Times New Roman" w:cs="Times New Roman"/>
                <w:sz w:val="20"/>
                <w:szCs w:val="20"/>
              </w:rPr>
              <w:t>0020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5DF6B33" w14:textId="6912C0DA">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 </w:t>
            </w:r>
            <w:r w:rsidRPr="005F5507" w:rsidR="008E145C">
              <w:rPr>
                <w:rFonts w:ascii="Times New Roman" w:hAnsi="Times New Roman" w:eastAsia="Times New Roman" w:cs="Times New Roman"/>
                <w:b/>
                <w:bCs/>
                <w:sz w:val="20"/>
                <w:szCs w:val="20"/>
              </w:rPr>
              <w:t>Line</w:t>
            </w:r>
            <w:r w:rsidRPr="005F5507">
              <w:rPr>
                <w:rFonts w:ascii="Times New Roman" w:hAnsi="Times New Roman" w:eastAsia="Times New Roman" w:cs="Times New Roman"/>
                <w:b/>
                <w:bCs/>
                <w:sz w:val="20"/>
                <w:szCs w:val="20"/>
              </w:rPr>
              <w:t xml:space="preserve"> </w:t>
            </w:r>
          </w:p>
          <w:p w:rsidRPr="005F5507" w:rsidR="5E2F2DB1" w:rsidP="005F5507" w:rsidRDefault="5E2F2DB1" w14:paraId="6BD32099" w14:textId="722F2E03">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each </w:t>
            </w:r>
            <w:r w:rsidR="000B03A1">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 xml:space="preserve">, a reconciliation with the categories of liabilities of the liability structure in </w:t>
            </w:r>
            <w:r w:rsidR="00772CC7">
              <w:rPr>
                <w:rFonts w:ascii="Times New Roman" w:hAnsi="Times New Roman" w:eastAsia="Times New Roman" w:cs="Times New Roman"/>
                <w:sz w:val="20"/>
                <w:szCs w:val="20"/>
              </w:rPr>
              <w:t>Z</w:t>
            </w:r>
            <w:r w:rsidRPr="005F5507">
              <w:rPr>
                <w:rFonts w:ascii="Times New Roman" w:hAnsi="Times New Roman" w:eastAsia="Times New Roman" w:cs="Times New Roman"/>
                <w:sz w:val="20"/>
                <w:szCs w:val="20"/>
              </w:rPr>
              <w:t>0</w:t>
            </w:r>
            <w:r w:rsidR="00772CC7">
              <w:rPr>
                <w:rFonts w:ascii="Times New Roman" w:hAnsi="Times New Roman" w:eastAsia="Times New Roman" w:cs="Times New Roman"/>
                <w:sz w:val="20"/>
                <w:szCs w:val="20"/>
              </w:rPr>
              <w:t>2</w:t>
            </w:r>
            <w:r w:rsidRPr="005F5507">
              <w:rPr>
                <w:rFonts w:ascii="Times New Roman" w:hAnsi="Times New Roman" w:eastAsia="Times New Roman" w:cs="Times New Roman"/>
                <w:sz w:val="20"/>
                <w:szCs w:val="20"/>
              </w:rPr>
              <w:t>.00 has to be provided at the level of maturity from a predefined list of values.</w:t>
            </w:r>
          </w:p>
        </w:tc>
      </w:tr>
      <w:tr w:rsidRPr="00D43D39" w:rsidR="00C473FC" w:rsidTr="00BA3312" w14:paraId="2E605697"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65CF0CD4" w14:textId="75E7D042">
            <w:pPr>
              <w:rPr>
                <w:rFonts w:ascii="Times New Roman" w:hAnsi="Times New Roman" w:cs="Times New Roman"/>
              </w:rPr>
            </w:pPr>
            <w:r w:rsidRPr="005F5507">
              <w:rPr>
                <w:rFonts w:ascii="Times New Roman" w:hAnsi="Times New Roman" w:eastAsia="Times New Roman" w:cs="Times New Roman"/>
                <w:sz w:val="20"/>
                <w:szCs w:val="20"/>
              </w:rPr>
              <w:t>0030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6BBF36CD" w14:textId="598ECE09">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Column </w:t>
            </w:r>
          </w:p>
          <w:p w:rsidRPr="005F5507" w:rsidR="5E2F2DB1" w:rsidP="005F5507" w:rsidRDefault="5E2F2DB1" w14:paraId="47E2F424" w14:textId="170517FD">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For each </w:t>
            </w:r>
            <w:r w:rsidR="000B03A1">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 a reconciliation with the counterparty class in T01.00 to which the liability is owed has to be provided from predefined list of values.</w:t>
            </w:r>
          </w:p>
        </w:tc>
      </w:tr>
      <w:tr w:rsidRPr="00D43D39" w:rsidR="00C473FC" w:rsidTr="00BA3312" w14:paraId="3B7AF5D4"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1654DC26" w14:textId="2E92D76B">
            <w:pPr>
              <w:rPr>
                <w:rFonts w:ascii="Times New Roman" w:hAnsi="Times New Roman" w:cs="Times New Roman"/>
              </w:rPr>
            </w:pPr>
            <w:r w:rsidRPr="005F5507">
              <w:rPr>
                <w:rFonts w:ascii="Times New Roman" w:hAnsi="Times New Roman" w:eastAsia="Times New Roman" w:cs="Times New Roman"/>
                <w:sz w:val="20"/>
                <w:szCs w:val="20"/>
              </w:rPr>
              <w:t>0040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F81FE89" w14:textId="6F7DBF3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Insolvency Ranking  </w:t>
            </w:r>
          </w:p>
          <w:p w:rsidRPr="005F5507" w:rsidR="5E2F2DB1" w:rsidP="005F5507" w:rsidRDefault="00772CC7" w14:paraId="5AEF2151" w14:textId="3975F1CB">
            <w:pPr>
              <w:pStyle w:val="TableParagraph"/>
              <w:spacing w:before="108"/>
              <w:ind w:left="85"/>
              <w:jc w:val="both"/>
              <w:rPr>
                <w:rFonts w:ascii="Times New Roman" w:hAnsi="Times New Roman" w:eastAsia="Times New Roman" w:cs="Times New Roman"/>
                <w:sz w:val="20"/>
                <w:szCs w:val="20"/>
              </w:rPr>
            </w:pPr>
            <w:r w:rsidRPr="00A50739">
              <w:rPr>
                <w:rFonts w:ascii="Times New Roman" w:hAnsi="Times New Roman" w:eastAsia="Times New Roman" w:cs="Times New Roman"/>
                <w:sz w:val="20"/>
                <w:szCs w:val="20"/>
              </w:rPr>
              <w:t>The insolvency rank shall be one of the ranks included in the insolvency rankings published by the resolution authority of that jurisdiction.</w:t>
            </w:r>
          </w:p>
        </w:tc>
      </w:tr>
      <w:tr w:rsidRPr="00D43D39" w:rsidR="00C473FC" w:rsidTr="00BA3312" w14:paraId="49651DB9"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391F831B" w14:textId="6B224D8A">
            <w:pPr>
              <w:rPr>
                <w:rFonts w:ascii="Times New Roman" w:hAnsi="Times New Roman" w:cs="Times New Roman"/>
              </w:rPr>
            </w:pPr>
            <w:r w:rsidRPr="005F5507">
              <w:rPr>
                <w:rFonts w:ascii="Times New Roman" w:hAnsi="Times New Roman" w:eastAsia="Times New Roman" w:cs="Times New Roman"/>
                <w:sz w:val="20"/>
                <w:szCs w:val="20"/>
              </w:rPr>
              <w:t>0050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4CF76FDF" w14:textId="0E1BB518">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Contract identifier </w:t>
            </w:r>
          </w:p>
          <w:p w:rsidRPr="005F5507" w:rsidR="5E2F2DB1" w:rsidP="005F5507" w:rsidRDefault="5E2F2DB1" w14:paraId="3E37B6CC" w14:textId="490854AE">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Internal identifier of the contract, as equivalent to the ISIN for securities.</w:t>
            </w:r>
          </w:p>
        </w:tc>
      </w:tr>
      <w:tr w:rsidRPr="00D43D39" w:rsidR="00C473FC" w:rsidTr="00BA3312" w14:paraId="006FDFE5"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C8BEE1C" w14:textId="3CC65ACE">
            <w:pPr>
              <w:rPr>
                <w:rFonts w:ascii="Times New Roman" w:hAnsi="Times New Roman" w:cs="Times New Roman"/>
              </w:rPr>
            </w:pPr>
            <w:r w:rsidRPr="005F5507">
              <w:rPr>
                <w:rFonts w:ascii="Times New Roman" w:hAnsi="Times New Roman" w:eastAsia="Times New Roman" w:cs="Times New Roman"/>
                <w:sz w:val="20"/>
                <w:szCs w:val="20"/>
              </w:rPr>
              <w:t>0060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245C2A2F" w14:textId="61A780D4">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 Counterparty identifier (preferably LEI) </w:t>
            </w:r>
          </w:p>
          <w:p w:rsidRPr="005F5507" w:rsidR="5E2F2DB1" w:rsidP="005F5507" w:rsidRDefault="00486437" w14:paraId="7C859C29" w14:textId="45C1FC86">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w:t>
            </w:r>
            <w:r w:rsidRPr="00A50739" w:rsidR="00772CC7">
              <w:rPr>
                <w:rFonts w:ascii="Times New Roman" w:hAnsi="Times New Roman" w:eastAsia="Times New Roman" w:cs="Times New Roman"/>
                <w:sz w:val="20"/>
                <w:szCs w:val="20"/>
              </w:rPr>
              <w:t xml:space="preserve">eport the creditor’s LEI code. In the absence of a LEI, in the case of banks’ </w:t>
            </w:r>
            <w:r w:rsidR="005C5CBE">
              <w:rPr>
                <w:rFonts w:ascii="Times New Roman" w:hAnsi="Times New Roman" w:eastAsia="Times New Roman" w:cs="Times New Roman"/>
                <w:sz w:val="20"/>
                <w:szCs w:val="20"/>
              </w:rPr>
              <w:t xml:space="preserve">report </w:t>
            </w:r>
            <w:r w:rsidRPr="00A50739" w:rsidR="00772CC7">
              <w:rPr>
                <w:rFonts w:ascii="Times New Roman" w:hAnsi="Times New Roman" w:eastAsia="Times New Roman" w:cs="Times New Roman"/>
                <w:sz w:val="20"/>
                <w:szCs w:val="20"/>
              </w:rPr>
              <w:t xml:space="preserve">the ECB Monetary Financial Institutions identifier (MFI ID) used in RIAD. In absence of both these identifiers, </w:t>
            </w:r>
            <w:r w:rsidR="005C5CBE">
              <w:rPr>
                <w:rFonts w:ascii="Times New Roman" w:hAnsi="Times New Roman" w:eastAsia="Times New Roman" w:cs="Times New Roman"/>
                <w:sz w:val="20"/>
                <w:szCs w:val="20"/>
              </w:rPr>
              <w:t xml:space="preserve">report </w:t>
            </w:r>
            <w:r w:rsidRPr="00A50739" w:rsidR="00772CC7">
              <w:rPr>
                <w:rFonts w:ascii="Times New Roman" w:hAnsi="Times New Roman" w:eastAsia="Times New Roman" w:cs="Times New Roman"/>
                <w:sz w:val="20"/>
                <w:szCs w:val="20"/>
              </w:rPr>
              <w:t>an internal identifier.</w:t>
            </w:r>
          </w:p>
        </w:tc>
      </w:tr>
      <w:tr w:rsidRPr="00D43D39" w:rsidR="00C473FC" w:rsidTr="00BA3312" w14:paraId="03F2D196"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24C0842A" w14:textId="2DA411A4">
            <w:pPr>
              <w:rPr>
                <w:rFonts w:ascii="Times New Roman" w:hAnsi="Times New Roman" w:cs="Times New Roman"/>
              </w:rPr>
            </w:pPr>
            <w:r w:rsidRPr="005F5507">
              <w:rPr>
                <w:rFonts w:ascii="Times New Roman" w:hAnsi="Times New Roman" w:eastAsia="Times New Roman" w:cs="Times New Roman"/>
                <w:sz w:val="20"/>
                <w:szCs w:val="20"/>
              </w:rPr>
              <w:t>0065</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6B441A74" w14:textId="20A5487E">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Type of Identifier </w:t>
            </w:r>
          </w:p>
          <w:p w:rsidRPr="005F5507" w:rsidR="5E2F2DB1" w:rsidP="005F5507" w:rsidRDefault="5E2F2DB1" w14:paraId="2C96930C" w14:textId="74ECC069">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To be chosen among the following options: “LEI code”, “MFI code” or “Type of identifier, other than LEI or MFI code”.</w:t>
            </w:r>
          </w:p>
        </w:tc>
      </w:tr>
      <w:tr w:rsidRPr="00D43D39" w:rsidR="00C473FC" w:rsidTr="005F5507" w14:paraId="44B4438E"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38F63A0E" w14:textId="3E0180AA">
            <w:pPr>
              <w:rPr>
                <w:rFonts w:ascii="Times New Roman" w:hAnsi="Times New Roman" w:cs="Times New Roman"/>
              </w:rPr>
            </w:pPr>
            <w:r w:rsidRPr="005F5507">
              <w:rPr>
                <w:rFonts w:ascii="Times New Roman" w:hAnsi="Times New Roman" w:eastAsia="Times New Roman" w:cs="Times New Roman"/>
                <w:sz w:val="20"/>
                <w:szCs w:val="20"/>
              </w:rPr>
              <w:t>007</w:t>
            </w:r>
            <w:r w:rsidRPr="00D43D39" w:rsidR="008F1C62">
              <w:rPr>
                <w:rFonts w:ascii="Times New Roman" w:hAnsi="Times New Roman" w:eastAsia="Times New Roman" w:cs="Times New Roman"/>
                <w:sz w:val="20"/>
                <w:szCs w:val="20"/>
              </w:rPr>
              <w:t>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57799574" w14:textId="50F60FA2">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Governing Law  </w:t>
            </w:r>
          </w:p>
          <w:p w:rsidRPr="005F5507" w:rsidR="5E2F2DB1" w:rsidP="005F5507" w:rsidRDefault="5E2F2DB1" w14:paraId="66F1CDEF" w14:textId="5AB1C762">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name of the country whose law governs the </w:t>
            </w:r>
            <w:r w:rsidR="000B03A1">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 xml:space="preserve">. If the contract is governed by the law of more than one country, the country the law of which has the highest relevance for the recognition of write down and conversion powers shall be reported.  </w:t>
            </w:r>
          </w:p>
        </w:tc>
      </w:tr>
      <w:tr w:rsidRPr="00D43D39" w:rsidR="00BA3312" w:rsidTr="006F6B72" w14:paraId="2F7148D1" w14:textId="77777777">
        <w:trPr>
          <w:trHeight w:val="5139"/>
        </w:trPr>
        <w:tc>
          <w:tcPr>
            <w:tcW w:w="1183" w:type="dxa"/>
            <w:tcBorders>
              <w:top w:val="single" w:color="1A171C" w:sz="8" w:space="0"/>
              <w:left w:val="nil"/>
              <w:bottom w:val="single" w:color="auto" w:sz="4" w:space="0"/>
              <w:right w:val="single" w:color="auto" w:sz="4" w:space="0"/>
            </w:tcBorders>
            <w:vAlign w:val="center"/>
          </w:tcPr>
          <w:p w:rsidRPr="005F5507" w:rsidR="00BA3312" w:rsidRDefault="00BA3312" w14:paraId="59B9F444" w14:textId="713ADB55">
            <w:pPr>
              <w:rPr>
                <w:rFonts w:ascii="Times New Roman" w:hAnsi="Times New Roman" w:cs="Times New Roman"/>
              </w:rPr>
            </w:pPr>
            <w:r w:rsidRPr="005F5507">
              <w:rPr>
                <w:rFonts w:ascii="Times New Roman" w:hAnsi="Times New Roman" w:eastAsia="Times New Roman" w:cs="Times New Roman"/>
                <w:sz w:val="20"/>
                <w:szCs w:val="20"/>
              </w:rPr>
              <w:t>008</w:t>
            </w:r>
            <w:r w:rsidRPr="00D43D39">
              <w:rPr>
                <w:rFonts w:ascii="Times New Roman" w:hAnsi="Times New Roman" w:eastAsia="Times New Roman" w:cs="Times New Roman"/>
                <w:sz w:val="20"/>
                <w:szCs w:val="20"/>
              </w:rPr>
              <w:t>0</w:t>
            </w:r>
          </w:p>
        </w:tc>
        <w:tc>
          <w:tcPr>
            <w:tcW w:w="7832" w:type="dxa"/>
            <w:tcBorders>
              <w:top w:val="single" w:color="1A171C" w:sz="8" w:space="0"/>
              <w:left w:val="single" w:color="auto" w:sz="4" w:space="0"/>
              <w:right w:val="nil"/>
            </w:tcBorders>
            <w:vAlign w:val="bottom"/>
          </w:tcPr>
          <w:p w:rsidRPr="005F5507" w:rsidR="00BA3312" w:rsidP="005F5507" w:rsidRDefault="00BA3312" w14:paraId="1EDEAB99" w14:textId="34153951">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Type of Non Financial Liabilities </w:t>
            </w:r>
          </w:p>
          <w:p w:rsidRPr="00D43D39" w:rsidR="00BA3312" w:rsidP="008E145C" w:rsidRDefault="00BA3312" w14:paraId="2EE9506E" w14:textId="77777777">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To be chosen among the following options:</w:t>
            </w:r>
          </w:p>
          <w:p w:rsidRPr="00D43D39" w:rsidR="00BA3312" w:rsidP="005F5507" w:rsidRDefault="00BA3312" w14:paraId="47BF48FD" w14:textId="79FD38D2">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Provisions. Funds for general banking risks</w:t>
            </w:r>
          </w:p>
          <w:p w:rsidRPr="00D43D39" w:rsidR="00BA3312" w:rsidP="005F5507" w:rsidRDefault="00BA3312" w14:paraId="105FFCE0" w14:textId="0279D4B1">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Provisions. Employee benefits. Pension and other post-employment defined benefit obligations</w:t>
            </w:r>
          </w:p>
          <w:p w:rsidRPr="00D43D39" w:rsidR="00BA3312" w:rsidP="005F5507" w:rsidRDefault="00BA3312" w14:paraId="4D74C8D5" w14:textId="16E13C48">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Provisions. Employee benefits. Other than pension and other post-employment defined benefit obligations</w:t>
            </w:r>
          </w:p>
          <w:p w:rsidRPr="00D43D39" w:rsidR="00BA3312" w:rsidP="005F5507" w:rsidRDefault="00BA3312" w14:paraId="14497AB5" w14:textId="59D24F8D">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Provisions. Restructuring</w:t>
            </w:r>
          </w:p>
          <w:p w:rsidRPr="00D43D39" w:rsidR="00BA3312" w:rsidP="005F5507" w:rsidRDefault="00BA3312" w14:paraId="61F537BC" w14:textId="7442CA4F">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Provisions. Pending legal issues and tax litigation</w:t>
            </w:r>
          </w:p>
          <w:p w:rsidRPr="00D43D39" w:rsidR="00BA3312" w:rsidP="005F5507" w:rsidRDefault="00BA3312" w14:paraId="17681A2A" w14:textId="41581CBB">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Provisions. Off-balance sheet exposures subject to credit risk</w:t>
            </w:r>
          </w:p>
          <w:p w:rsidRPr="00D43D39" w:rsidR="00BA3312" w:rsidP="005F5507" w:rsidRDefault="00BA3312" w14:paraId="0FC08232" w14:textId="6C52F84A">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Provisions. Other than Employee benefits, Restructuring, Pending legal issues and tax litigation, Off-balance sheet exposures subject to credit risk</w:t>
            </w:r>
          </w:p>
          <w:p w:rsidRPr="00D43D39" w:rsidR="00BA3312" w:rsidP="005F5507" w:rsidRDefault="00BA3312" w14:paraId="674F6FD5" w14:textId="460C1E3A">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Tax liabilities</w:t>
            </w:r>
          </w:p>
          <w:p w:rsidRPr="00D43D39" w:rsidR="00BA3312" w:rsidP="005F5507" w:rsidRDefault="00BA3312" w14:paraId="6D823D01" w14:textId="59F06DE9">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Deferred income</w:t>
            </w:r>
          </w:p>
          <w:p w:rsidRPr="005F5507" w:rsidR="00BA3312" w:rsidP="005F5507" w:rsidRDefault="00BA3312" w14:paraId="7B050A95" w14:textId="77B5717D">
            <w:pPr>
              <w:pStyle w:val="TableParagraph"/>
              <w:numPr>
                <w:ilvl w:val="0"/>
                <w:numId w:val="269"/>
              </w:numPr>
              <w:spacing w:before="108"/>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Liabilities other than financial liabilities, provisions, tax liabilities, deferred income</w:t>
            </w:r>
          </w:p>
        </w:tc>
      </w:tr>
      <w:tr w:rsidRPr="00D43D39" w:rsidR="00C473FC" w:rsidTr="005F5507" w14:paraId="790856C8" w14:textId="77777777">
        <w:tc>
          <w:tcPr>
            <w:tcW w:w="1183" w:type="dxa"/>
            <w:tcBorders>
              <w:top w:val="single" w:color="auto" w:sz="4" w:space="0"/>
              <w:left w:val="nil"/>
              <w:bottom w:val="single" w:color="1A171C" w:sz="8" w:space="0"/>
              <w:right w:val="single" w:color="1A171C" w:sz="8" w:space="0"/>
            </w:tcBorders>
            <w:vAlign w:val="center"/>
          </w:tcPr>
          <w:p w:rsidRPr="005F5507" w:rsidR="5E2F2DB1" w:rsidRDefault="5E2F2DB1" w14:paraId="0C7848D4" w14:textId="334C79EE">
            <w:pPr>
              <w:rPr>
                <w:rFonts w:ascii="Times New Roman" w:hAnsi="Times New Roman" w:cs="Times New Roman"/>
              </w:rPr>
            </w:pPr>
            <w:r w:rsidRPr="005F5507">
              <w:rPr>
                <w:rFonts w:ascii="Times New Roman" w:hAnsi="Times New Roman" w:eastAsia="Times New Roman" w:cs="Times New Roman"/>
                <w:sz w:val="20"/>
                <w:szCs w:val="20"/>
              </w:rPr>
              <w:t>0090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0061CBD9" w14:textId="47EF976B">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Outstanding Amount  </w:t>
            </w:r>
          </w:p>
          <w:p w:rsidRPr="005F5507" w:rsidR="5E2F2DB1" w:rsidP="005F5507" w:rsidRDefault="5E2F2DB1" w14:paraId="611429BB" w14:textId="6833F01D">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outstanding amount of the </w:t>
            </w:r>
            <w:r w:rsidR="000B03A1">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w:t>
            </w:r>
          </w:p>
        </w:tc>
      </w:tr>
      <w:tr w:rsidRPr="00D43D39" w:rsidR="00C473FC" w:rsidTr="00BA3312" w14:paraId="68F2DD43"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448DF901" w14:textId="3A0D98CF">
            <w:pPr>
              <w:rPr>
                <w:rFonts w:ascii="Times New Roman" w:hAnsi="Times New Roman" w:cs="Times New Roman"/>
              </w:rPr>
            </w:pPr>
            <w:r w:rsidRPr="005F5507">
              <w:rPr>
                <w:rFonts w:ascii="Times New Roman" w:hAnsi="Times New Roman" w:eastAsia="Times New Roman" w:cs="Times New Roman"/>
                <w:sz w:val="20"/>
                <w:szCs w:val="20"/>
              </w:rPr>
              <w:t>0100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2ED06A10" w14:textId="32486AE0">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Currency  </w:t>
            </w:r>
          </w:p>
          <w:p w:rsidRPr="005F5507" w:rsidR="5E2F2DB1" w:rsidP="005F5507" w:rsidRDefault="5E2F2DB1" w14:paraId="55CF9ED7" w14:textId="2B8F750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The currency </w:t>
            </w:r>
            <w:r w:rsidR="000B03A1">
              <w:rPr>
                <w:rFonts w:ascii="Times New Roman" w:hAnsi="Times New Roman" w:eastAsia="Times New Roman" w:cs="Times New Roman"/>
                <w:sz w:val="20"/>
                <w:szCs w:val="20"/>
              </w:rPr>
              <w:t>of the liability</w:t>
            </w:r>
            <w:r w:rsidRPr="005F5507">
              <w:rPr>
                <w:rFonts w:ascii="Times New Roman" w:hAnsi="Times New Roman" w:eastAsia="Times New Roman" w:cs="Times New Roman"/>
                <w:sz w:val="20"/>
                <w:szCs w:val="20"/>
              </w:rPr>
              <w:t xml:space="preserve"> is issued</w:t>
            </w:r>
            <w:r w:rsidRPr="005F5507" w:rsidR="002C67B7">
              <w:rPr>
                <w:rFonts w:ascii="Times New Roman" w:hAnsi="Times New Roman" w:eastAsia="Times New Roman" w:cs="Times New Roman"/>
                <w:sz w:val="20"/>
                <w:szCs w:val="20"/>
              </w:rPr>
              <w:t xml:space="preserve"> in line with its 3-letter ISO 4217 code</w:t>
            </w:r>
            <w:r w:rsidRPr="005F5507">
              <w:rPr>
                <w:rFonts w:ascii="Times New Roman" w:hAnsi="Times New Roman" w:eastAsia="Times New Roman" w:cs="Times New Roman"/>
                <w:sz w:val="20"/>
                <w:szCs w:val="20"/>
              </w:rPr>
              <w:t>.</w:t>
            </w:r>
          </w:p>
        </w:tc>
      </w:tr>
      <w:tr w:rsidRPr="00D43D39" w:rsidR="00C473FC" w:rsidTr="00BA3312" w14:paraId="4328AAA6"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6C337BAA" w14:textId="21DE948D">
            <w:pPr>
              <w:rPr>
                <w:rFonts w:ascii="Times New Roman" w:hAnsi="Times New Roman" w:cs="Times New Roman"/>
              </w:rPr>
            </w:pPr>
            <w:r w:rsidRPr="005F5507">
              <w:rPr>
                <w:rFonts w:ascii="Times New Roman" w:hAnsi="Times New Roman" w:eastAsia="Times New Roman" w:cs="Times New Roman"/>
                <w:sz w:val="20"/>
                <w:szCs w:val="20"/>
              </w:rPr>
              <w:t>0110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5B65306F" w14:textId="52FA244B">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 Date of Recognition </w:t>
            </w:r>
          </w:p>
          <w:p w:rsidRPr="005F5507" w:rsidR="5E2F2DB1" w:rsidP="005F5507" w:rsidRDefault="5E2F2DB1" w14:paraId="745513B7" w14:textId="39898E5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Date at which the </w:t>
            </w:r>
            <w:r w:rsidR="000B03A1">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 xml:space="preserve"> was recognised in the financial accounts, as per the applicable accounting standards.</w:t>
            </w:r>
          </w:p>
        </w:tc>
      </w:tr>
      <w:tr w:rsidRPr="00D43D39" w:rsidR="00C473FC" w:rsidTr="00BA3312" w14:paraId="239A2011" w14:textId="77777777">
        <w:tc>
          <w:tcPr>
            <w:tcW w:w="1183" w:type="dxa"/>
            <w:tcBorders>
              <w:top w:val="single" w:color="1A171C" w:sz="8" w:space="0"/>
              <w:left w:val="nil"/>
              <w:bottom w:val="single" w:color="1A171C" w:sz="8" w:space="0"/>
              <w:right w:val="single" w:color="1A171C" w:sz="8" w:space="0"/>
            </w:tcBorders>
            <w:vAlign w:val="center"/>
          </w:tcPr>
          <w:p w:rsidRPr="005F5507" w:rsidR="5E2F2DB1" w:rsidRDefault="5E2F2DB1" w14:paraId="7B6AA189" w14:textId="7A3FD6CB">
            <w:pPr>
              <w:rPr>
                <w:rFonts w:ascii="Times New Roman" w:hAnsi="Times New Roman" w:cs="Times New Roman"/>
              </w:rPr>
            </w:pPr>
            <w:r w:rsidRPr="005F5507">
              <w:rPr>
                <w:rFonts w:ascii="Times New Roman" w:hAnsi="Times New Roman" w:eastAsia="Times New Roman" w:cs="Times New Roman"/>
                <w:sz w:val="20"/>
                <w:szCs w:val="20"/>
              </w:rPr>
              <w:t>0120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3AE9DEE7" w14:textId="6B46B2D7">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b/>
                <w:bCs/>
                <w:sz w:val="20"/>
                <w:szCs w:val="20"/>
              </w:rPr>
              <w:t xml:space="preserve">Date of Maturity </w:t>
            </w:r>
          </w:p>
          <w:p w:rsidRPr="005F5507" w:rsidR="5E2F2DB1" w:rsidP="005F5507" w:rsidRDefault="5E2F2DB1" w14:paraId="73956EA1" w14:textId="26127B88">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Date of the legal, final maturity of the </w:t>
            </w:r>
            <w:r w:rsidR="000B03A1">
              <w:rPr>
                <w:rFonts w:ascii="Times New Roman" w:hAnsi="Times New Roman" w:eastAsia="Times New Roman" w:cs="Times New Roman"/>
                <w:sz w:val="20"/>
                <w:szCs w:val="20"/>
              </w:rPr>
              <w:t>liability</w:t>
            </w:r>
            <w:r w:rsidRPr="005F5507">
              <w:rPr>
                <w:rFonts w:ascii="Times New Roman" w:hAnsi="Times New Roman" w:eastAsia="Times New Roman" w:cs="Times New Roman"/>
                <w:sz w:val="20"/>
                <w:szCs w:val="20"/>
              </w:rPr>
              <w:t xml:space="preserve">. For perpetual </w:t>
            </w:r>
            <w:r w:rsidR="000B03A1">
              <w:rPr>
                <w:rFonts w:ascii="Times New Roman" w:hAnsi="Times New Roman" w:eastAsia="Times New Roman" w:cs="Times New Roman"/>
                <w:sz w:val="20"/>
                <w:szCs w:val="20"/>
              </w:rPr>
              <w:t>liabilities</w:t>
            </w:r>
            <w:r w:rsidRPr="005F5507">
              <w:rPr>
                <w:rFonts w:ascii="Times New Roman" w:hAnsi="Times New Roman" w:eastAsia="Times New Roman" w:cs="Times New Roman"/>
                <w:sz w:val="20"/>
                <w:szCs w:val="20"/>
              </w:rPr>
              <w:t xml:space="preserve">, </w:t>
            </w:r>
            <w:r w:rsidR="009D3860">
              <w:rPr>
                <w:rFonts w:ascii="Times New Roman" w:hAnsi="Times New Roman" w:eastAsia="Times New Roman" w:cs="Times New Roman"/>
                <w:sz w:val="20"/>
                <w:szCs w:val="20"/>
              </w:rPr>
              <w:t>use</w:t>
            </w:r>
            <w:r w:rsidRPr="005F5507">
              <w:rPr>
                <w:rFonts w:ascii="Times New Roman" w:hAnsi="Times New Roman" w:eastAsia="Times New Roman" w:cs="Times New Roman"/>
                <w:sz w:val="20"/>
                <w:szCs w:val="20"/>
              </w:rPr>
              <w:t xml:space="preserve"> ‘2099-01-31’.</w:t>
            </w:r>
          </w:p>
        </w:tc>
      </w:tr>
      <w:tr w:rsidRPr="00D43D39" w:rsidR="00EB47FA" w:rsidTr="00A3520E" w14:paraId="61750C03" w14:textId="77777777">
        <w:trPr>
          <w:trHeight w:val="2644"/>
        </w:trPr>
        <w:tc>
          <w:tcPr>
            <w:tcW w:w="1183" w:type="dxa"/>
            <w:tcBorders>
              <w:top w:val="single" w:color="1A171C" w:sz="8" w:space="0"/>
              <w:left w:val="nil"/>
              <w:bottom w:val="single" w:color="1A171C" w:sz="8" w:space="0"/>
              <w:right w:val="single" w:color="1A171C" w:sz="8" w:space="0"/>
            </w:tcBorders>
            <w:vAlign w:val="center"/>
          </w:tcPr>
          <w:p w:rsidRPr="005F5507" w:rsidR="00EB47FA" w:rsidRDefault="00EB47FA" w14:paraId="68A56B4D" w14:textId="0C933E78">
            <w:pPr>
              <w:rPr>
                <w:rFonts w:ascii="Times New Roman" w:hAnsi="Times New Roman" w:cs="Times New Roman"/>
              </w:rPr>
            </w:pPr>
            <w:r w:rsidRPr="005F5507">
              <w:rPr>
                <w:rFonts w:ascii="Times New Roman" w:hAnsi="Times New Roman" w:eastAsia="Times New Roman" w:cs="Times New Roman"/>
                <w:sz w:val="20"/>
                <w:szCs w:val="20"/>
              </w:rPr>
              <w:t>0130</w:t>
            </w:r>
          </w:p>
        </w:tc>
        <w:tc>
          <w:tcPr>
            <w:tcW w:w="7832" w:type="dxa"/>
            <w:tcBorders>
              <w:top w:val="single" w:color="1A171C" w:sz="8" w:space="0"/>
              <w:left w:val="single" w:color="1A171C" w:sz="8" w:space="0"/>
              <w:right w:val="nil"/>
            </w:tcBorders>
            <w:vAlign w:val="bottom"/>
          </w:tcPr>
          <w:p w:rsidRPr="005F5507" w:rsidR="00EB47FA" w:rsidP="005F5507" w:rsidRDefault="00EB47FA" w14:paraId="58FBDDD1" w14:textId="057BA0B2">
            <w:pPr>
              <w:pStyle w:val="TableParagraph"/>
              <w:spacing w:before="108"/>
              <w:ind w:left="85"/>
              <w:jc w:val="both"/>
              <w:rPr>
                <w:rFonts w:ascii="Times New Roman" w:hAnsi="Times New Roman" w:eastAsia="Times New Roman" w:cs="Times New Roman"/>
                <w:b/>
                <w:bCs/>
                <w:sz w:val="20"/>
                <w:szCs w:val="20"/>
              </w:rPr>
            </w:pPr>
            <w:r w:rsidRPr="005F5507">
              <w:rPr>
                <w:rFonts w:ascii="Times New Roman" w:hAnsi="Times New Roman" w:eastAsia="Times New Roman" w:cs="Times New Roman"/>
                <w:sz w:val="20"/>
                <w:szCs w:val="20"/>
              </w:rPr>
              <w:t xml:space="preserve"> </w:t>
            </w:r>
            <w:r w:rsidRPr="005F5507">
              <w:rPr>
                <w:rFonts w:ascii="Times New Roman" w:hAnsi="Times New Roman" w:eastAsia="Times New Roman" w:cs="Times New Roman"/>
                <w:b/>
                <w:bCs/>
                <w:sz w:val="20"/>
                <w:szCs w:val="20"/>
              </w:rPr>
              <w:t xml:space="preserve">Qualifying as Own Funds </w:t>
            </w:r>
          </w:p>
          <w:p w:rsidRPr="00D43D39" w:rsidR="00EB47FA" w:rsidP="008E145C" w:rsidRDefault="00486437" w14:paraId="50935130" w14:textId="2E19D3D8">
            <w:pPr>
              <w:pStyle w:val="TableParagraph"/>
              <w:spacing w:before="108"/>
              <w:ind w:left="8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w:t>
            </w:r>
            <w:r w:rsidRPr="005F5507" w:rsidR="00EB47FA">
              <w:rPr>
                <w:rFonts w:ascii="Times New Roman" w:hAnsi="Times New Roman" w:eastAsia="Times New Roman" w:cs="Times New Roman"/>
                <w:sz w:val="20"/>
                <w:szCs w:val="20"/>
              </w:rPr>
              <w:t xml:space="preserve">ndicate if and at which level the instrument is included in the own funds, alongside information on the phase-out regime and grandfathering arrangements. Value can be ‘No’, ‘Partially (A)T1 and T2’, ‘T2 in phase-out’, ‘Grandfathered T2’, ‘Fully Compliant T2’, ‘Grandfathered AT1’, ‘Fully Compliant AT1’ or ‘CET1’ from a predefined list. </w:t>
            </w:r>
          </w:p>
          <w:p w:rsidRPr="005F5507" w:rsidR="00EB47FA" w:rsidP="005F5507" w:rsidRDefault="00EB47FA" w14:paraId="00378139" w14:textId="5DE14E07">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 In the list of options the term 'phase-out' refers to the period of 5 years before maturity of any given T2 instrument, during which there is only a proportionate recognition based on the time remaining until maturity. 'Grandfathered' </w:t>
            </w:r>
            <w:r w:rsidR="009D3860">
              <w:rPr>
                <w:rFonts w:ascii="Times New Roman" w:hAnsi="Times New Roman" w:eastAsia="Times New Roman" w:cs="Times New Roman"/>
                <w:sz w:val="20"/>
                <w:szCs w:val="20"/>
              </w:rPr>
              <w:t>refers to</w:t>
            </w:r>
            <w:r w:rsidRPr="005F5507">
              <w:rPr>
                <w:rFonts w:ascii="Times New Roman" w:hAnsi="Times New Roman" w:eastAsia="Times New Roman" w:cs="Times New Roman"/>
                <w:sz w:val="20"/>
                <w:szCs w:val="20"/>
              </w:rPr>
              <w:t xml:space="preserve"> any transitional measure applicable to a T2 instrument, not including the 'phase-out'. During this 'grandfathering', recognition can be full or partial.</w:t>
            </w:r>
          </w:p>
        </w:tc>
      </w:tr>
      <w:tr w:rsidRPr="00D43D39" w:rsidR="5E2F2DB1" w:rsidTr="00BA3312" w14:paraId="779F868D" w14:textId="77777777">
        <w:tc>
          <w:tcPr>
            <w:tcW w:w="1183" w:type="dxa"/>
            <w:tcBorders>
              <w:top w:val="nil"/>
              <w:left w:val="nil"/>
              <w:bottom w:val="single" w:color="1A171C" w:sz="8" w:space="0"/>
              <w:right w:val="single" w:color="1A171C" w:sz="8" w:space="0"/>
            </w:tcBorders>
            <w:vAlign w:val="center"/>
          </w:tcPr>
          <w:p w:rsidRPr="005F5507" w:rsidR="5E2F2DB1" w:rsidRDefault="5E2F2DB1" w14:paraId="184D34C4" w14:textId="1E3A73C5">
            <w:pPr>
              <w:rPr>
                <w:rFonts w:ascii="Times New Roman" w:hAnsi="Times New Roman" w:cs="Times New Roman"/>
              </w:rPr>
            </w:pPr>
            <w:r w:rsidRPr="005F5507">
              <w:rPr>
                <w:rFonts w:ascii="Times New Roman" w:hAnsi="Times New Roman" w:eastAsia="Times New Roman" w:cs="Times New Roman"/>
                <w:sz w:val="20"/>
                <w:szCs w:val="20"/>
              </w:rPr>
              <w:t>0140</w:t>
            </w:r>
          </w:p>
        </w:tc>
        <w:tc>
          <w:tcPr>
            <w:tcW w:w="7832" w:type="dxa"/>
            <w:tcBorders>
              <w:top w:val="single" w:color="1A171C" w:sz="8" w:space="0"/>
              <w:left w:val="single" w:color="1A171C" w:sz="8" w:space="0"/>
              <w:bottom w:val="single" w:color="1A171C" w:sz="8" w:space="0"/>
              <w:right w:val="nil"/>
            </w:tcBorders>
            <w:vAlign w:val="bottom"/>
          </w:tcPr>
          <w:p w:rsidRPr="005F5507" w:rsidR="5E2F2DB1" w:rsidP="005F5507" w:rsidRDefault="5E2F2DB1" w14:paraId="6897E405" w14:textId="277B5A35">
            <w:pPr>
              <w:pStyle w:val="TableParagraph"/>
              <w:spacing w:before="108"/>
              <w:ind w:left="85"/>
              <w:jc w:val="both"/>
              <w:rPr>
                <w:rFonts w:ascii="Times New Roman" w:hAnsi="Times New Roman" w:eastAsia="Times New Roman" w:cs="Times New Roman"/>
                <w:sz w:val="20"/>
                <w:szCs w:val="20"/>
              </w:rPr>
            </w:pPr>
            <w:r w:rsidRPr="005F5507">
              <w:rPr>
                <w:rFonts w:ascii="Times New Roman" w:hAnsi="Times New Roman" w:eastAsia="Times New Roman" w:cs="Times New Roman"/>
                <w:sz w:val="20"/>
                <w:szCs w:val="20"/>
              </w:rPr>
              <w:t xml:space="preserve"> </w:t>
            </w:r>
            <w:r w:rsidRPr="005F5507" w:rsidR="00171B62">
              <w:rPr>
                <w:rFonts w:ascii="Times New Roman" w:hAnsi="Times New Roman" w:eastAsia="Times New Roman" w:cs="Times New Roman"/>
                <w:sz w:val="20"/>
                <w:szCs w:val="20"/>
              </w:rPr>
              <w:t>Amount Qualifying as Own Funds</w:t>
            </w:r>
            <w:r w:rsidRPr="005F5507">
              <w:rPr>
                <w:rFonts w:ascii="Times New Roman" w:hAnsi="Times New Roman" w:eastAsia="Times New Roman" w:cs="Times New Roman"/>
                <w:sz w:val="20"/>
                <w:szCs w:val="20"/>
              </w:rPr>
              <w:t xml:space="preserve"> </w:t>
            </w:r>
          </w:p>
          <w:p w:rsidRPr="005F5507" w:rsidR="5E2F2DB1" w:rsidP="005F5507" w:rsidRDefault="000B03A1" w14:paraId="48BDE83F" w14:textId="424059CD">
            <w:pPr>
              <w:pStyle w:val="TableParagraph"/>
              <w:spacing w:before="108"/>
              <w:ind w:left="85"/>
              <w:jc w:val="both"/>
              <w:rPr>
                <w:rFonts w:ascii="Times New Roman" w:hAnsi="Times New Roman" w:eastAsia="Times New Roman" w:cs="Times New Roman"/>
                <w:sz w:val="20"/>
                <w:szCs w:val="20"/>
              </w:rPr>
            </w:pPr>
            <w:r w:rsidRPr="00A50739">
              <w:rPr>
                <w:rFonts w:ascii="Times New Roman" w:hAnsi="Times New Roman" w:eastAsia="Times New Roman" w:cs="Times New Roman"/>
                <w:sz w:val="20"/>
                <w:szCs w:val="20"/>
              </w:rPr>
              <w:t>The amount of the instrument qualifying as own funds.</w:t>
            </w:r>
          </w:p>
        </w:tc>
      </w:tr>
    </w:tbl>
    <w:p w:rsidRPr="005F5507" w:rsidR="5E2F2DB1" w:rsidP="5E2F2DB1" w:rsidRDefault="5E2F2DB1" w14:paraId="6105243E" w14:textId="1E2B35F9">
      <w:pPr>
        <w:pStyle w:val="body"/>
        <w:rPr>
          <w:rFonts w:ascii="Times New Roman" w:hAnsi="Times New Roman" w:cs="Times New Roman"/>
          <w:sz w:val="20"/>
          <w:szCs w:val="20"/>
          <w:lang w:val="en-GB"/>
        </w:rPr>
      </w:pPr>
    </w:p>
    <w:sectPr w:rsidRPr="005F5507" w:rsidR="5E2F2DB1" w:rsidSect="00B665D6">
      <w:headerReference w:type="even" r:id="rId17"/>
      <w:headerReference w:type="default" r:id="rId18"/>
      <w:footerReference w:type="default" r:id="rId19"/>
      <w:headerReference w:type="firs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02F" w:rsidP="001E5EDF" w:rsidRDefault="0080602F" w14:paraId="6ED5AD16" w14:textId="77777777">
      <w:r>
        <w:separator/>
      </w:r>
    </w:p>
  </w:endnote>
  <w:endnote w:type="continuationSeparator" w:id="0">
    <w:p w:rsidR="0080602F" w:rsidP="001E5EDF" w:rsidRDefault="0080602F" w14:paraId="32CBD7AC" w14:textId="77777777">
      <w:r>
        <w:continuationSeparator/>
      </w:r>
    </w:p>
  </w:endnote>
  <w:endnote w:type="continuationNotice" w:id="1">
    <w:p w:rsidR="0080602F" w:rsidRDefault="0080602F" w14:paraId="7D184B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105955"/>
      <w:docPartObj>
        <w:docPartGallery w:val="Page Numbers (Bottom of Page)"/>
        <w:docPartUnique/>
      </w:docPartObj>
    </w:sdtPr>
    <w:sdtEndPr>
      <w:rPr>
        <w:noProof/>
      </w:rPr>
    </w:sdtEndPr>
    <w:sdtContent>
      <w:p w:rsidR="00E2034B" w:rsidP="00D06A69" w:rsidRDefault="00E2034B" w14:paraId="44B33F5A" w14:textId="62F9D4C1">
        <w:pPr>
          <w:pStyle w:val="body"/>
          <w:jc w:val="right"/>
        </w:pPr>
        <w:r>
          <w:rPr>
            <w:noProof/>
          </w:rPr>
          <w:fldChar w:fldCharType="begin"/>
        </w:r>
        <w:r>
          <w:rPr>
            <w:noProof/>
          </w:rPr>
          <w:instrText xml:space="preserve"> PAGE   \* MERGEFORMAT </w:instrText>
        </w:r>
        <w:r>
          <w:rPr>
            <w:noProof/>
          </w:rPr>
          <w:fldChar w:fldCharType="separate"/>
        </w:r>
        <w:r w:rsidR="001D42F1">
          <w:rPr>
            <w:noProof/>
          </w:rPr>
          <w:t>89</w:t>
        </w:r>
        <w:r>
          <w:rPr>
            <w:noProof/>
          </w:rPr>
          <w:fldChar w:fldCharType="end"/>
        </w:r>
      </w:p>
    </w:sdtContent>
  </w:sdt>
  <w:p w:rsidR="00E2034B" w:rsidRDefault="00E2034B" w14:paraId="2B922E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02F" w:rsidP="001E5EDF" w:rsidRDefault="0080602F" w14:paraId="463EDA63" w14:textId="77777777">
      <w:r>
        <w:separator/>
      </w:r>
    </w:p>
  </w:footnote>
  <w:footnote w:type="continuationSeparator" w:id="0">
    <w:p w:rsidR="0080602F" w:rsidP="001E5EDF" w:rsidRDefault="0080602F" w14:paraId="45514411" w14:textId="77777777">
      <w:r>
        <w:continuationSeparator/>
      </w:r>
    </w:p>
  </w:footnote>
  <w:footnote w:type="continuationNotice" w:id="1">
    <w:p w:rsidR="0080602F" w:rsidRDefault="0080602F" w14:paraId="61A6534B" w14:textId="77777777"/>
  </w:footnote>
  <w:footnote w:id="2">
    <w:p w:rsidRPr="008E5458" w:rsidR="00E2034B" w:rsidP="006574E4" w:rsidRDefault="00E2034B" w14:paraId="562F64DC" w14:textId="3F114968">
      <w:pPr>
        <w:pStyle w:val="FootnoteText"/>
        <w:rPr>
          <w:lang w:val="en-GB"/>
        </w:rPr>
      </w:pPr>
      <w:r w:rsidRPr="008E5458">
        <w:rPr>
          <w:rStyle w:val="FootnoteReference"/>
          <w:rFonts w:ascii="Times New Roman" w:hAnsi="Times New Roman"/>
        </w:rPr>
        <w:footnoteRef/>
      </w:r>
      <w:r w:rsidRPr="008E5458">
        <w:t xml:space="preserve"> </w:t>
      </w:r>
      <w:r w:rsidRPr="008E5458">
        <w:rPr>
          <w:sz w:val="20"/>
          <w:szCs w:val="20"/>
          <w:lang w:val="en-GB"/>
        </w:rPr>
        <w:t xml:space="preserve">Commission Implementing Regulation (EU) No </w:t>
      </w:r>
      <w:r w:rsidR="00EC4F68">
        <w:rPr>
          <w:sz w:val="20"/>
          <w:szCs w:val="20"/>
          <w:lang w:val="en-GB"/>
        </w:rPr>
        <w:t>2021/451</w:t>
      </w:r>
      <w:r w:rsidRPr="008E5458">
        <w:rPr>
          <w:sz w:val="20"/>
          <w:szCs w:val="20"/>
          <w:lang w:val="en-GB"/>
        </w:rPr>
        <w:t xml:space="preserve"> of</w:t>
      </w:r>
      <w:r w:rsidRPr="008E5458">
        <w:rPr>
          <w:lang w:val="en-GB"/>
        </w:rPr>
        <w:t xml:space="preserve"> </w:t>
      </w:r>
      <w:r w:rsidR="00EC4F68">
        <w:rPr>
          <w:lang w:val="en-GB"/>
        </w:rPr>
        <w:t>17 December</w:t>
      </w:r>
      <w:r w:rsidRPr="008E5458">
        <w:rPr>
          <w:lang w:val="en-GB"/>
        </w:rPr>
        <w:t xml:space="preserve"> 20</w:t>
      </w:r>
      <w:r w:rsidR="00EC4F68">
        <w:rPr>
          <w:lang w:val="en-GB"/>
        </w:rPr>
        <w:t>20</w:t>
      </w:r>
      <w:r w:rsidRPr="008E5458">
        <w:rPr>
          <w:lang w:val="en-GB"/>
        </w:rPr>
        <w:t xml:space="preserve"> laying down implementing technical standards with regard to supervisory reporting of institutions according to Regulation (EU) No 575/2013 of the European Parliament and of the Council</w:t>
      </w:r>
      <w:r w:rsidRPr="00EC4F68" w:rsidR="00EC4F68">
        <w:t xml:space="preserve"> </w:t>
      </w:r>
      <w:r w:rsidRPr="00EC4F68" w:rsidR="00EC4F68">
        <w:rPr>
          <w:lang w:val="en-GB"/>
        </w:rPr>
        <w:t>with regard to supervisory reporting of institutions and repealing Implementing Regulation (EU) No 680/2014</w:t>
      </w:r>
      <w:r w:rsidRPr="008E5458">
        <w:rPr>
          <w:lang w:val="en-GB"/>
        </w:rPr>
        <w:t>.</w:t>
      </w:r>
    </w:p>
  </w:footnote>
  <w:footnote w:id="3">
    <w:p w:rsidRPr="00E17940" w:rsidR="00E2034B" w:rsidP="006574E4" w:rsidRDefault="00E2034B" w14:paraId="733D3558" w14:textId="77777777">
      <w:pPr>
        <w:pStyle w:val="FootnoteText"/>
      </w:pPr>
      <w:r w:rsidRPr="008E5458">
        <w:rPr>
          <w:rStyle w:val="FootnoteReference"/>
          <w:rFonts w:ascii="Times New Roman" w:hAnsi="Times New Roman"/>
        </w:rPr>
        <w:footnoteRef/>
      </w:r>
      <w:r w:rsidRPr="008E5458">
        <w:t xml:space="preserve"> Regulation (EC) No 1606/2002 of the European Parliament and of the Council of 19 July 2002 on the application of international accounting standards</w:t>
      </w:r>
      <w:r w:rsidRPr="00543060">
        <w:t xml:space="preserve"> (OJ L 243, 11.9.2002</w:t>
      </w:r>
      <w:r w:rsidRPr="00E17940">
        <w:t>, p.</w:t>
      </w:r>
      <w:r>
        <w:t>1</w:t>
      </w:r>
      <w:r w:rsidRPr="00E17940">
        <w:t>).</w:t>
      </w:r>
    </w:p>
  </w:footnote>
  <w:footnote w:id="4">
    <w:p w:rsidRPr="008E5458" w:rsidR="00E2034B" w:rsidP="006574E4" w:rsidRDefault="00E2034B" w14:paraId="0E34609E" w14:textId="77777777">
      <w:pPr>
        <w:pStyle w:val="FootnoteText"/>
      </w:pPr>
      <w:r w:rsidRPr="00673D9B">
        <w:rPr>
          <w:rStyle w:val="FootnoteReference"/>
          <w:rFonts w:ascii="Times New Roman" w:hAnsi="Times New Roman"/>
        </w:rPr>
        <w:footnoteRef/>
      </w:r>
      <w:r w:rsidRPr="00D73A7B">
        <w:t xml:space="preserve"> Regulation (EC) No</w:t>
      </w:r>
      <w:r w:rsidRPr="000A3045">
        <w:t xml:space="preserve"> 1606/2002 of the European Parliament and of the Council of 19 July 2002 on the application of international accounting standards</w:t>
      </w:r>
      <w:r>
        <w:t xml:space="preserve">( </w:t>
      </w:r>
      <w:r w:rsidRPr="00E17940">
        <w:t>OJ L 243, 11.9.2002</w:t>
      </w:r>
      <w:r w:rsidRPr="00673D9B">
        <w:t>, p.</w:t>
      </w:r>
      <w:r>
        <w:t>1</w:t>
      </w:r>
      <w:r w:rsidRPr="00D73A7B">
        <w:t>)</w:t>
      </w:r>
      <w:r w:rsidRPr="000A3045">
        <w:t>.</w:t>
      </w:r>
    </w:p>
  </w:footnote>
  <w:footnote w:id="5">
    <w:p w:rsidRPr="00BB34DC" w:rsidR="00E2034B" w:rsidP="006574E4" w:rsidRDefault="00E2034B" w14:paraId="0A6B3364" w14:textId="77777777">
      <w:pPr>
        <w:pStyle w:val="FootnoteText"/>
        <w:rPr>
          <w:lang w:val="en-GB"/>
        </w:rPr>
      </w:pPr>
      <w:r w:rsidRPr="00E17940">
        <w:rPr>
          <w:rStyle w:val="FootnoteReference"/>
          <w:rFonts w:ascii="Times New Roman" w:hAnsi="Times New Roman"/>
        </w:rPr>
        <w:footnoteRef/>
      </w:r>
      <w:r w:rsidRPr="00E17940">
        <w:t xml:space="preserve"> Council Directive 86/635/EEC of 8 December 1986 on the annual accounts and consolidated accounts of banks and other financial institutions (OJ L 372, </w:t>
      </w:r>
      <w:r w:rsidRPr="00673D9B">
        <w:t>31.12.1986</w:t>
      </w:r>
      <w:r>
        <w:t>, p.1</w:t>
      </w:r>
      <w:r w:rsidRPr="00E17940">
        <w:t>).</w:t>
      </w:r>
    </w:p>
  </w:footnote>
  <w:footnote w:id="6">
    <w:p w:rsidRPr="00E17940" w:rsidR="00E2034B" w:rsidP="006574E4" w:rsidRDefault="00E2034B" w14:paraId="4D9F3A53" w14:textId="77777777">
      <w:pPr>
        <w:pStyle w:val="FootnoteText"/>
      </w:pPr>
      <w:r w:rsidRPr="008E5458">
        <w:rPr>
          <w:rStyle w:val="FootnoteReference"/>
          <w:rFonts w:ascii="Times New Roman" w:hAnsi="Times New Roman"/>
        </w:rPr>
        <w:footnoteRef/>
      </w:r>
      <w:r w:rsidRPr="008E5458">
        <w:t xml:space="preserve"> R</w:t>
      </w:r>
      <w:r w:rsidRPr="00543060">
        <w:rPr>
          <w:lang w:val="en-GB"/>
        </w:rPr>
        <w:t>egulation (EU) No 575/2013 of the European Parliament and of the Council of 26 June 2013 on prudential requirements for credit institutions and investment firms and amending Regulation (EU) No 648/2012</w:t>
      </w:r>
      <w:r w:rsidRPr="00E17940">
        <w:rPr>
          <w:lang w:val="en-GB"/>
        </w:rPr>
        <w:t xml:space="preserve"> (OJ L 176, 27.6.2013, p. </w:t>
      </w:r>
      <w:r>
        <w:rPr>
          <w:lang w:val="en-GB"/>
        </w:rPr>
        <w:t>1</w:t>
      </w:r>
      <w:r w:rsidRPr="00E17940">
        <w:rPr>
          <w:lang w:val="en-GB"/>
        </w:rPr>
        <w:t>).</w:t>
      </w:r>
    </w:p>
  </w:footnote>
  <w:footnote w:id="7">
    <w:p w:rsidRPr="00E17940" w:rsidR="00E2034B" w:rsidP="006574E4" w:rsidRDefault="00E2034B" w14:paraId="708D686D" w14:textId="77777777">
      <w:pPr>
        <w:pStyle w:val="FootnoteText"/>
      </w:pPr>
      <w:r>
        <w:rPr>
          <w:rStyle w:val="FootnoteReference"/>
        </w:rPr>
        <w:footnoteRef/>
      </w:r>
      <w:r>
        <w:t xml:space="preserve"> </w:t>
      </w:r>
      <w:r w:rsidRPr="008E5458">
        <w:t xml:space="preserve">Directive 2013/36/EU of the European Parliament and of the Council of 26 </w:t>
      </w:r>
      <w:r w:rsidRPr="00543060">
        <w:t>June 2013 on access to the activity of credit institutions and the prudential supervision of credit institutions and investment firms, amending Directive 2002/87/EC and repealing Directives 2006/48/EC and 2006/49/EC</w:t>
      </w:r>
      <w:r w:rsidRPr="009F61D6">
        <w:t xml:space="preserve"> </w:t>
      </w:r>
      <w:r w:rsidRPr="008B1EBD">
        <w:t>(OJ L 176, 27.6.2013, p.</w:t>
      </w:r>
      <w:r>
        <w:t>338</w:t>
      </w:r>
      <w:r w:rsidRPr="008B1EBD">
        <w:t>)</w:t>
      </w:r>
      <w:r w:rsidRPr="009454D1">
        <w:t>.</w:t>
      </w:r>
    </w:p>
  </w:footnote>
  <w:footnote w:id="8">
    <w:p w:rsidRPr="001C34E8" w:rsidR="00E2034B" w:rsidP="006574E4" w:rsidRDefault="00E2034B" w14:paraId="37D3505A" w14:textId="5E3D7615">
      <w:pPr>
        <w:pStyle w:val="FootnoteText"/>
        <w:rPr>
          <w:lang w:val="en-GB"/>
        </w:rPr>
      </w:pPr>
      <w:r>
        <w:rPr>
          <w:rStyle w:val="FootnoteReference"/>
        </w:rPr>
        <w:footnoteRef/>
      </w:r>
      <w:r>
        <w:t xml:space="preserve"> </w:t>
      </w:r>
      <w:r w:rsidRPr="00B278BB">
        <w:t>Regulation (EU) 2019/2033 of the European Parliament and of the Council of 27 November 2019 on the prudential requirements of investment firms and amending Regulations (EU) No 1093/2010, (EU) No 575/2013, (EU) No 600/2014 and (EU) No 806/2014 (OJ L 314, 5.12.2019, p. 1).</w:t>
      </w:r>
    </w:p>
  </w:footnote>
  <w:footnote w:id="9">
    <w:p w:rsidRPr="001C34E8" w:rsidR="00E2034B" w:rsidP="006574E4" w:rsidRDefault="00E2034B" w14:paraId="5E26C822" w14:textId="1DFA5519">
      <w:pPr>
        <w:pStyle w:val="FootnoteText"/>
        <w:rPr>
          <w:lang w:val="en-GB"/>
        </w:rPr>
      </w:pPr>
      <w:r>
        <w:rPr>
          <w:rStyle w:val="FootnoteReference"/>
        </w:rPr>
        <w:footnoteRef/>
      </w:r>
      <w:r>
        <w:t xml:space="preserve"> </w:t>
      </w:r>
      <w:r w:rsidRPr="00454906">
        <w:t>Directive (EU) 2019/2034 of the European Parliament and of the Council of 27 November 2019 on the prudential supervision of investment firms and amending Directives 2002/87/EC, 2009/65/EC, 2011/61/EU, 2013/36/EU, 2014/59/EU and 2014/65/EU (OJ L 314, 5.12.2019, p. 64)</w:t>
      </w:r>
    </w:p>
  </w:footnote>
  <w:footnote w:id="10">
    <w:p w:rsidRPr="00CF3EBF" w:rsidR="00E2034B" w:rsidP="006574E4" w:rsidRDefault="00E2034B" w14:paraId="7BEC1B79" w14:textId="77777777">
      <w:pPr>
        <w:pStyle w:val="FootnoteText"/>
      </w:pPr>
      <w:r w:rsidRPr="00673D9B">
        <w:rPr>
          <w:rStyle w:val="FootnoteReference"/>
          <w:rFonts w:ascii="Times New Roman" w:hAnsi="Times New Roman"/>
        </w:rPr>
        <w:footnoteRef/>
      </w:r>
      <w:r w:rsidRPr="00D73A7B">
        <w:t xml:space="preserve"> Directive 2009/138/EC of the European Parliament and of the Council of 25 November 2009 on the taking-up and pursuit of the business of Insurance and Reinsurance (Solvency II</w:t>
      </w:r>
      <w:r w:rsidRPr="000A3045">
        <w:t>) (Text with EEA relevance)</w:t>
      </w:r>
      <w:r>
        <w:t xml:space="preserve">( </w:t>
      </w:r>
      <w:r w:rsidRPr="008B1EBD">
        <w:t>OJ L 335, 17.12.2009</w:t>
      </w:r>
      <w:r w:rsidRPr="009454D1">
        <w:t>, p.</w:t>
      </w:r>
      <w:r>
        <w:t>1</w:t>
      </w:r>
      <w:r w:rsidRPr="009454D1">
        <w:t>)</w:t>
      </w:r>
      <w:r w:rsidRPr="00E17940">
        <w:t>.</w:t>
      </w:r>
    </w:p>
  </w:footnote>
  <w:footnote w:id="11">
    <w:p w:rsidR="001F2A5F" w:rsidP="006574E4" w:rsidRDefault="001F2A5F" w14:paraId="4E2B22D9" w14:textId="6D1C55E7">
      <w:pPr>
        <w:pStyle w:val="FootnoteText"/>
        <w:rPr>
          <w:lang w:val="en-GB"/>
        </w:rPr>
      </w:pPr>
      <w:r w:rsidRPr="008B1EBD">
        <w:rPr>
          <w:rStyle w:val="FootnoteReference"/>
          <w:rFonts w:ascii="Times New Roman" w:hAnsi="Times New Roman"/>
        </w:rPr>
        <w:footnoteRef/>
      </w:r>
      <w:r w:rsidRPr="008B1EBD">
        <w:t xml:space="preserve"> </w:t>
      </w:r>
      <w:r w:rsidRPr="00673D9B">
        <w:rPr>
          <w:lang w:val="en-GB"/>
        </w:rPr>
        <w:t xml:space="preserve">Regulation </w:t>
      </w:r>
      <w:r w:rsidRPr="00D73A7B">
        <w:rPr>
          <w:lang w:val="en-GB"/>
        </w:rPr>
        <w:t xml:space="preserve">(EU) No </w:t>
      </w:r>
      <w:r w:rsidR="000B622A">
        <w:rPr>
          <w:lang w:val="en-GB"/>
        </w:rPr>
        <w:t>2021/379</w:t>
      </w:r>
      <w:r w:rsidRPr="00D73A7B">
        <w:rPr>
          <w:lang w:val="en-GB"/>
        </w:rPr>
        <w:t xml:space="preserve"> of </w:t>
      </w:r>
      <w:r w:rsidRPr="008B1EBD">
        <w:rPr>
          <w:lang w:val="en-GB"/>
        </w:rPr>
        <w:t>the European Central Bank concerning the balance sheet of the monetary financial institutions sector (OJ L 297 7.11.2013, p</w:t>
      </w:r>
      <w:r>
        <w:rPr>
          <w:lang w:val="en-GB"/>
        </w:rPr>
        <w:t>.1</w:t>
      </w:r>
      <w:r w:rsidRPr="008B1EBD">
        <w:rPr>
          <w:lang w:val="en-GB"/>
        </w:rPr>
        <w:t>).</w:t>
      </w:r>
    </w:p>
  </w:footnote>
  <w:footnote w:id="12">
    <w:p w:rsidRPr="00113543" w:rsidR="00E2034B" w:rsidP="006574E4" w:rsidRDefault="00E2034B" w14:paraId="2BE6F728" w14:textId="77777777">
      <w:pPr>
        <w:pStyle w:val="FootnoteText"/>
      </w:pPr>
      <w:r w:rsidRPr="008E5458">
        <w:rPr>
          <w:rStyle w:val="FootnoteReference"/>
          <w:rFonts w:ascii="Times New Roman" w:hAnsi="Times New Roman"/>
        </w:rPr>
        <w:footnoteRef/>
      </w:r>
      <w:r w:rsidRPr="008E5458">
        <w:t xml:space="preserve"> Commission Recommendation of 6 May 2003 concerning the definition of micro, small and medium-sized enterprises (notified under document number C(2003) 1422) (OJ L 124, 20.5.2003, p. </w:t>
      </w:r>
      <w:r>
        <w:t>36</w:t>
      </w:r>
      <w:r w:rsidRPr="009F61D6">
        <w:t>).</w:t>
      </w:r>
    </w:p>
  </w:footnote>
  <w:footnote w:id="13">
    <w:p w:rsidRPr="00B77FC7" w:rsidR="00E2034B" w:rsidP="006574E4" w:rsidRDefault="00E2034B" w14:paraId="7ECE222F" w14:textId="77777777">
      <w:pPr>
        <w:pStyle w:val="FootnoteText"/>
      </w:pPr>
      <w:r>
        <w:rPr>
          <w:rStyle w:val="FootnoteReference"/>
        </w:rPr>
        <w:footnoteRef/>
      </w:r>
      <w:r>
        <w:t xml:space="preserve">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p>
  </w:footnote>
  <w:footnote w:id="14">
    <w:p w:rsidRPr="001D3665" w:rsidR="00E2034B" w:rsidP="006574E4" w:rsidRDefault="00E2034B" w14:paraId="45027383" w14:textId="77777777">
      <w:pPr>
        <w:pStyle w:val="FootnoteText"/>
      </w:pPr>
      <w:r>
        <w:rPr>
          <w:rStyle w:val="FootnoteReference"/>
        </w:rPr>
        <w:footnoteRef/>
      </w:r>
      <w:r>
        <w:t xml:space="preserve"> Directive 2014/49/EU of the European Parliament and of the Council of 16 April 2014 on deposit guarantee schemes (OJ L 173, 12.6.2014, p. 149).</w:t>
      </w:r>
    </w:p>
  </w:footnote>
  <w:footnote w:id="15">
    <w:p w:rsidRPr="00181575" w:rsidR="00E2034B" w:rsidP="006574E4" w:rsidRDefault="00E2034B" w14:paraId="5114B6F9" w14:textId="77777777">
      <w:pPr>
        <w:pStyle w:val="FootnoteText"/>
        <w:rPr>
          <w:lang w:val="en-GB"/>
        </w:rPr>
      </w:pPr>
      <w:r>
        <w:rPr>
          <w:rStyle w:val="FootnoteReference"/>
        </w:rPr>
        <w:footnoteRef/>
      </w:r>
      <w:r>
        <w:t xml:space="preserve"> </w:t>
      </w:r>
      <w:r w:rsidRPr="00181575">
        <w:rPr>
          <w:lang w:val="en-GB"/>
        </w:rPr>
        <w:t>Commission Delegated Regulation (EU) 2016/1401 of 23 May 2016 supplementing Directive 2014/59/EU of the European Parliament and of the Council establishing a framework for the recovery and resolution of credit institutions and investment firms with regard to regulatory technical standards for methodologies and principles on the valuation of liabilities arising from derivatives</w:t>
      </w:r>
      <w:r>
        <w:rPr>
          <w:lang w:val="en-GB"/>
        </w:rPr>
        <w:t xml:space="preserve"> (</w:t>
      </w:r>
      <w:r w:rsidRPr="00181575">
        <w:rPr>
          <w:lang w:val="en-GB"/>
        </w:rPr>
        <w:t>OJ L 228, 23.8.2016, p. 7</w:t>
      </w:r>
      <w:r>
        <w:rPr>
          <w:lang w:val="en-GB"/>
        </w:rPr>
        <w:t>).</w:t>
      </w:r>
    </w:p>
  </w:footnote>
  <w:footnote w:id="16">
    <w:p w:rsidRPr="00612D5B" w:rsidR="00612D5B" w:rsidRDefault="00612D5B" w14:paraId="6568295C" w14:textId="271B8AA7">
      <w:pPr>
        <w:pStyle w:val="FootnoteText"/>
      </w:pPr>
      <w:r>
        <w:rPr>
          <w:rStyle w:val="FootnoteReference"/>
        </w:rPr>
        <w:footnoteRef/>
      </w:r>
      <w:r>
        <w:t xml:space="preserve"> The level of the capital conservation buffer laid down in Article 129 of Directive 2013/36/EU;</w:t>
      </w:r>
    </w:p>
  </w:footnote>
  <w:footnote w:id="17">
    <w:p w:rsidRPr="00CF2751" w:rsidR="00E2034B" w:rsidP="006574E4" w:rsidRDefault="00E2034B" w14:paraId="22BC5B54" w14:textId="77777777">
      <w:pPr>
        <w:pStyle w:val="FootnoteText"/>
        <w:rPr>
          <w:lang w:val="en-GB"/>
        </w:rPr>
      </w:pPr>
      <w:r>
        <w:rPr>
          <w:rStyle w:val="FootnoteReference"/>
        </w:rPr>
        <w:footnoteRef/>
      </w:r>
      <w:r>
        <w:t xml:space="preserve"> Commission Delegated Regulation (EU) 2016/778 of 2 February 2016 supplementing Directive 2014/59/EU of the European Parliament and of the Council with regard to the circumstances and conditions under which the payment of extraordinary ex post contributions may be partially or entirely deferred, and on the criteria for the determination of the activities, services and operations with regard to critical functions, and for the determination of the business lines and associated services with regard to core business lines (OJ L 131, 20.5.2016, p.41).</w:t>
      </w:r>
    </w:p>
  </w:footnote>
  <w:footnote w:id="18">
    <w:p w:rsidRPr="00D66550" w:rsidR="00DA596D" w:rsidP="006574E4" w:rsidRDefault="00DA596D" w14:paraId="784C8501" w14:textId="77777777">
      <w:pPr>
        <w:pStyle w:val="FootnoteText"/>
        <w:rPr>
          <w:lang w:val="en-GB"/>
        </w:rPr>
      </w:pPr>
      <w:r>
        <w:rPr>
          <w:rStyle w:val="FootnoteReference"/>
        </w:rPr>
        <w:footnoteRef/>
      </w:r>
      <w:r>
        <w:t xml:space="preserve"> Directive (EU) 2015/2366 of the European Parliament and of the Council of 25 November 2015 on payment services in the internal market, amending Directives 2002/65/EC, 2009/110/EC and 2013/36/EU and Regulation (EU) No 1093/2010, and repealing Directive 2007/64/EC (OJ L 337, 23.12.2015, p.</w:t>
      </w:r>
      <w:r w:rsidDel="006B620B">
        <w:t xml:space="preserve"> </w:t>
      </w:r>
      <w:r>
        <w:t>35).</w:t>
      </w:r>
    </w:p>
  </w:footnote>
  <w:footnote w:id="19">
    <w:p w:rsidRPr="00CF2751" w:rsidR="00DA596D" w:rsidP="006574E4" w:rsidRDefault="00DA596D" w14:paraId="2A9763F0" w14:textId="77777777">
      <w:pPr>
        <w:pStyle w:val="FootnoteText"/>
        <w:rPr>
          <w:lang w:val="en-GB"/>
        </w:rPr>
      </w:pPr>
      <w:r>
        <w:rPr>
          <w:rStyle w:val="FootnoteReference"/>
        </w:rPr>
        <w:footnoteRef/>
      </w:r>
      <w:r>
        <w:t xml:space="preserve"> </w:t>
      </w:r>
      <w:r>
        <w:rPr>
          <w:lang w:val="en-GB"/>
        </w:rPr>
        <w:t>Regulation (EU) No 648/2012 of the European Parliament and of the Council of 4 July 2012 on OTC derivatives, central counterparties and trade repositories (OJ L 201, 27.7.2012, p.1).</w:t>
      </w:r>
    </w:p>
  </w:footnote>
  <w:footnote w:id="20">
    <w:p w:rsidRPr="00CF2751" w:rsidR="00DA596D" w:rsidP="006574E4" w:rsidRDefault="00DA596D" w14:paraId="0CE1A94F" w14:textId="77777777">
      <w:pPr>
        <w:pStyle w:val="FootnoteText"/>
        <w:rPr>
          <w:lang w:val="en-GB"/>
        </w:rPr>
      </w:pPr>
      <w:r>
        <w:rPr>
          <w:rStyle w:val="FootnoteReference"/>
        </w:rPr>
        <w:footnoteRef/>
      </w:r>
      <w:r>
        <w:t xml:space="preserve"> </w:t>
      </w:r>
      <w:r>
        <w:rPr>
          <w:lang w:val="en-GB"/>
        </w:rPr>
        <w:t>Directive 2014/65/EU of the European Parliament and of the Council of 15 May 2014 on markets in financial instruments and amending Directive 2002/92/EC and Directive 2011/61/EU (OJ L 173, 12.6.2014, p.</w:t>
      </w:r>
      <w:r w:rsidDel="00E22169">
        <w:rPr>
          <w:lang w:val="en-GB"/>
        </w:rPr>
        <w:t xml:space="preserve"> </w:t>
      </w:r>
      <w:r>
        <w:rPr>
          <w:lang w:val="en-GB"/>
        </w:rPr>
        <w:t>349).</w:t>
      </w:r>
    </w:p>
  </w:footnote>
  <w:footnote w:id="21">
    <w:p w:rsidRPr="00E11B70" w:rsidR="003433C6" w:rsidP="006574E4" w:rsidRDefault="003433C6" w14:paraId="41048A16" w14:textId="77777777">
      <w:pPr>
        <w:pStyle w:val="FootnoteText"/>
        <w:rPr>
          <w:lang w:val="en-GB"/>
        </w:rPr>
      </w:pPr>
      <w:r w:rsidRPr="00E11B70">
        <w:footnoteRef/>
      </w:r>
      <w:r w:rsidRPr="00E11B70">
        <w:t xml:space="preserve"> As defined in para 13 of the EBA Resolvability Guidelines</w:t>
      </w:r>
    </w:p>
  </w:footnote>
  <w:footnote w:id="22">
    <w:p w:rsidRPr="00963B9C" w:rsidR="003433C6" w:rsidP="006574E4" w:rsidRDefault="003433C6" w14:paraId="66323B17" w14:textId="77777777">
      <w:pPr>
        <w:pStyle w:val="FootnoteText"/>
      </w:pPr>
      <w:r w:rsidRPr="00963B9C">
        <w:rPr>
          <w:rStyle w:val="FootnoteReference"/>
          <w:rFonts w:ascii="Verdana" w:hAnsi="Verdana"/>
          <w:sz w:val="16"/>
          <w:szCs w:val="16"/>
        </w:rPr>
        <w:footnoteRef/>
      </w:r>
      <w:r w:rsidRPr="00963B9C">
        <w:t xml:space="preserve"> Commission Delegated Regul</w:t>
      </w:r>
      <w:r>
        <w:t xml:space="preserve">ation (DR) 2016/778, Article 6 and </w:t>
      </w:r>
      <w:r w:rsidRPr="00E11B70">
        <w:t>recital (8).</w:t>
      </w:r>
    </w:p>
  </w:footnote>
  <w:footnote w:id="23">
    <w:p w:rsidRPr="00854CF9" w:rsidR="00BD0105" w:rsidP="00BD0105" w:rsidRDefault="00BD0105" w14:paraId="2493F32B" w14:textId="5AFA5E6B">
      <w:pPr>
        <w:pStyle w:val="FootnoteText"/>
      </w:pPr>
      <w:r w:rsidRPr="00963B9C">
        <w:rPr>
          <w:rStyle w:val="FootnoteReference"/>
          <w:rFonts w:ascii="Verdana" w:hAnsi="Verdana"/>
          <w:sz w:val="16"/>
          <w:szCs w:val="16"/>
        </w:rPr>
        <w:footnoteRef/>
      </w:r>
      <w:r w:rsidRPr="00963B9C">
        <w:t xml:space="preserve"> </w:t>
      </w:r>
      <w:r>
        <w:t>Commission Delegated Regulation (DR)</w:t>
      </w:r>
      <w:r w:rsidRPr="00963B9C">
        <w:t xml:space="preserve"> 2016/778, Article 7.</w:t>
      </w:r>
      <w:r w:rsidRPr="00854CF9">
        <w:t xml:space="preserve"> </w:t>
      </w:r>
    </w:p>
  </w:footnote>
  <w:footnote w:id="24">
    <w:p w:rsidRPr="00854CF9" w:rsidR="003433C6" w:rsidP="006574E4" w:rsidRDefault="003433C6" w14:paraId="387FE2B3" w14:textId="77777777">
      <w:pPr>
        <w:pStyle w:val="FootnoteText"/>
      </w:pPr>
      <w:r w:rsidRPr="00854CF9">
        <w:footnoteRef/>
      </w:r>
      <w:r w:rsidRPr="00854CF9">
        <w:t xml:space="preserve"> The continuity of essential services may be necessary to achieve resolution objectives other than the maintenance of critical functions (e.g. financial stability by ensuring viability of the post-resolution entity). </w:t>
      </w:r>
    </w:p>
    <w:p w:rsidRPr="00854CF9" w:rsidR="003433C6" w:rsidP="006574E4" w:rsidRDefault="003433C6" w14:paraId="1D28C84B" w14:textId="77777777">
      <w:pPr>
        <w:pStyle w:val="FootnoteText"/>
      </w:pPr>
    </w:p>
  </w:footnote>
  <w:footnote w:id="25">
    <w:p w:rsidRPr="00F2550A" w:rsidR="003433C6" w:rsidP="006574E4" w:rsidRDefault="003433C6" w14:paraId="7126556C" w14:textId="77777777">
      <w:pPr>
        <w:pStyle w:val="FootnoteText"/>
        <w:rPr>
          <w:rFonts w:ascii="Segoe UI" w:hAnsi="Segoe UI" w:cs="Segoe UI"/>
          <w:lang w:val="en-GB"/>
        </w:rPr>
      </w:pPr>
      <w:r w:rsidRPr="00F2550A">
        <w:footnoteRef/>
      </w:r>
      <w:r w:rsidRPr="00F2550A">
        <w:t xml:space="preserve"> The provisions of BRRD Title IV Chapter VI provide for resolution-resilience notably in the context of the exercise of powers by the resolution authority, except</w:t>
      </w:r>
      <w:r>
        <w:t xml:space="preserve"> for the implementation of the b</w:t>
      </w:r>
      <w:r w:rsidRPr="00F2550A">
        <w:t xml:space="preserve">usiness </w:t>
      </w:r>
      <w:r>
        <w:t>r</w:t>
      </w:r>
      <w:r w:rsidRPr="00F2550A">
        <w:t xml:space="preserve">eorganization </w:t>
      </w:r>
      <w:r>
        <w:t>p</w:t>
      </w:r>
      <w:r w:rsidRPr="00F2550A">
        <w:t>lans (BRPs).</w:t>
      </w:r>
    </w:p>
  </w:footnote>
  <w:footnote w:id="26">
    <w:p w:rsidRPr="00F2550A" w:rsidR="003433C6" w:rsidP="006574E4" w:rsidRDefault="003433C6" w14:paraId="1F383E7A" w14:textId="77777777">
      <w:pPr>
        <w:pStyle w:val="FootnoteText"/>
        <w:rPr>
          <w:rFonts w:ascii="Segoe UI" w:hAnsi="Segoe UI" w:cs="Segoe UI"/>
          <w:lang w:val="en-GB"/>
        </w:rPr>
      </w:pPr>
      <w:r w:rsidRPr="00F2550A">
        <w:footnoteRef/>
      </w:r>
      <w:r w:rsidRPr="00F2550A">
        <w:t xml:space="preserve"> The provisions of BRRD Title IV Chapter VI provide for resolution-resilience notably in the context of the exercise of powers by the resolution authority, except</w:t>
      </w:r>
      <w:r>
        <w:t xml:space="preserve"> for the implementation of the b</w:t>
      </w:r>
      <w:r w:rsidRPr="00F2550A">
        <w:t xml:space="preserve">usiness </w:t>
      </w:r>
      <w:r>
        <w:t>r</w:t>
      </w:r>
      <w:r w:rsidRPr="00F2550A">
        <w:t xml:space="preserve">eorganization </w:t>
      </w:r>
      <w:r>
        <w:t>p</w:t>
      </w:r>
      <w:r w:rsidRPr="00F2550A">
        <w:t>lans (BRPs).</w:t>
      </w:r>
    </w:p>
  </w:footnote>
  <w:footnote w:id="27">
    <w:p w:rsidRPr="00E148FA" w:rsidR="00DE5943" w:rsidP="00DE5943" w:rsidRDefault="00DE5943" w14:paraId="250AC0BA" w14:textId="77777777">
      <w:pPr>
        <w:pStyle w:val="TableParagraph"/>
        <w:spacing w:before="108"/>
        <w:ind w:left="85"/>
        <w:jc w:val="both"/>
        <w:rPr>
          <w:lang w:val="en-GB"/>
        </w:rPr>
      </w:pPr>
      <w:r>
        <w:rPr>
          <w:rStyle w:val="FootnoteReference"/>
        </w:rPr>
        <w:footnoteRef/>
      </w:r>
      <w:r>
        <w:t xml:space="preserve"> </w:t>
      </w:r>
      <w:r w:rsidRPr="00591BC0">
        <w:rPr>
          <w:rFonts w:ascii="Times New Roman" w:hAnsi="Times New Roman" w:cs="Times New Roman" w:eastAsiaTheme="minorEastAsia"/>
          <w:sz w:val="18"/>
          <w:szCs w:val="18"/>
          <w:lang w:val="en-GB"/>
        </w:rPr>
        <w:t>Debt securities, equities and other securities, repo.</w:t>
      </w:r>
    </w:p>
  </w:footnote>
  <w:footnote w:id="28">
    <w:p w:rsidRPr="001C34E8" w:rsidR="00DE5943" w:rsidP="00DE5943" w:rsidRDefault="00DE5943" w14:paraId="28906900" w14:textId="77777777">
      <w:pPr>
        <w:pStyle w:val="TableParagraph"/>
        <w:spacing w:before="108"/>
        <w:ind w:left="85"/>
        <w:jc w:val="both"/>
      </w:pPr>
      <w:r>
        <w:rPr>
          <w:rStyle w:val="FootnoteReference"/>
        </w:rPr>
        <w:footnoteRef/>
      </w:r>
      <w:r>
        <w:t xml:space="preserve"> </w:t>
      </w:r>
      <w:r w:rsidRPr="00591BC0">
        <w:rPr>
          <w:rFonts w:ascii="Times New Roman" w:hAnsi="Times New Roman" w:cs="Times New Roman" w:eastAsiaTheme="minorEastAsia"/>
          <w:sz w:val="18"/>
          <w:szCs w:val="18"/>
          <w:lang w:val="en-GB"/>
        </w:rPr>
        <w:t>Cfr. ECB Payments and markets glossary: Direct participant</w:t>
      </w:r>
      <w:r>
        <w:rPr>
          <w:rFonts w:ascii="Times New Roman" w:hAnsi="Times New Roman" w:cs="Times New Roman" w:eastAsiaTheme="minorEastAsia"/>
          <w:sz w:val="18"/>
          <w:szCs w:val="18"/>
          <w:lang w:val="en-GB"/>
        </w:rPr>
        <w:t xml:space="preserve">: </w:t>
      </w:r>
      <w:r w:rsidRPr="00591BC0">
        <w:rPr>
          <w:rFonts w:ascii="Times New Roman" w:hAnsi="Times New Roman" w:cs="Times New Roman" w:eastAsiaTheme="minorEastAsia"/>
          <w:sz w:val="18"/>
          <w:szCs w:val="18"/>
          <w:lang w:val="en-GB"/>
        </w:rPr>
        <w:t>“a participant in a […] system that can perform all activities allowed in the system without using an intermediary (including, in particular, the direct inputting of orders in the system and the performance of settlement operations).”; Indirect participant</w:t>
      </w:r>
      <w:r>
        <w:rPr>
          <w:rFonts w:ascii="Times New Roman" w:hAnsi="Times New Roman" w:cs="Times New Roman" w:eastAsiaTheme="minorEastAsia"/>
          <w:sz w:val="18"/>
          <w:szCs w:val="18"/>
          <w:lang w:val="en-GB"/>
        </w:rPr>
        <w:t xml:space="preserve">: </w:t>
      </w:r>
      <w:r w:rsidRPr="00591BC0">
        <w:rPr>
          <w:rFonts w:ascii="Times New Roman" w:hAnsi="Times New Roman" w:cs="Times New Roman" w:eastAsiaTheme="minorEastAsia"/>
          <w:sz w:val="18"/>
          <w:szCs w:val="18"/>
          <w:lang w:val="en-GB"/>
        </w:rPr>
        <w:t>“a participant in a […] system with a tiering arrangement that uses a direct participant as an intermediary in order to perform some of the activities allowed in the system (particularly settlement)”.</w:t>
      </w:r>
    </w:p>
    <w:p w:rsidRPr="000A281C" w:rsidR="00DE5943" w:rsidP="006574E4" w:rsidRDefault="00DE5943" w14:paraId="4718FF23" w14:textId="77777777">
      <w:pPr>
        <w:pStyle w:val="FootnoteText"/>
        <w:rPr>
          <w:lang w:val="en-GB"/>
        </w:rPr>
      </w:pPr>
    </w:p>
  </w:footnote>
  <w:footnote w:id="29">
    <w:p w:rsidRPr="00C77D44" w:rsidR="00DE5943" w:rsidP="006574E4" w:rsidRDefault="00DE5943" w14:paraId="2500CF43" w14:textId="5817AD8B">
      <w:pPr>
        <w:pStyle w:val="FootnoteText"/>
        <w:rPr>
          <w:lang w:val="en-GB"/>
        </w:rPr>
      </w:pPr>
      <w:r>
        <w:rPr>
          <w:rStyle w:val="FootnoteReference"/>
        </w:rPr>
        <w:footnoteRef/>
      </w:r>
      <w:r>
        <w:t xml:space="preserve"> </w:t>
      </w:r>
      <w:r>
        <w:rPr>
          <w:lang w:val="en-GB"/>
        </w:rPr>
        <w:t xml:space="preserve">For the definition of resolution-resilience for the purposes of this report, </w:t>
      </w:r>
      <w:r w:rsidRPr="00353203">
        <w:rPr>
          <w:lang w:val="en-GB"/>
        </w:rPr>
        <w:t>refer to Z.08.01 column 150.</w:t>
      </w:r>
    </w:p>
  </w:footnote>
  <w:footnote w:id="30">
    <w:p w:rsidRPr="005F5507" w:rsidR="00582930" w:rsidP="006574E4" w:rsidRDefault="00582930" w14:paraId="369E004C" w14:textId="41EF58F8">
      <w:pPr>
        <w:pStyle w:val="FootnoteText"/>
        <w:rPr>
          <w:lang w:val="en-GB"/>
        </w:rPr>
      </w:pPr>
      <w:r>
        <w:rPr>
          <w:rStyle w:val="FootnoteReference"/>
        </w:rPr>
        <w:footnoteRef/>
      </w:r>
      <w:r>
        <w:t xml:space="preserve"> </w:t>
      </w:r>
      <w:r w:rsidRPr="00582930">
        <w:t>For the purposes of relevant metrics for reporting, ‘Card Schemes’ are assimilated to ‘PS’; ‘NA’ are assimilated to ‘CSD’ if they deal with securities and ‘PS’ if they deal with cash services.</w:t>
      </w:r>
    </w:p>
  </w:footnote>
  <w:footnote w:id="31">
    <w:p w:rsidRPr="00C77D44" w:rsidR="00DE5943" w:rsidP="00DE5943" w:rsidRDefault="00DE5943" w14:paraId="434A1859" w14:textId="77777777">
      <w:pPr>
        <w:pStyle w:val="TableParagraph"/>
        <w:spacing w:before="108"/>
        <w:jc w:val="both"/>
        <w:rPr>
          <w:rFonts w:ascii="Times New Roman" w:hAnsi="Times New Roman" w:eastAsia="Times New Roman" w:cs="Times New Roman"/>
          <w:sz w:val="20"/>
          <w:szCs w:val="20"/>
        </w:rPr>
      </w:pPr>
      <w:r>
        <w:rPr>
          <w:rStyle w:val="FootnoteReference"/>
        </w:rPr>
        <w:footnoteRef/>
      </w:r>
      <w:r>
        <w:t xml:space="preserve"> </w:t>
      </w:r>
      <w:r w:rsidRPr="00C77D44">
        <w:rPr>
          <w:rFonts w:ascii="Times New Roman" w:hAnsi="Times New Roman" w:cs="Times New Roman" w:eastAsiaTheme="minorEastAsia"/>
          <w:sz w:val="18"/>
          <w:szCs w:val="18"/>
        </w:rPr>
        <w:t>For the purposes of this report, the meaning of account types should be construed in accordance with EMIR art. 39 (4) and (5). The meaning of position should be construed in accordance with EMIR art 2 (3), 39 (4) and 39 (5). Client accounts: only report where the Legal Entity provides indirect access to the FMI.</w:t>
      </w:r>
    </w:p>
  </w:footnote>
  <w:footnote w:id="32">
    <w:p w:rsidRPr="009D1E9E" w:rsidR="00DE5943" w:rsidP="006574E4" w:rsidRDefault="00DE5943" w14:paraId="0C94D97D" w14:textId="77777777">
      <w:pPr>
        <w:pStyle w:val="FootnoteText"/>
        <w:rPr>
          <w:lang w:val="en-GB"/>
        </w:rPr>
      </w:pPr>
      <w:r>
        <w:rPr>
          <w:rStyle w:val="FootnoteReference"/>
        </w:rPr>
        <w:footnoteRef/>
      </w:r>
      <w:r>
        <w:t xml:space="preserve"> Cfr</w:t>
      </w:r>
      <w:r w:rsidRPr="009D1E9E">
        <w:t xml:space="preserve"> ECB's methodological notes on Securities trading, clearing and settlement statistics</w:t>
      </w:r>
      <w:r>
        <w:t>,.</w:t>
      </w:r>
    </w:p>
  </w:footnote>
  <w:footnote w:id="33">
    <w:p w:rsidRPr="005F5507" w:rsidR="000A00D6" w:rsidRDefault="000A00D6" w14:paraId="1A047F60" w14:textId="50194D5B">
      <w:pPr>
        <w:pStyle w:val="FootnoteText"/>
        <w:rPr>
          <w:lang w:val="en-GB"/>
        </w:rPr>
      </w:pPr>
      <w:r>
        <w:rPr>
          <w:rStyle w:val="FootnoteReference"/>
        </w:rPr>
        <w:footnoteRef/>
      </w:r>
      <w:r>
        <w:t xml:space="preserve"> </w:t>
      </w:r>
      <w:r>
        <w:rPr>
          <w:lang w:val="en-GB"/>
        </w:rPr>
        <w:t>Certain</w:t>
      </w:r>
      <w:r w:rsidRPr="005F5507">
        <w:rPr>
          <w:lang w:val="en-GB"/>
        </w:rPr>
        <w:t xml:space="preserve"> </w:t>
      </w:r>
      <w:r w:rsidR="00E00B3E">
        <w:rPr>
          <w:lang w:val="en-GB"/>
        </w:rPr>
        <w:t>Equity</w:t>
      </w:r>
      <w:r>
        <w:rPr>
          <w:lang w:val="en-GB"/>
        </w:rPr>
        <w:t xml:space="preserve"> instruments, such as cooperative participations, do not fall under the definition of securities, but should still be reported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2034B" w:rsidRDefault="00E2034B" w14:paraId="3CF5E2A3" w14:textId="1627B925">
    <w:pPr>
      <w:pStyle w:val="Header"/>
    </w:pPr>
    <w:r>
      <w:rPr>
        <w:noProof/>
        <w:lang w:val="en-GB" w:eastAsia="en-GB"/>
      </w:rPr>
      <mc:AlternateContent>
        <mc:Choice Requires="wps">
          <w:drawing>
            <wp:anchor distT="0" distB="0" distL="0" distR="0" simplePos="0" relativeHeight="251658241" behindDoc="0" locked="0" layoutInCell="1" allowOverlap="1" wp14:anchorId="0CF68980" wp14:editId="080D2000">
              <wp:simplePos x="635" y="635"/>
              <wp:positionH relativeFrom="leftMargin">
                <wp:align>left</wp:align>
              </wp:positionH>
              <wp:positionV relativeFrom="paragraph">
                <wp:posOffset>635</wp:posOffset>
              </wp:positionV>
              <wp:extent cx="443865" cy="443865"/>
              <wp:effectExtent l="0" t="0" r="3175" b="4445"/>
              <wp:wrapSquare wrapText="bothSides"/>
              <wp:docPr id="2" name="Text Box 2"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C64C8" w:rsidR="00E2034B" w:rsidRDefault="00E2034B" w14:paraId="66185196" w14:textId="4DFEC8D3">
                          <w:pPr>
                            <w:rPr>
                              <w:rFonts w:ascii="Calibri" w:hAnsi="Calibri" w:eastAsia="Calibri" w:cs="Calibri"/>
                              <w:color w:val="000000"/>
                              <w:sz w:val="24"/>
                            </w:rPr>
                          </w:pPr>
                          <w:r w:rsidRPr="00CC64C8">
                            <w:rPr>
                              <w:rFonts w:ascii="Calibri" w:hAnsi="Calibri" w:eastAsia="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0B0BB601">
            <v:shapetype id="_x0000_t202" coordsize="21600,21600" o:spt="202" path="m,l,21600r21600,l21600,xe" w14:anchorId="0CF68980">
              <v:stroke joinstyle="miter"/>
              <v:path gradientshapeok="t" o:connecttype="rect"/>
            </v:shapetype>
            <v:shape id="Text Box 2"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EBA Regular Us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mycecLAIAAFEEAAAOAAAAAAAAAAAAAAAAAC4CAABkcnMvZTJv&#10;RG9jLnhtbFBLAQItABQABgAIAAAAIQA0gToW2gAAAAMBAAAPAAAAAAAAAAAAAAAAAIYEAABkcnMv&#10;ZG93bnJldi54bWxQSwUGAAAAAAQABADzAAAAjQUAAAAA&#10;">
              <v:textbox style="mso-fit-shape-to-text:t" inset="5pt,0,0,0">
                <w:txbxContent>
                  <w:p w:rsidRPr="00CC64C8" w:rsidR="00E2034B" w:rsidRDefault="00E2034B" w14:paraId="021C3093" w14:textId="4DFEC8D3">
                    <w:pPr>
                      <w:rPr>
                        <w:rFonts w:ascii="Calibri" w:hAnsi="Calibri" w:eastAsia="Calibri" w:cs="Calibri"/>
                        <w:color w:val="000000"/>
                        <w:sz w:val="24"/>
                      </w:rPr>
                    </w:pPr>
                    <w:r w:rsidRPr="00CC64C8">
                      <w:rPr>
                        <w:rFonts w:ascii="Calibri" w:hAnsi="Calibri" w:eastAsia="Calibri" w:cs="Calibri"/>
                        <w:color w:val="000000"/>
                        <w:sz w:val="24"/>
                      </w:rPr>
                      <w:t>EBA Regular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0E60D6" w:rsidR="00E2034B" w:rsidP="000E60D6" w:rsidRDefault="00E2034B" w14:paraId="435AC179" w14:textId="32A9D319">
    <w:pPr>
      <w:pStyle w:val="Header"/>
      <w:jc w:val="cente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0" distR="0" simplePos="0" relativeHeight="251658242" behindDoc="0" locked="0" layoutInCell="1" allowOverlap="1" wp14:anchorId="3814411F" wp14:editId="51F25022">
              <wp:simplePos x="914400" y="447675"/>
              <wp:positionH relativeFrom="leftMargin">
                <wp:align>left</wp:align>
              </wp:positionH>
              <wp:positionV relativeFrom="paragraph">
                <wp:posOffset>635</wp:posOffset>
              </wp:positionV>
              <wp:extent cx="443865" cy="443865"/>
              <wp:effectExtent l="0" t="0" r="3175" b="4445"/>
              <wp:wrapSquare wrapText="bothSides"/>
              <wp:docPr id="3" name="Text Box 3"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C64C8" w:rsidR="00E2034B" w:rsidRDefault="00E2034B" w14:paraId="34CBDE88" w14:textId="0C24C826">
                          <w:pPr>
                            <w:rPr>
                              <w:rFonts w:ascii="Calibri" w:hAnsi="Calibri" w:eastAsia="Calibri" w:cs="Calibri"/>
                              <w:color w:val="000000"/>
                              <w:sz w:val="24"/>
                            </w:rPr>
                          </w:pPr>
                          <w:r w:rsidRPr="00CC64C8">
                            <w:rPr>
                              <w:rFonts w:ascii="Calibri" w:hAnsi="Calibri" w:eastAsia="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31F7E1C8">
            <v:shapetype id="_x0000_t202" coordsize="21600,21600" o:spt="202" path="m,l,21600r21600,l21600,xe" w14:anchorId="3814411F">
              <v:stroke joinstyle="miter"/>
              <v:path gradientshapeok="t" o:connecttype="rect"/>
            </v:shapetype>
            <v:shape id="Text Box 3"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EBA Regular Us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">
              <v:textbox style="mso-fit-shape-to-text:t" inset="5pt,0,0,0">
                <w:txbxContent>
                  <w:p w:rsidRPr="00CC64C8" w:rsidR="00E2034B" w:rsidRDefault="00E2034B" w14:paraId="6523C33E" w14:textId="0C24C826">
                    <w:pPr>
                      <w:rPr>
                        <w:rFonts w:ascii="Calibri" w:hAnsi="Calibri" w:eastAsia="Calibri" w:cs="Calibri"/>
                        <w:color w:val="000000"/>
                        <w:sz w:val="24"/>
                      </w:rPr>
                    </w:pPr>
                    <w:r w:rsidRPr="00CC64C8">
                      <w:rPr>
                        <w:rFonts w:ascii="Calibri" w:hAnsi="Calibri" w:eastAsia="Calibri" w:cs="Calibri"/>
                        <w:color w:val="000000"/>
                        <w:sz w:val="24"/>
                      </w:rPr>
                      <w:t>EBA Regular Use</w:t>
                    </w:r>
                  </w:p>
                </w:txbxContent>
              </v:textbox>
              <w10:wrap type="square" anchorx="margin"/>
            </v:shape>
          </w:pict>
        </mc:Fallback>
      </mc:AlternateContent>
    </w:r>
    <w:r w:rsidRPr="000E60D6">
      <w:rPr>
        <w:rFonts w:ascii="Times New Roman" w:hAnsi="Times New Roman" w:cs="Times New Roman"/>
      </w:rPr>
      <w:t>EN</w:t>
    </w:r>
  </w:p>
  <w:p w:rsidRPr="000E60D6" w:rsidR="00E2034B" w:rsidP="000E60D6" w:rsidRDefault="00E2034B" w14:paraId="0BBD0984" w14:textId="77777777">
    <w:pPr>
      <w:pStyle w:val="Header"/>
      <w:jc w:val="center"/>
      <w:rPr>
        <w:rFonts w:ascii="Times New Roman" w:hAnsi="Times New Roman" w:cs="Times New Roman"/>
      </w:rPr>
    </w:pPr>
    <w:r w:rsidRPr="000E60D6">
      <w:rPr>
        <w:rFonts w:ascii="Times New Roman" w:hAnsi="Times New Roman" w:cs="Times New Roman"/>
      </w:rPr>
      <w:t>ANNEX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2034B" w:rsidRDefault="00E2034B" w14:paraId="0779B630" w14:textId="5552C907">
    <w:pPr>
      <w:pStyle w:val="Header"/>
    </w:pPr>
    <w:r>
      <w:rPr>
        <w:noProof/>
        <w:lang w:val="en-GB" w:eastAsia="en-GB"/>
      </w:rPr>
      <mc:AlternateContent>
        <mc:Choice Requires="wps">
          <w:drawing>
            <wp:anchor distT="0" distB="0" distL="0" distR="0" simplePos="0" relativeHeight="251658240" behindDoc="0" locked="0" layoutInCell="1" allowOverlap="1" wp14:anchorId="63F6FFFC" wp14:editId="234C67BF">
              <wp:simplePos x="635" y="635"/>
              <wp:positionH relativeFrom="leftMargin">
                <wp:align>left</wp:align>
              </wp:positionH>
              <wp:positionV relativeFrom="paragraph">
                <wp:posOffset>635</wp:posOffset>
              </wp:positionV>
              <wp:extent cx="443865" cy="443865"/>
              <wp:effectExtent l="0" t="0" r="3175" b="4445"/>
              <wp:wrapSquare wrapText="bothSides"/>
              <wp:docPr id="1" name="Text Box 1"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C64C8" w:rsidR="00E2034B" w:rsidRDefault="00E2034B" w14:paraId="56A48C46" w14:textId="01A6422F">
                          <w:pPr>
                            <w:rPr>
                              <w:rFonts w:ascii="Calibri" w:hAnsi="Calibri" w:eastAsia="Calibri" w:cs="Calibri"/>
                              <w:color w:val="000000"/>
                              <w:sz w:val="24"/>
                            </w:rPr>
                          </w:pPr>
                          <w:r w:rsidRPr="00CC64C8">
                            <w:rPr>
                              <w:rFonts w:ascii="Calibri" w:hAnsi="Calibri" w:eastAsia="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6B36402B">
            <v:shapetype id="_x0000_t202" coordsize="21600,21600" o:spt="202" path="m,l,21600r21600,l21600,xe" w14:anchorId="63F6FFFC">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EBA Regular Us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">
              <v:textbox style="mso-fit-shape-to-text:t" inset="5pt,0,0,0">
                <w:txbxContent>
                  <w:p w:rsidRPr="00CC64C8" w:rsidR="00E2034B" w:rsidRDefault="00E2034B" w14:paraId="182D49DE" w14:textId="01A6422F">
                    <w:pPr>
                      <w:rPr>
                        <w:rFonts w:ascii="Calibri" w:hAnsi="Calibri" w:eastAsia="Calibri" w:cs="Calibri"/>
                        <w:color w:val="000000"/>
                        <w:sz w:val="24"/>
                      </w:rPr>
                    </w:pPr>
                    <w:r w:rsidRPr="00CC64C8">
                      <w:rPr>
                        <w:rFonts w:ascii="Calibri" w:hAnsi="Calibri" w:eastAsia="Calibri" w:cs="Calibri"/>
                        <w:color w:val="000000"/>
                        <w:sz w:val="24"/>
                      </w:rPr>
                      <w:t>EBA Regular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067A5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1C50DE"/>
    <w:multiLevelType w:val="hybridMultilevel"/>
    <w:tmpl w:val="FFFFFFFF"/>
    <w:lvl w:ilvl="0" w:tplc="34341322">
      <w:start w:val="1"/>
      <w:numFmt w:val="bullet"/>
      <w:lvlText w:val="·"/>
      <w:lvlJc w:val="left"/>
      <w:pPr>
        <w:ind w:left="720" w:hanging="360"/>
      </w:pPr>
      <w:rPr>
        <w:rFonts w:hint="default" w:ascii="Symbol" w:hAnsi="Symbol"/>
      </w:rPr>
    </w:lvl>
    <w:lvl w:ilvl="1" w:tplc="74E4A804">
      <w:start w:val="1"/>
      <w:numFmt w:val="decimal"/>
      <w:lvlText w:val="%2."/>
      <w:lvlJc w:val="left"/>
      <w:pPr>
        <w:ind w:left="1440" w:hanging="360"/>
      </w:pPr>
      <w:rPr>
        <w:rFonts w:hint="default"/>
      </w:rPr>
    </w:lvl>
    <w:lvl w:ilvl="2" w:tplc="40649D5A">
      <w:start w:val="1"/>
      <w:numFmt w:val="bullet"/>
      <w:lvlText w:val=""/>
      <w:lvlJc w:val="left"/>
      <w:pPr>
        <w:ind w:left="2160" w:hanging="360"/>
      </w:pPr>
      <w:rPr>
        <w:rFonts w:hint="default" w:ascii="Wingdings" w:hAnsi="Wingdings"/>
      </w:rPr>
    </w:lvl>
    <w:lvl w:ilvl="3" w:tplc="00287E08">
      <w:start w:val="1"/>
      <w:numFmt w:val="bullet"/>
      <w:lvlText w:val=""/>
      <w:lvlJc w:val="left"/>
      <w:pPr>
        <w:ind w:left="2880" w:hanging="360"/>
      </w:pPr>
      <w:rPr>
        <w:rFonts w:hint="default" w:ascii="Symbol" w:hAnsi="Symbol"/>
      </w:rPr>
    </w:lvl>
    <w:lvl w:ilvl="4" w:tplc="5F280878">
      <w:start w:val="1"/>
      <w:numFmt w:val="bullet"/>
      <w:lvlText w:val="o"/>
      <w:lvlJc w:val="left"/>
      <w:pPr>
        <w:ind w:left="3600" w:hanging="360"/>
      </w:pPr>
      <w:rPr>
        <w:rFonts w:hint="default" w:ascii="Courier New" w:hAnsi="Courier New"/>
      </w:rPr>
    </w:lvl>
    <w:lvl w:ilvl="5" w:tplc="396C2F7A">
      <w:start w:val="1"/>
      <w:numFmt w:val="bullet"/>
      <w:lvlText w:val=""/>
      <w:lvlJc w:val="left"/>
      <w:pPr>
        <w:ind w:left="4320" w:hanging="360"/>
      </w:pPr>
      <w:rPr>
        <w:rFonts w:hint="default" w:ascii="Wingdings" w:hAnsi="Wingdings"/>
      </w:rPr>
    </w:lvl>
    <w:lvl w:ilvl="6" w:tplc="CA969B6A">
      <w:start w:val="1"/>
      <w:numFmt w:val="bullet"/>
      <w:lvlText w:val=""/>
      <w:lvlJc w:val="left"/>
      <w:pPr>
        <w:ind w:left="5040" w:hanging="360"/>
      </w:pPr>
      <w:rPr>
        <w:rFonts w:hint="default" w:ascii="Symbol" w:hAnsi="Symbol"/>
      </w:rPr>
    </w:lvl>
    <w:lvl w:ilvl="7" w:tplc="B854FFFA">
      <w:start w:val="1"/>
      <w:numFmt w:val="bullet"/>
      <w:lvlText w:val="o"/>
      <w:lvlJc w:val="left"/>
      <w:pPr>
        <w:ind w:left="5760" w:hanging="360"/>
      </w:pPr>
      <w:rPr>
        <w:rFonts w:hint="default" w:ascii="Courier New" w:hAnsi="Courier New"/>
      </w:rPr>
    </w:lvl>
    <w:lvl w:ilvl="8" w:tplc="E5707972">
      <w:start w:val="1"/>
      <w:numFmt w:val="bullet"/>
      <w:lvlText w:val=""/>
      <w:lvlJc w:val="left"/>
      <w:pPr>
        <w:ind w:left="6480" w:hanging="360"/>
      </w:pPr>
      <w:rPr>
        <w:rFonts w:hint="default" w:ascii="Wingdings" w:hAnsi="Wingdings"/>
      </w:rPr>
    </w:lvl>
  </w:abstractNum>
  <w:abstractNum w:abstractNumId="2" w15:restartNumberingAfterBreak="0">
    <w:nsid w:val="005C0289"/>
    <w:multiLevelType w:val="hybridMultilevel"/>
    <w:tmpl w:val="FFFFFFFF"/>
    <w:lvl w:ilvl="0" w:tplc="F1FCE380">
      <w:start w:val="52"/>
      <w:numFmt w:val="decimal"/>
      <w:lvlText w:val="%1."/>
      <w:lvlJc w:val="left"/>
      <w:pPr>
        <w:ind w:left="720" w:hanging="360"/>
      </w:pPr>
    </w:lvl>
    <w:lvl w:ilvl="1" w:tplc="24A2D92E">
      <w:start w:val="1"/>
      <w:numFmt w:val="lowerLetter"/>
      <w:lvlText w:val="%2."/>
      <w:lvlJc w:val="left"/>
      <w:pPr>
        <w:ind w:left="1440" w:hanging="360"/>
      </w:pPr>
    </w:lvl>
    <w:lvl w:ilvl="2" w:tplc="46D02270">
      <w:start w:val="1"/>
      <w:numFmt w:val="lowerRoman"/>
      <w:lvlText w:val="%3."/>
      <w:lvlJc w:val="right"/>
      <w:pPr>
        <w:ind w:left="2160" w:hanging="180"/>
      </w:pPr>
    </w:lvl>
    <w:lvl w:ilvl="3" w:tplc="A10CD14E">
      <w:start w:val="1"/>
      <w:numFmt w:val="decimal"/>
      <w:lvlText w:val="%4."/>
      <w:lvlJc w:val="left"/>
      <w:pPr>
        <w:ind w:left="2880" w:hanging="360"/>
      </w:pPr>
    </w:lvl>
    <w:lvl w:ilvl="4" w:tplc="533EF154">
      <w:start w:val="1"/>
      <w:numFmt w:val="lowerLetter"/>
      <w:lvlText w:val="%5."/>
      <w:lvlJc w:val="left"/>
      <w:pPr>
        <w:ind w:left="3600" w:hanging="360"/>
      </w:pPr>
    </w:lvl>
    <w:lvl w:ilvl="5" w:tplc="E196BB68">
      <w:start w:val="1"/>
      <w:numFmt w:val="lowerRoman"/>
      <w:lvlText w:val="%6."/>
      <w:lvlJc w:val="right"/>
      <w:pPr>
        <w:ind w:left="4320" w:hanging="180"/>
      </w:pPr>
    </w:lvl>
    <w:lvl w:ilvl="6" w:tplc="F59AB4D2">
      <w:start w:val="1"/>
      <w:numFmt w:val="decimal"/>
      <w:lvlText w:val="%7."/>
      <w:lvlJc w:val="left"/>
      <w:pPr>
        <w:ind w:left="5040" w:hanging="360"/>
      </w:pPr>
    </w:lvl>
    <w:lvl w:ilvl="7" w:tplc="6AD009EC">
      <w:start w:val="1"/>
      <w:numFmt w:val="lowerLetter"/>
      <w:lvlText w:val="%8."/>
      <w:lvlJc w:val="left"/>
      <w:pPr>
        <w:ind w:left="5760" w:hanging="360"/>
      </w:pPr>
    </w:lvl>
    <w:lvl w:ilvl="8" w:tplc="20BC22BA">
      <w:start w:val="1"/>
      <w:numFmt w:val="lowerRoman"/>
      <w:lvlText w:val="%9."/>
      <w:lvlJc w:val="right"/>
      <w:pPr>
        <w:ind w:left="6480" w:hanging="180"/>
      </w:p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1734EE9"/>
    <w:multiLevelType w:val="hybridMultilevel"/>
    <w:tmpl w:val="0C0A2588"/>
    <w:lvl w:ilvl="0" w:tplc="594AD1D0">
      <w:start w:val="1"/>
      <w:numFmt w:val="decimal"/>
      <w:lvlText w:val="%1."/>
      <w:lvlJc w:val="left"/>
      <w:pPr>
        <w:ind w:left="720" w:hanging="360"/>
      </w:pPr>
    </w:lvl>
    <w:lvl w:ilvl="1" w:tplc="916E9DC8">
      <w:start w:val="1"/>
      <w:numFmt w:val="lowerLetter"/>
      <w:lvlText w:val="%2."/>
      <w:lvlJc w:val="left"/>
      <w:pPr>
        <w:ind w:left="1440" w:hanging="360"/>
      </w:pPr>
    </w:lvl>
    <w:lvl w:ilvl="2" w:tplc="6F1041A2">
      <w:start w:val="1"/>
      <w:numFmt w:val="lowerRoman"/>
      <w:lvlText w:val="%3."/>
      <w:lvlJc w:val="right"/>
      <w:pPr>
        <w:ind w:left="2160" w:hanging="180"/>
      </w:pPr>
    </w:lvl>
    <w:lvl w:ilvl="3" w:tplc="6AFA64C2">
      <w:start w:val="1"/>
      <w:numFmt w:val="decimal"/>
      <w:lvlText w:val="%4."/>
      <w:lvlJc w:val="left"/>
      <w:pPr>
        <w:ind w:left="2880" w:hanging="360"/>
      </w:pPr>
    </w:lvl>
    <w:lvl w:ilvl="4" w:tplc="C158F274">
      <w:start w:val="1"/>
      <w:numFmt w:val="lowerLetter"/>
      <w:lvlText w:val="%5."/>
      <w:lvlJc w:val="left"/>
      <w:pPr>
        <w:ind w:left="3600" w:hanging="360"/>
      </w:pPr>
    </w:lvl>
    <w:lvl w:ilvl="5" w:tplc="0486DEC2">
      <w:start w:val="1"/>
      <w:numFmt w:val="lowerRoman"/>
      <w:lvlText w:val="%6."/>
      <w:lvlJc w:val="right"/>
      <w:pPr>
        <w:ind w:left="4320" w:hanging="180"/>
      </w:pPr>
    </w:lvl>
    <w:lvl w:ilvl="6" w:tplc="40B6D0A6">
      <w:start w:val="1"/>
      <w:numFmt w:val="decimal"/>
      <w:lvlText w:val="%7."/>
      <w:lvlJc w:val="left"/>
      <w:pPr>
        <w:ind w:left="5040" w:hanging="360"/>
      </w:pPr>
    </w:lvl>
    <w:lvl w:ilvl="7" w:tplc="17EAE1E8">
      <w:start w:val="1"/>
      <w:numFmt w:val="lowerLetter"/>
      <w:lvlText w:val="%8."/>
      <w:lvlJc w:val="left"/>
      <w:pPr>
        <w:ind w:left="5760" w:hanging="360"/>
      </w:pPr>
    </w:lvl>
    <w:lvl w:ilvl="8" w:tplc="0938F600">
      <w:start w:val="1"/>
      <w:numFmt w:val="lowerRoman"/>
      <w:lvlText w:val="%9."/>
      <w:lvlJc w:val="right"/>
      <w:pPr>
        <w:ind w:left="6480" w:hanging="180"/>
      </w:pPr>
    </w:lvl>
  </w:abstractNum>
  <w:abstractNum w:abstractNumId="5" w15:restartNumberingAfterBreak="0">
    <w:nsid w:val="01BB04D2"/>
    <w:multiLevelType w:val="hybridMultilevel"/>
    <w:tmpl w:val="396406E6"/>
    <w:lvl w:ilvl="0" w:tplc="7C94C3FA">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3395E66"/>
    <w:multiLevelType w:val="hybridMultilevel"/>
    <w:tmpl w:val="FFFFFFFF"/>
    <w:lvl w:ilvl="0" w:tplc="5198840A">
      <w:start w:val="1"/>
      <w:numFmt w:val="bullet"/>
      <w:lvlText w:val="·"/>
      <w:lvlJc w:val="left"/>
      <w:pPr>
        <w:ind w:left="720" w:hanging="360"/>
      </w:pPr>
    </w:lvl>
    <w:lvl w:ilvl="1" w:tplc="1B307686">
      <w:start w:val="1"/>
      <w:numFmt w:val="decimal"/>
      <w:lvlText w:val="%2."/>
      <w:lvlJc w:val="left"/>
      <w:pPr>
        <w:ind w:left="1440" w:hanging="360"/>
      </w:pPr>
    </w:lvl>
    <w:lvl w:ilvl="2" w:tplc="5A38A0C2">
      <w:start w:val="1"/>
      <w:numFmt w:val="lowerRoman"/>
      <w:lvlText w:val="%3."/>
      <w:lvlJc w:val="right"/>
      <w:pPr>
        <w:ind w:left="2160" w:hanging="180"/>
      </w:pPr>
    </w:lvl>
    <w:lvl w:ilvl="3" w:tplc="A1907878">
      <w:start w:val="1"/>
      <w:numFmt w:val="decimal"/>
      <w:lvlText w:val="%4."/>
      <w:lvlJc w:val="left"/>
      <w:pPr>
        <w:ind w:left="2880" w:hanging="360"/>
      </w:pPr>
    </w:lvl>
    <w:lvl w:ilvl="4" w:tplc="1474FB6C">
      <w:start w:val="1"/>
      <w:numFmt w:val="lowerLetter"/>
      <w:lvlText w:val="%5."/>
      <w:lvlJc w:val="left"/>
      <w:pPr>
        <w:ind w:left="3600" w:hanging="360"/>
      </w:pPr>
    </w:lvl>
    <w:lvl w:ilvl="5" w:tplc="066EFAD2">
      <w:start w:val="1"/>
      <w:numFmt w:val="lowerRoman"/>
      <w:lvlText w:val="%6."/>
      <w:lvlJc w:val="right"/>
      <w:pPr>
        <w:ind w:left="4320" w:hanging="180"/>
      </w:pPr>
    </w:lvl>
    <w:lvl w:ilvl="6" w:tplc="1602912E">
      <w:start w:val="1"/>
      <w:numFmt w:val="decimal"/>
      <w:lvlText w:val="%7."/>
      <w:lvlJc w:val="left"/>
      <w:pPr>
        <w:ind w:left="5040" w:hanging="360"/>
      </w:pPr>
    </w:lvl>
    <w:lvl w:ilvl="7" w:tplc="0EB0C000">
      <w:start w:val="1"/>
      <w:numFmt w:val="lowerLetter"/>
      <w:lvlText w:val="%8."/>
      <w:lvlJc w:val="left"/>
      <w:pPr>
        <w:ind w:left="5760" w:hanging="360"/>
      </w:pPr>
    </w:lvl>
    <w:lvl w:ilvl="8" w:tplc="5A8ADDFC">
      <w:start w:val="1"/>
      <w:numFmt w:val="lowerRoman"/>
      <w:lvlText w:val="%9."/>
      <w:lvlJc w:val="right"/>
      <w:pPr>
        <w:ind w:left="6480" w:hanging="180"/>
      </w:pPr>
    </w:lvl>
  </w:abstractNum>
  <w:abstractNum w:abstractNumId="7" w15:restartNumberingAfterBreak="0">
    <w:nsid w:val="03A345ED"/>
    <w:multiLevelType w:val="hybridMultilevel"/>
    <w:tmpl w:val="C888B012"/>
    <w:lvl w:ilvl="0" w:tplc="08090001">
      <w:start w:val="1"/>
      <w:numFmt w:val="bullet"/>
      <w:lvlText w:val=""/>
      <w:lvlJc w:val="left"/>
      <w:pPr>
        <w:ind w:left="805" w:hanging="360"/>
      </w:pPr>
      <w:rPr>
        <w:rFonts w:hint="default" w:ascii="Symbol" w:hAnsi="Symbol"/>
      </w:rPr>
    </w:lvl>
    <w:lvl w:ilvl="1" w:tplc="08090003" w:tentative="1">
      <w:start w:val="1"/>
      <w:numFmt w:val="bullet"/>
      <w:lvlText w:val="o"/>
      <w:lvlJc w:val="left"/>
      <w:pPr>
        <w:ind w:left="1525" w:hanging="360"/>
      </w:pPr>
      <w:rPr>
        <w:rFonts w:hint="default" w:ascii="Courier New" w:hAnsi="Courier New" w:cs="Courier New"/>
      </w:rPr>
    </w:lvl>
    <w:lvl w:ilvl="2" w:tplc="08090005" w:tentative="1">
      <w:start w:val="1"/>
      <w:numFmt w:val="bullet"/>
      <w:lvlText w:val=""/>
      <w:lvlJc w:val="left"/>
      <w:pPr>
        <w:ind w:left="2245" w:hanging="360"/>
      </w:pPr>
      <w:rPr>
        <w:rFonts w:hint="default" w:ascii="Wingdings" w:hAnsi="Wingdings"/>
      </w:rPr>
    </w:lvl>
    <w:lvl w:ilvl="3" w:tplc="08090001" w:tentative="1">
      <w:start w:val="1"/>
      <w:numFmt w:val="bullet"/>
      <w:lvlText w:val=""/>
      <w:lvlJc w:val="left"/>
      <w:pPr>
        <w:ind w:left="2965" w:hanging="360"/>
      </w:pPr>
      <w:rPr>
        <w:rFonts w:hint="default" w:ascii="Symbol" w:hAnsi="Symbol"/>
      </w:rPr>
    </w:lvl>
    <w:lvl w:ilvl="4" w:tplc="08090003" w:tentative="1">
      <w:start w:val="1"/>
      <w:numFmt w:val="bullet"/>
      <w:lvlText w:val="o"/>
      <w:lvlJc w:val="left"/>
      <w:pPr>
        <w:ind w:left="3685" w:hanging="360"/>
      </w:pPr>
      <w:rPr>
        <w:rFonts w:hint="default" w:ascii="Courier New" w:hAnsi="Courier New" w:cs="Courier New"/>
      </w:rPr>
    </w:lvl>
    <w:lvl w:ilvl="5" w:tplc="08090005" w:tentative="1">
      <w:start w:val="1"/>
      <w:numFmt w:val="bullet"/>
      <w:lvlText w:val=""/>
      <w:lvlJc w:val="left"/>
      <w:pPr>
        <w:ind w:left="4405" w:hanging="360"/>
      </w:pPr>
      <w:rPr>
        <w:rFonts w:hint="default" w:ascii="Wingdings" w:hAnsi="Wingdings"/>
      </w:rPr>
    </w:lvl>
    <w:lvl w:ilvl="6" w:tplc="08090001" w:tentative="1">
      <w:start w:val="1"/>
      <w:numFmt w:val="bullet"/>
      <w:lvlText w:val=""/>
      <w:lvlJc w:val="left"/>
      <w:pPr>
        <w:ind w:left="5125" w:hanging="360"/>
      </w:pPr>
      <w:rPr>
        <w:rFonts w:hint="default" w:ascii="Symbol" w:hAnsi="Symbol"/>
      </w:rPr>
    </w:lvl>
    <w:lvl w:ilvl="7" w:tplc="08090003" w:tentative="1">
      <w:start w:val="1"/>
      <w:numFmt w:val="bullet"/>
      <w:lvlText w:val="o"/>
      <w:lvlJc w:val="left"/>
      <w:pPr>
        <w:ind w:left="5845" w:hanging="360"/>
      </w:pPr>
      <w:rPr>
        <w:rFonts w:hint="default" w:ascii="Courier New" w:hAnsi="Courier New" w:cs="Courier New"/>
      </w:rPr>
    </w:lvl>
    <w:lvl w:ilvl="8" w:tplc="08090005" w:tentative="1">
      <w:start w:val="1"/>
      <w:numFmt w:val="bullet"/>
      <w:lvlText w:val=""/>
      <w:lvlJc w:val="left"/>
      <w:pPr>
        <w:ind w:left="6565" w:hanging="360"/>
      </w:pPr>
      <w:rPr>
        <w:rFonts w:hint="default" w:ascii="Wingdings" w:hAnsi="Wingdings"/>
      </w:rPr>
    </w:lvl>
  </w:abstractNum>
  <w:abstractNum w:abstractNumId="8" w15:restartNumberingAfterBreak="0">
    <w:nsid w:val="05217617"/>
    <w:multiLevelType w:val="hybridMultilevel"/>
    <w:tmpl w:val="4CBC4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5316AAE"/>
    <w:multiLevelType w:val="hybridMultilevel"/>
    <w:tmpl w:val="FFFFFFFF"/>
    <w:lvl w:ilvl="0" w:tplc="C8CE4312">
      <w:start w:val="1"/>
      <w:numFmt w:val="bullet"/>
      <w:lvlText w:val="·"/>
      <w:lvlJc w:val="left"/>
      <w:pPr>
        <w:ind w:left="720" w:hanging="360"/>
      </w:pPr>
      <w:rPr>
        <w:rFonts w:hint="default" w:ascii="Symbol" w:hAnsi="Symbol"/>
      </w:rPr>
    </w:lvl>
    <w:lvl w:ilvl="1" w:tplc="8D1E319C">
      <w:start w:val="1"/>
      <w:numFmt w:val="decimal"/>
      <w:lvlText w:val="%2."/>
      <w:lvlJc w:val="left"/>
      <w:pPr>
        <w:ind w:left="1440" w:hanging="360"/>
      </w:pPr>
      <w:rPr>
        <w:rFonts w:hint="default"/>
      </w:rPr>
    </w:lvl>
    <w:lvl w:ilvl="2" w:tplc="BBB6CAD0">
      <w:start w:val="1"/>
      <w:numFmt w:val="bullet"/>
      <w:lvlText w:val=""/>
      <w:lvlJc w:val="left"/>
      <w:pPr>
        <w:ind w:left="2160" w:hanging="360"/>
      </w:pPr>
      <w:rPr>
        <w:rFonts w:hint="default" w:ascii="Wingdings" w:hAnsi="Wingdings"/>
      </w:rPr>
    </w:lvl>
    <w:lvl w:ilvl="3" w:tplc="1C96FFC8">
      <w:start w:val="1"/>
      <w:numFmt w:val="bullet"/>
      <w:lvlText w:val=""/>
      <w:lvlJc w:val="left"/>
      <w:pPr>
        <w:ind w:left="2880" w:hanging="360"/>
      </w:pPr>
      <w:rPr>
        <w:rFonts w:hint="default" w:ascii="Symbol" w:hAnsi="Symbol"/>
      </w:rPr>
    </w:lvl>
    <w:lvl w:ilvl="4" w:tplc="5B46E9C2">
      <w:start w:val="1"/>
      <w:numFmt w:val="bullet"/>
      <w:lvlText w:val="o"/>
      <w:lvlJc w:val="left"/>
      <w:pPr>
        <w:ind w:left="3600" w:hanging="360"/>
      </w:pPr>
      <w:rPr>
        <w:rFonts w:hint="default" w:ascii="Courier New" w:hAnsi="Courier New"/>
      </w:rPr>
    </w:lvl>
    <w:lvl w:ilvl="5" w:tplc="74AEAE9A">
      <w:start w:val="1"/>
      <w:numFmt w:val="bullet"/>
      <w:lvlText w:val=""/>
      <w:lvlJc w:val="left"/>
      <w:pPr>
        <w:ind w:left="4320" w:hanging="360"/>
      </w:pPr>
      <w:rPr>
        <w:rFonts w:hint="default" w:ascii="Wingdings" w:hAnsi="Wingdings"/>
      </w:rPr>
    </w:lvl>
    <w:lvl w:ilvl="6" w:tplc="FD4AB4C2">
      <w:start w:val="1"/>
      <w:numFmt w:val="bullet"/>
      <w:lvlText w:val=""/>
      <w:lvlJc w:val="left"/>
      <w:pPr>
        <w:ind w:left="5040" w:hanging="360"/>
      </w:pPr>
      <w:rPr>
        <w:rFonts w:hint="default" w:ascii="Symbol" w:hAnsi="Symbol"/>
      </w:rPr>
    </w:lvl>
    <w:lvl w:ilvl="7" w:tplc="F5D8E16E">
      <w:start w:val="1"/>
      <w:numFmt w:val="bullet"/>
      <w:lvlText w:val="o"/>
      <w:lvlJc w:val="left"/>
      <w:pPr>
        <w:ind w:left="5760" w:hanging="360"/>
      </w:pPr>
      <w:rPr>
        <w:rFonts w:hint="default" w:ascii="Courier New" w:hAnsi="Courier New"/>
      </w:rPr>
    </w:lvl>
    <w:lvl w:ilvl="8" w:tplc="F704D86A">
      <w:start w:val="1"/>
      <w:numFmt w:val="bullet"/>
      <w:lvlText w:val=""/>
      <w:lvlJc w:val="left"/>
      <w:pPr>
        <w:ind w:left="6480" w:hanging="360"/>
      </w:pPr>
      <w:rPr>
        <w:rFonts w:hint="default" w:ascii="Wingdings" w:hAnsi="Wingdings"/>
      </w:rPr>
    </w:lvl>
  </w:abstractNum>
  <w:abstractNum w:abstractNumId="10" w15:restartNumberingAfterBreak="0">
    <w:nsid w:val="05732DEE"/>
    <w:multiLevelType w:val="hybridMultilevel"/>
    <w:tmpl w:val="877047DC"/>
    <w:lvl w:ilvl="0" w:tplc="B60A0A72">
      <w:start w:val="51"/>
      <w:numFmt w:val="decimal"/>
      <w:lvlText w:val="%1)"/>
      <w:lvlJc w:val="left"/>
      <w:pPr>
        <w:ind w:left="26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59C715B"/>
    <w:multiLevelType w:val="hybridMultilevel"/>
    <w:tmpl w:val="EF2C1C0A"/>
    <w:lvl w:ilvl="0" w:tplc="CCD23C1A">
      <w:start w:val="1"/>
      <w:numFmt w:val="bullet"/>
      <w:lvlText w:val="-"/>
      <w:lvlJc w:val="left"/>
      <w:pPr>
        <w:ind w:left="805" w:hanging="360"/>
      </w:pPr>
      <w:rPr>
        <w:rFonts w:hint="default" w:ascii="Cambria" w:hAnsi="Cambria" w:eastAsia="Cambria" w:cs="Cambria"/>
      </w:rPr>
    </w:lvl>
    <w:lvl w:ilvl="1" w:tplc="08160003" w:tentative="1">
      <w:start w:val="1"/>
      <w:numFmt w:val="bullet"/>
      <w:lvlText w:val="o"/>
      <w:lvlJc w:val="left"/>
      <w:pPr>
        <w:ind w:left="1525" w:hanging="360"/>
      </w:pPr>
      <w:rPr>
        <w:rFonts w:hint="default" w:ascii="Courier New" w:hAnsi="Courier New" w:cs="Courier New"/>
      </w:rPr>
    </w:lvl>
    <w:lvl w:ilvl="2" w:tplc="08160005" w:tentative="1">
      <w:start w:val="1"/>
      <w:numFmt w:val="bullet"/>
      <w:lvlText w:val=""/>
      <w:lvlJc w:val="left"/>
      <w:pPr>
        <w:ind w:left="2245" w:hanging="360"/>
      </w:pPr>
      <w:rPr>
        <w:rFonts w:hint="default" w:ascii="Wingdings" w:hAnsi="Wingdings"/>
      </w:rPr>
    </w:lvl>
    <w:lvl w:ilvl="3" w:tplc="08160001" w:tentative="1">
      <w:start w:val="1"/>
      <w:numFmt w:val="bullet"/>
      <w:lvlText w:val=""/>
      <w:lvlJc w:val="left"/>
      <w:pPr>
        <w:ind w:left="2965" w:hanging="360"/>
      </w:pPr>
      <w:rPr>
        <w:rFonts w:hint="default" w:ascii="Symbol" w:hAnsi="Symbol"/>
      </w:rPr>
    </w:lvl>
    <w:lvl w:ilvl="4" w:tplc="08160003" w:tentative="1">
      <w:start w:val="1"/>
      <w:numFmt w:val="bullet"/>
      <w:lvlText w:val="o"/>
      <w:lvlJc w:val="left"/>
      <w:pPr>
        <w:ind w:left="3685" w:hanging="360"/>
      </w:pPr>
      <w:rPr>
        <w:rFonts w:hint="default" w:ascii="Courier New" w:hAnsi="Courier New" w:cs="Courier New"/>
      </w:rPr>
    </w:lvl>
    <w:lvl w:ilvl="5" w:tplc="08160005" w:tentative="1">
      <w:start w:val="1"/>
      <w:numFmt w:val="bullet"/>
      <w:lvlText w:val=""/>
      <w:lvlJc w:val="left"/>
      <w:pPr>
        <w:ind w:left="4405" w:hanging="360"/>
      </w:pPr>
      <w:rPr>
        <w:rFonts w:hint="default" w:ascii="Wingdings" w:hAnsi="Wingdings"/>
      </w:rPr>
    </w:lvl>
    <w:lvl w:ilvl="6" w:tplc="08160001" w:tentative="1">
      <w:start w:val="1"/>
      <w:numFmt w:val="bullet"/>
      <w:lvlText w:val=""/>
      <w:lvlJc w:val="left"/>
      <w:pPr>
        <w:ind w:left="5125" w:hanging="360"/>
      </w:pPr>
      <w:rPr>
        <w:rFonts w:hint="default" w:ascii="Symbol" w:hAnsi="Symbol"/>
      </w:rPr>
    </w:lvl>
    <w:lvl w:ilvl="7" w:tplc="08160003" w:tentative="1">
      <w:start w:val="1"/>
      <w:numFmt w:val="bullet"/>
      <w:lvlText w:val="o"/>
      <w:lvlJc w:val="left"/>
      <w:pPr>
        <w:ind w:left="5845" w:hanging="360"/>
      </w:pPr>
      <w:rPr>
        <w:rFonts w:hint="default" w:ascii="Courier New" w:hAnsi="Courier New" w:cs="Courier New"/>
      </w:rPr>
    </w:lvl>
    <w:lvl w:ilvl="8" w:tplc="08160005" w:tentative="1">
      <w:start w:val="1"/>
      <w:numFmt w:val="bullet"/>
      <w:lvlText w:val=""/>
      <w:lvlJc w:val="left"/>
      <w:pPr>
        <w:ind w:left="6565" w:hanging="360"/>
      </w:pPr>
      <w:rPr>
        <w:rFonts w:hint="default" w:ascii="Wingdings" w:hAnsi="Wingdings"/>
      </w:rPr>
    </w:lvl>
  </w:abstractNum>
  <w:abstractNum w:abstractNumId="13" w15:restartNumberingAfterBreak="0">
    <w:nsid w:val="0613374F"/>
    <w:multiLevelType w:val="hybridMultilevel"/>
    <w:tmpl w:val="0130041C"/>
    <w:lvl w:ilvl="0" w:tplc="F9281620">
      <w:start w:val="1"/>
      <w:numFmt w:val="bullet"/>
      <w:lvlText w:val="·"/>
      <w:lvlJc w:val="left"/>
      <w:pPr>
        <w:ind w:left="720" w:hanging="360"/>
      </w:pPr>
      <w:rPr>
        <w:rFonts w:hint="default" w:ascii="Symbol" w:hAnsi="Symbol"/>
      </w:rPr>
    </w:lvl>
    <w:lvl w:ilvl="1" w:tplc="10084822">
      <w:start w:val="1"/>
      <w:numFmt w:val="decimal"/>
      <w:lvlText w:val="%2."/>
      <w:lvlJc w:val="left"/>
      <w:pPr>
        <w:ind w:left="1440" w:hanging="360"/>
      </w:pPr>
      <w:rPr>
        <w:rFonts w:hint="default"/>
      </w:rPr>
    </w:lvl>
    <w:lvl w:ilvl="2" w:tplc="A60A5B38">
      <w:start w:val="1"/>
      <w:numFmt w:val="bullet"/>
      <w:lvlText w:val=""/>
      <w:lvlJc w:val="left"/>
      <w:pPr>
        <w:ind w:left="2160" w:hanging="360"/>
      </w:pPr>
      <w:rPr>
        <w:rFonts w:hint="default" w:ascii="Wingdings" w:hAnsi="Wingdings"/>
      </w:rPr>
    </w:lvl>
    <w:lvl w:ilvl="3" w:tplc="EB36116E">
      <w:start w:val="1"/>
      <w:numFmt w:val="bullet"/>
      <w:lvlText w:val=""/>
      <w:lvlJc w:val="left"/>
      <w:pPr>
        <w:ind w:left="2880" w:hanging="360"/>
      </w:pPr>
      <w:rPr>
        <w:rFonts w:hint="default" w:ascii="Symbol" w:hAnsi="Symbol"/>
      </w:rPr>
    </w:lvl>
    <w:lvl w:ilvl="4" w:tplc="258A963C">
      <w:start w:val="1"/>
      <w:numFmt w:val="bullet"/>
      <w:lvlText w:val="o"/>
      <w:lvlJc w:val="left"/>
      <w:pPr>
        <w:ind w:left="3600" w:hanging="360"/>
      </w:pPr>
      <w:rPr>
        <w:rFonts w:hint="default" w:ascii="Courier New" w:hAnsi="Courier New"/>
      </w:rPr>
    </w:lvl>
    <w:lvl w:ilvl="5" w:tplc="20E44A92">
      <w:start w:val="1"/>
      <w:numFmt w:val="bullet"/>
      <w:lvlText w:val=""/>
      <w:lvlJc w:val="left"/>
      <w:pPr>
        <w:ind w:left="4320" w:hanging="360"/>
      </w:pPr>
      <w:rPr>
        <w:rFonts w:hint="default" w:ascii="Wingdings" w:hAnsi="Wingdings"/>
      </w:rPr>
    </w:lvl>
    <w:lvl w:ilvl="6" w:tplc="452622CE">
      <w:start w:val="1"/>
      <w:numFmt w:val="bullet"/>
      <w:lvlText w:val=""/>
      <w:lvlJc w:val="left"/>
      <w:pPr>
        <w:ind w:left="5040" w:hanging="360"/>
      </w:pPr>
      <w:rPr>
        <w:rFonts w:hint="default" w:ascii="Symbol" w:hAnsi="Symbol"/>
      </w:rPr>
    </w:lvl>
    <w:lvl w:ilvl="7" w:tplc="925E9D6E">
      <w:start w:val="1"/>
      <w:numFmt w:val="bullet"/>
      <w:lvlText w:val="o"/>
      <w:lvlJc w:val="left"/>
      <w:pPr>
        <w:ind w:left="5760" w:hanging="360"/>
      </w:pPr>
      <w:rPr>
        <w:rFonts w:hint="default" w:ascii="Courier New" w:hAnsi="Courier New"/>
      </w:rPr>
    </w:lvl>
    <w:lvl w:ilvl="8" w:tplc="2460FF78">
      <w:start w:val="1"/>
      <w:numFmt w:val="bullet"/>
      <w:lvlText w:val=""/>
      <w:lvlJc w:val="left"/>
      <w:pPr>
        <w:ind w:left="6480" w:hanging="360"/>
      </w:pPr>
      <w:rPr>
        <w:rFonts w:hint="default" w:ascii="Wingdings" w:hAnsi="Wingdings"/>
      </w:rPr>
    </w:lvl>
  </w:abstractNum>
  <w:abstractNum w:abstractNumId="14" w15:restartNumberingAfterBreak="0">
    <w:nsid w:val="06D66125"/>
    <w:multiLevelType w:val="hybridMultilevel"/>
    <w:tmpl w:val="9C841C50"/>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792C2A5C">
      <w:start w:val="814"/>
      <w:numFmt w:val="decimal"/>
      <w:lvlText w:val="%3)"/>
      <w:lvlJc w:val="left"/>
      <w:pPr>
        <w:ind w:left="2778" w:hanging="444"/>
      </w:pPr>
      <w:rPr>
        <w:rFonts w:hint="default"/>
        <w:sz w:val="22"/>
      </w:r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071C7C61"/>
    <w:multiLevelType w:val="hybridMultilevel"/>
    <w:tmpl w:val="C4C43FF0"/>
    <w:lvl w:ilvl="0" w:tplc="2F6A85A6">
      <w:start w:val="1"/>
      <w:numFmt w:val="decimal"/>
      <w:lvlText w:val="%1."/>
      <w:lvlJc w:val="left"/>
      <w:pPr>
        <w:ind w:left="720" w:hanging="360"/>
      </w:pPr>
    </w:lvl>
    <w:lvl w:ilvl="1" w:tplc="CEBCA70C">
      <w:start w:val="1"/>
      <w:numFmt w:val="decimal"/>
      <w:lvlText w:val="%2."/>
      <w:lvlJc w:val="left"/>
      <w:pPr>
        <w:ind w:left="1440" w:hanging="360"/>
      </w:pPr>
    </w:lvl>
    <w:lvl w:ilvl="2" w:tplc="F8FEDC56">
      <w:start w:val="1"/>
      <w:numFmt w:val="lowerRoman"/>
      <w:lvlText w:val="%3."/>
      <w:lvlJc w:val="right"/>
      <w:pPr>
        <w:ind w:left="2160" w:hanging="180"/>
      </w:pPr>
    </w:lvl>
    <w:lvl w:ilvl="3" w:tplc="77009DE4">
      <w:start w:val="1"/>
      <w:numFmt w:val="decimal"/>
      <w:lvlText w:val="%4."/>
      <w:lvlJc w:val="left"/>
      <w:pPr>
        <w:ind w:left="2880" w:hanging="360"/>
      </w:pPr>
    </w:lvl>
    <w:lvl w:ilvl="4" w:tplc="BC720108">
      <w:start w:val="1"/>
      <w:numFmt w:val="lowerLetter"/>
      <w:lvlText w:val="%5."/>
      <w:lvlJc w:val="left"/>
      <w:pPr>
        <w:ind w:left="3600" w:hanging="360"/>
      </w:pPr>
    </w:lvl>
    <w:lvl w:ilvl="5" w:tplc="F7FE8374">
      <w:start w:val="1"/>
      <w:numFmt w:val="lowerRoman"/>
      <w:lvlText w:val="%6."/>
      <w:lvlJc w:val="right"/>
      <w:pPr>
        <w:ind w:left="4320" w:hanging="180"/>
      </w:pPr>
    </w:lvl>
    <w:lvl w:ilvl="6" w:tplc="73CCB8F0">
      <w:start w:val="1"/>
      <w:numFmt w:val="decimal"/>
      <w:lvlText w:val="%7."/>
      <w:lvlJc w:val="left"/>
      <w:pPr>
        <w:ind w:left="5040" w:hanging="360"/>
      </w:pPr>
    </w:lvl>
    <w:lvl w:ilvl="7" w:tplc="7D5EDB44">
      <w:start w:val="1"/>
      <w:numFmt w:val="lowerLetter"/>
      <w:lvlText w:val="%8."/>
      <w:lvlJc w:val="left"/>
      <w:pPr>
        <w:ind w:left="5760" w:hanging="360"/>
      </w:pPr>
    </w:lvl>
    <w:lvl w:ilvl="8" w:tplc="65C6F4E6">
      <w:start w:val="1"/>
      <w:numFmt w:val="lowerRoman"/>
      <w:lvlText w:val="%9."/>
      <w:lvlJc w:val="right"/>
      <w:pPr>
        <w:ind w:left="6480" w:hanging="180"/>
      </w:pPr>
    </w:lvl>
  </w:abstractNum>
  <w:abstractNum w:abstractNumId="16" w15:restartNumberingAfterBreak="0">
    <w:nsid w:val="072B3779"/>
    <w:multiLevelType w:val="hybridMultilevel"/>
    <w:tmpl w:val="CFA2108A"/>
    <w:lvl w:ilvl="0" w:tplc="08160001">
      <w:start w:val="1"/>
      <w:numFmt w:val="bullet"/>
      <w:lvlText w:val=""/>
      <w:lvlJc w:val="left"/>
      <w:pPr>
        <w:ind w:left="1077" w:hanging="360"/>
      </w:pPr>
      <w:rPr>
        <w:rFonts w:hint="default" w:ascii="Symbol" w:hAnsi="Symbol"/>
      </w:rPr>
    </w:lvl>
    <w:lvl w:ilvl="1" w:tplc="08160003" w:tentative="1">
      <w:start w:val="1"/>
      <w:numFmt w:val="bullet"/>
      <w:lvlText w:val="o"/>
      <w:lvlJc w:val="left"/>
      <w:pPr>
        <w:ind w:left="1797" w:hanging="360"/>
      </w:pPr>
      <w:rPr>
        <w:rFonts w:hint="default" w:ascii="Courier New" w:hAnsi="Courier New" w:cs="Courier New"/>
      </w:rPr>
    </w:lvl>
    <w:lvl w:ilvl="2" w:tplc="08160005" w:tentative="1">
      <w:start w:val="1"/>
      <w:numFmt w:val="bullet"/>
      <w:lvlText w:val=""/>
      <w:lvlJc w:val="left"/>
      <w:pPr>
        <w:ind w:left="2517" w:hanging="360"/>
      </w:pPr>
      <w:rPr>
        <w:rFonts w:hint="default" w:ascii="Wingdings" w:hAnsi="Wingdings"/>
      </w:rPr>
    </w:lvl>
    <w:lvl w:ilvl="3" w:tplc="08160001" w:tentative="1">
      <w:start w:val="1"/>
      <w:numFmt w:val="bullet"/>
      <w:lvlText w:val=""/>
      <w:lvlJc w:val="left"/>
      <w:pPr>
        <w:ind w:left="3237" w:hanging="360"/>
      </w:pPr>
      <w:rPr>
        <w:rFonts w:hint="default" w:ascii="Symbol" w:hAnsi="Symbol"/>
      </w:rPr>
    </w:lvl>
    <w:lvl w:ilvl="4" w:tplc="08160003" w:tentative="1">
      <w:start w:val="1"/>
      <w:numFmt w:val="bullet"/>
      <w:lvlText w:val="o"/>
      <w:lvlJc w:val="left"/>
      <w:pPr>
        <w:ind w:left="3957" w:hanging="360"/>
      </w:pPr>
      <w:rPr>
        <w:rFonts w:hint="default" w:ascii="Courier New" w:hAnsi="Courier New" w:cs="Courier New"/>
      </w:rPr>
    </w:lvl>
    <w:lvl w:ilvl="5" w:tplc="08160005" w:tentative="1">
      <w:start w:val="1"/>
      <w:numFmt w:val="bullet"/>
      <w:lvlText w:val=""/>
      <w:lvlJc w:val="left"/>
      <w:pPr>
        <w:ind w:left="4677" w:hanging="360"/>
      </w:pPr>
      <w:rPr>
        <w:rFonts w:hint="default" w:ascii="Wingdings" w:hAnsi="Wingdings"/>
      </w:rPr>
    </w:lvl>
    <w:lvl w:ilvl="6" w:tplc="08160001" w:tentative="1">
      <w:start w:val="1"/>
      <w:numFmt w:val="bullet"/>
      <w:lvlText w:val=""/>
      <w:lvlJc w:val="left"/>
      <w:pPr>
        <w:ind w:left="5397" w:hanging="360"/>
      </w:pPr>
      <w:rPr>
        <w:rFonts w:hint="default" w:ascii="Symbol" w:hAnsi="Symbol"/>
      </w:rPr>
    </w:lvl>
    <w:lvl w:ilvl="7" w:tplc="08160003" w:tentative="1">
      <w:start w:val="1"/>
      <w:numFmt w:val="bullet"/>
      <w:lvlText w:val="o"/>
      <w:lvlJc w:val="left"/>
      <w:pPr>
        <w:ind w:left="6117" w:hanging="360"/>
      </w:pPr>
      <w:rPr>
        <w:rFonts w:hint="default" w:ascii="Courier New" w:hAnsi="Courier New" w:cs="Courier New"/>
      </w:rPr>
    </w:lvl>
    <w:lvl w:ilvl="8" w:tplc="08160005" w:tentative="1">
      <w:start w:val="1"/>
      <w:numFmt w:val="bullet"/>
      <w:lvlText w:val=""/>
      <w:lvlJc w:val="left"/>
      <w:pPr>
        <w:ind w:left="6837" w:hanging="360"/>
      </w:pPr>
      <w:rPr>
        <w:rFonts w:hint="default" w:ascii="Wingdings" w:hAnsi="Wingdings"/>
      </w:rPr>
    </w:lvl>
  </w:abstractNum>
  <w:abstractNum w:abstractNumId="17" w15:restartNumberingAfterBreak="0">
    <w:nsid w:val="07446092"/>
    <w:multiLevelType w:val="hybridMultilevel"/>
    <w:tmpl w:val="FFFFFFFF"/>
    <w:lvl w:ilvl="0" w:tplc="21900F9A">
      <w:start w:val="1"/>
      <w:numFmt w:val="decimal"/>
      <w:lvlText w:val="%1."/>
      <w:lvlJc w:val="left"/>
      <w:pPr>
        <w:ind w:left="720" w:hanging="360"/>
      </w:pPr>
    </w:lvl>
    <w:lvl w:ilvl="1" w:tplc="D324CBCE">
      <w:start w:val="1"/>
      <w:numFmt w:val="lowerLetter"/>
      <w:lvlText w:val="%2."/>
      <w:lvlJc w:val="left"/>
      <w:pPr>
        <w:ind w:left="1440" w:hanging="360"/>
      </w:pPr>
    </w:lvl>
    <w:lvl w:ilvl="2" w:tplc="3F807C20">
      <w:start w:val="1"/>
      <w:numFmt w:val="lowerRoman"/>
      <w:lvlText w:val="%3."/>
      <w:lvlJc w:val="right"/>
      <w:pPr>
        <w:ind w:left="2160" w:hanging="180"/>
      </w:pPr>
    </w:lvl>
    <w:lvl w:ilvl="3" w:tplc="41B8AEF4">
      <w:start w:val="1"/>
      <w:numFmt w:val="decimal"/>
      <w:lvlText w:val="%4."/>
      <w:lvlJc w:val="left"/>
      <w:pPr>
        <w:ind w:left="2880" w:hanging="360"/>
      </w:pPr>
    </w:lvl>
    <w:lvl w:ilvl="4" w:tplc="4748FBF4">
      <w:start w:val="1"/>
      <w:numFmt w:val="lowerLetter"/>
      <w:lvlText w:val="%5."/>
      <w:lvlJc w:val="left"/>
      <w:pPr>
        <w:ind w:left="3600" w:hanging="360"/>
      </w:pPr>
    </w:lvl>
    <w:lvl w:ilvl="5" w:tplc="45FE81DA">
      <w:start w:val="1"/>
      <w:numFmt w:val="lowerRoman"/>
      <w:lvlText w:val="%6."/>
      <w:lvlJc w:val="right"/>
      <w:pPr>
        <w:ind w:left="4320" w:hanging="180"/>
      </w:pPr>
    </w:lvl>
    <w:lvl w:ilvl="6" w:tplc="1CF0929E">
      <w:start w:val="1"/>
      <w:numFmt w:val="decimal"/>
      <w:lvlText w:val="%7."/>
      <w:lvlJc w:val="left"/>
      <w:pPr>
        <w:ind w:left="5040" w:hanging="360"/>
      </w:pPr>
    </w:lvl>
    <w:lvl w:ilvl="7" w:tplc="265845C0">
      <w:start w:val="1"/>
      <w:numFmt w:val="lowerLetter"/>
      <w:lvlText w:val="%8."/>
      <w:lvlJc w:val="left"/>
      <w:pPr>
        <w:ind w:left="5760" w:hanging="360"/>
      </w:pPr>
    </w:lvl>
    <w:lvl w:ilvl="8" w:tplc="46405998">
      <w:start w:val="1"/>
      <w:numFmt w:val="lowerRoman"/>
      <w:lvlText w:val="%9."/>
      <w:lvlJc w:val="right"/>
      <w:pPr>
        <w:ind w:left="6480" w:hanging="180"/>
      </w:pPr>
    </w:lvl>
  </w:abstractNum>
  <w:abstractNum w:abstractNumId="18" w15:restartNumberingAfterBreak="0">
    <w:nsid w:val="07904F11"/>
    <w:multiLevelType w:val="hybridMultilevel"/>
    <w:tmpl w:val="9C1A1CC0"/>
    <w:lvl w:ilvl="0" w:tplc="CCD23C1A">
      <w:start w:val="1"/>
      <w:numFmt w:val="bullet"/>
      <w:lvlText w:val="-"/>
      <w:lvlJc w:val="left"/>
      <w:pPr>
        <w:ind w:left="805" w:hanging="360"/>
      </w:pPr>
      <w:rPr>
        <w:rFonts w:hint="default" w:ascii="Cambria" w:hAnsi="Cambria" w:eastAsia="Cambria" w:cs="Cambria"/>
      </w:rPr>
    </w:lvl>
    <w:lvl w:ilvl="1" w:tplc="08160003" w:tentative="1">
      <w:start w:val="1"/>
      <w:numFmt w:val="bullet"/>
      <w:lvlText w:val="o"/>
      <w:lvlJc w:val="left"/>
      <w:pPr>
        <w:ind w:left="1525" w:hanging="360"/>
      </w:pPr>
      <w:rPr>
        <w:rFonts w:hint="default" w:ascii="Courier New" w:hAnsi="Courier New" w:cs="Courier New"/>
      </w:rPr>
    </w:lvl>
    <w:lvl w:ilvl="2" w:tplc="08160005" w:tentative="1">
      <w:start w:val="1"/>
      <w:numFmt w:val="bullet"/>
      <w:lvlText w:val=""/>
      <w:lvlJc w:val="left"/>
      <w:pPr>
        <w:ind w:left="2245" w:hanging="360"/>
      </w:pPr>
      <w:rPr>
        <w:rFonts w:hint="default" w:ascii="Wingdings" w:hAnsi="Wingdings"/>
      </w:rPr>
    </w:lvl>
    <w:lvl w:ilvl="3" w:tplc="08160001" w:tentative="1">
      <w:start w:val="1"/>
      <w:numFmt w:val="bullet"/>
      <w:lvlText w:val=""/>
      <w:lvlJc w:val="left"/>
      <w:pPr>
        <w:ind w:left="2965" w:hanging="360"/>
      </w:pPr>
      <w:rPr>
        <w:rFonts w:hint="default" w:ascii="Symbol" w:hAnsi="Symbol"/>
      </w:rPr>
    </w:lvl>
    <w:lvl w:ilvl="4" w:tplc="08160003" w:tentative="1">
      <w:start w:val="1"/>
      <w:numFmt w:val="bullet"/>
      <w:lvlText w:val="o"/>
      <w:lvlJc w:val="left"/>
      <w:pPr>
        <w:ind w:left="3685" w:hanging="360"/>
      </w:pPr>
      <w:rPr>
        <w:rFonts w:hint="default" w:ascii="Courier New" w:hAnsi="Courier New" w:cs="Courier New"/>
      </w:rPr>
    </w:lvl>
    <w:lvl w:ilvl="5" w:tplc="08160005" w:tentative="1">
      <w:start w:val="1"/>
      <w:numFmt w:val="bullet"/>
      <w:lvlText w:val=""/>
      <w:lvlJc w:val="left"/>
      <w:pPr>
        <w:ind w:left="4405" w:hanging="360"/>
      </w:pPr>
      <w:rPr>
        <w:rFonts w:hint="default" w:ascii="Wingdings" w:hAnsi="Wingdings"/>
      </w:rPr>
    </w:lvl>
    <w:lvl w:ilvl="6" w:tplc="08160001" w:tentative="1">
      <w:start w:val="1"/>
      <w:numFmt w:val="bullet"/>
      <w:lvlText w:val=""/>
      <w:lvlJc w:val="left"/>
      <w:pPr>
        <w:ind w:left="5125" w:hanging="360"/>
      </w:pPr>
      <w:rPr>
        <w:rFonts w:hint="default" w:ascii="Symbol" w:hAnsi="Symbol"/>
      </w:rPr>
    </w:lvl>
    <w:lvl w:ilvl="7" w:tplc="08160003" w:tentative="1">
      <w:start w:val="1"/>
      <w:numFmt w:val="bullet"/>
      <w:lvlText w:val="o"/>
      <w:lvlJc w:val="left"/>
      <w:pPr>
        <w:ind w:left="5845" w:hanging="360"/>
      </w:pPr>
      <w:rPr>
        <w:rFonts w:hint="default" w:ascii="Courier New" w:hAnsi="Courier New" w:cs="Courier New"/>
      </w:rPr>
    </w:lvl>
    <w:lvl w:ilvl="8" w:tplc="08160005" w:tentative="1">
      <w:start w:val="1"/>
      <w:numFmt w:val="bullet"/>
      <w:lvlText w:val=""/>
      <w:lvlJc w:val="left"/>
      <w:pPr>
        <w:ind w:left="6565" w:hanging="360"/>
      </w:pPr>
      <w:rPr>
        <w:rFonts w:hint="default" w:ascii="Wingdings" w:hAnsi="Wingdings"/>
      </w:rPr>
    </w:lvl>
  </w:abstractNum>
  <w:abstractNum w:abstractNumId="19" w15:restartNumberingAfterBreak="0">
    <w:nsid w:val="08E02B53"/>
    <w:multiLevelType w:val="hybridMultilevel"/>
    <w:tmpl w:val="7F30E024"/>
    <w:lvl w:ilvl="0" w:tplc="08090011">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0" w15:restartNumberingAfterBreak="0">
    <w:nsid w:val="09343885"/>
    <w:multiLevelType w:val="hybridMultilevel"/>
    <w:tmpl w:val="FFFFFFFF"/>
    <w:lvl w:ilvl="0" w:tplc="272299A4">
      <w:start w:val="1"/>
      <w:numFmt w:val="bullet"/>
      <w:lvlText w:val="·"/>
      <w:lvlJc w:val="left"/>
      <w:pPr>
        <w:ind w:left="720" w:hanging="360"/>
      </w:pPr>
      <w:rPr>
        <w:rFonts w:hint="default" w:ascii="Symbol" w:hAnsi="Symbol"/>
      </w:rPr>
    </w:lvl>
    <w:lvl w:ilvl="1" w:tplc="A1A4B09A">
      <w:start w:val="1"/>
      <w:numFmt w:val="decimal"/>
      <w:lvlText w:val="%2."/>
      <w:lvlJc w:val="left"/>
      <w:pPr>
        <w:ind w:left="1440" w:hanging="360"/>
      </w:pPr>
      <w:rPr>
        <w:rFonts w:hint="default"/>
      </w:rPr>
    </w:lvl>
    <w:lvl w:ilvl="2" w:tplc="97F41B04">
      <w:start w:val="1"/>
      <w:numFmt w:val="bullet"/>
      <w:lvlText w:val=""/>
      <w:lvlJc w:val="left"/>
      <w:pPr>
        <w:ind w:left="2160" w:hanging="360"/>
      </w:pPr>
      <w:rPr>
        <w:rFonts w:hint="default" w:ascii="Wingdings" w:hAnsi="Wingdings"/>
      </w:rPr>
    </w:lvl>
    <w:lvl w:ilvl="3" w:tplc="D206E90C">
      <w:start w:val="1"/>
      <w:numFmt w:val="bullet"/>
      <w:lvlText w:val=""/>
      <w:lvlJc w:val="left"/>
      <w:pPr>
        <w:ind w:left="2880" w:hanging="360"/>
      </w:pPr>
      <w:rPr>
        <w:rFonts w:hint="default" w:ascii="Symbol" w:hAnsi="Symbol"/>
      </w:rPr>
    </w:lvl>
    <w:lvl w:ilvl="4" w:tplc="32A078BC">
      <w:start w:val="1"/>
      <w:numFmt w:val="bullet"/>
      <w:lvlText w:val="o"/>
      <w:lvlJc w:val="left"/>
      <w:pPr>
        <w:ind w:left="3600" w:hanging="360"/>
      </w:pPr>
      <w:rPr>
        <w:rFonts w:hint="default" w:ascii="Courier New" w:hAnsi="Courier New"/>
      </w:rPr>
    </w:lvl>
    <w:lvl w:ilvl="5" w:tplc="227687D6">
      <w:start w:val="1"/>
      <w:numFmt w:val="bullet"/>
      <w:lvlText w:val=""/>
      <w:lvlJc w:val="left"/>
      <w:pPr>
        <w:ind w:left="4320" w:hanging="360"/>
      </w:pPr>
      <w:rPr>
        <w:rFonts w:hint="default" w:ascii="Wingdings" w:hAnsi="Wingdings"/>
      </w:rPr>
    </w:lvl>
    <w:lvl w:ilvl="6" w:tplc="9B50B20E">
      <w:start w:val="1"/>
      <w:numFmt w:val="bullet"/>
      <w:lvlText w:val=""/>
      <w:lvlJc w:val="left"/>
      <w:pPr>
        <w:ind w:left="5040" w:hanging="360"/>
      </w:pPr>
      <w:rPr>
        <w:rFonts w:hint="default" w:ascii="Symbol" w:hAnsi="Symbol"/>
      </w:rPr>
    </w:lvl>
    <w:lvl w:ilvl="7" w:tplc="38B4B430">
      <w:start w:val="1"/>
      <w:numFmt w:val="bullet"/>
      <w:lvlText w:val="o"/>
      <w:lvlJc w:val="left"/>
      <w:pPr>
        <w:ind w:left="5760" w:hanging="360"/>
      </w:pPr>
      <w:rPr>
        <w:rFonts w:hint="default" w:ascii="Courier New" w:hAnsi="Courier New"/>
      </w:rPr>
    </w:lvl>
    <w:lvl w:ilvl="8" w:tplc="4962ACE2">
      <w:start w:val="1"/>
      <w:numFmt w:val="bullet"/>
      <w:lvlText w:val=""/>
      <w:lvlJc w:val="left"/>
      <w:pPr>
        <w:ind w:left="6480" w:hanging="360"/>
      </w:pPr>
      <w:rPr>
        <w:rFonts w:hint="default" w:ascii="Wingdings" w:hAnsi="Wingdings"/>
      </w:rPr>
    </w:lvl>
  </w:abstractNum>
  <w:abstractNum w:abstractNumId="21" w15:restartNumberingAfterBreak="0">
    <w:nsid w:val="096470A1"/>
    <w:multiLevelType w:val="hybridMultilevel"/>
    <w:tmpl w:val="7C7AE198"/>
    <w:lvl w:ilvl="0" w:tplc="BA2CC71E">
      <w:start w:val="44"/>
      <w:numFmt w:val="bullet"/>
      <w:lvlText w:val="-"/>
      <w:lvlJc w:val="left"/>
      <w:pPr>
        <w:ind w:left="805" w:hanging="360"/>
      </w:pPr>
      <w:rPr>
        <w:rFonts w:hint="default" w:ascii="Cambria" w:hAnsi="Cambria" w:cs="EUAlbertina" w:eastAsiaTheme="minorHAnsi"/>
      </w:rPr>
    </w:lvl>
    <w:lvl w:ilvl="1" w:tplc="08090003" w:tentative="1">
      <w:start w:val="1"/>
      <w:numFmt w:val="bullet"/>
      <w:lvlText w:val="o"/>
      <w:lvlJc w:val="left"/>
      <w:pPr>
        <w:ind w:left="1525" w:hanging="360"/>
      </w:pPr>
      <w:rPr>
        <w:rFonts w:hint="default" w:ascii="Courier New" w:hAnsi="Courier New" w:cs="Courier New"/>
      </w:rPr>
    </w:lvl>
    <w:lvl w:ilvl="2" w:tplc="08090005" w:tentative="1">
      <w:start w:val="1"/>
      <w:numFmt w:val="bullet"/>
      <w:lvlText w:val=""/>
      <w:lvlJc w:val="left"/>
      <w:pPr>
        <w:ind w:left="2245" w:hanging="360"/>
      </w:pPr>
      <w:rPr>
        <w:rFonts w:hint="default" w:ascii="Wingdings" w:hAnsi="Wingdings"/>
      </w:rPr>
    </w:lvl>
    <w:lvl w:ilvl="3" w:tplc="08090001" w:tentative="1">
      <w:start w:val="1"/>
      <w:numFmt w:val="bullet"/>
      <w:lvlText w:val=""/>
      <w:lvlJc w:val="left"/>
      <w:pPr>
        <w:ind w:left="2965" w:hanging="360"/>
      </w:pPr>
      <w:rPr>
        <w:rFonts w:hint="default" w:ascii="Symbol" w:hAnsi="Symbol"/>
      </w:rPr>
    </w:lvl>
    <w:lvl w:ilvl="4" w:tplc="08090003" w:tentative="1">
      <w:start w:val="1"/>
      <w:numFmt w:val="bullet"/>
      <w:lvlText w:val="o"/>
      <w:lvlJc w:val="left"/>
      <w:pPr>
        <w:ind w:left="3685" w:hanging="360"/>
      </w:pPr>
      <w:rPr>
        <w:rFonts w:hint="default" w:ascii="Courier New" w:hAnsi="Courier New" w:cs="Courier New"/>
      </w:rPr>
    </w:lvl>
    <w:lvl w:ilvl="5" w:tplc="08090005" w:tentative="1">
      <w:start w:val="1"/>
      <w:numFmt w:val="bullet"/>
      <w:lvlText w:val=""/>
      <w:lvlJc w:val="left"/>
      <w:pPr>
        <w:ind w:left="4405" w:hanging="360"/>
      </w:pPr>
      <w:rPr>
        <w:rFonts w:hint="default" w:ascii="Wingdings" w:hAnsi="Wingdings"/>
      </w:rPr>
    </w:lvl>
    <w:lvl w:ilvl="6" w:tplc="08090001" w:tentative="1">
      <w:start w:val="1"/>
      <w:numFmt w:val="bullet"/>
      <w:lvlText w:val=""/>
      <w:lvlJc w:val="left"/>
      <w:pPr>
        <w:ind w:left="5125" w:hanging="360"/>
      </w:pPr>
      <w:rPr>
        <w:rFonts w:hint="default" w:ascii="Symbol" w:hAnsi="Symbol"/>
      </w:rPr>
    </w:lvl>
    <w:lvl w:ilvl="7" w:tplc="08090003" w:tentative="1">
      <w:start w:val="1"/>
      <w:numFmt w:val="bullet"/>
      <w:lvlText w:val="o"/>
      <w:lvlJc w:val="left"/>
      <w:pPr>
        <w:ind w:left="5845" w:hanging="360"/>
      </w:pPr>
      <w:rPr>
        <w:rFonts w:hint="default" w:ascii="Courier New" w:hAnsi="Courier New" w:cs="Courier New"/>
      </w:rPr>
    </w:lvl>
    <w:lvl w:ilvl="8" w:tplc="08090005" w:tentative="1">
      <w:start w:val="1"/>
      <w:numFmt w:val="bullet"/>
      <w:lvlText w:val=""/>
      <w:lvlJc w:val="left"/>
      <w:pPr>
        <w:ind w:left="6565" w:hanging="360"/>
      </w:pPr>
      <w:rPr>
        <w:rFonts w:hint="default" w:ascii="Wingdings" w:hAnsi="Wingdings"/>
      </w:rPr>
    </w:lvl>
  </w:abstractNum>
  <w:abstractNum w:abstractNumId="22" w15:restartNumberingAfterBreak="0">
    <w:nsid w:val="09B87F1E"/>
    <w:multiLevelType w:val="hybridMultilevel"/>
    <w:tmpl w:val="3BD2620A"/>
    <w:lvl w:ilvl="0" w:tplc="7E0ADF18">
      <w:start w:val="1"/>
      <w:numFmt w:val="lowerLetter"/>
      <w:lvlText w:val="%1."/>
      <w:lvlJc w:val="left"/>
      <w:pPr>
        <w:ind w:left="720" w:hanging="360"/>
      </w:pPr>
      <w:rPr>
        <w:rFonts w:hint="default" w:asciiTheme="minorHAnsi" w:hAnsiTheme="minorHAnsi" w:eastAsiaTheme="minorHAnsi" w:cstheme="minorBid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A150AB2"/>
    <w:multiLevelType w:val="hybridMultilevel"/>
    <w:tmpl w:val="FFFFFFFF"/>
    <w:lvl w:ilvl="0" w:tplc="DFCEA6E2">
      <w:start w:val="1"/>
      <w:numFmt w:val="decimal"/>
      <w:lvlText w:val="%1."/>
      <w:lvlJc w:val="left"/>
      <w:pPr>
        <w:ind w:left="720" w:hanging="360"/>
      </w:pPr>
    </w:lvl>
    <w:lvl w:ilvl="1" w:tplc="BC00EFEA">
      <w:start w:val="1"/>
      <w:numFmt w:val="lowerLetter"/>
      <w:lvlText w:val="%2."/>
      <w:lvlJc w:val="left"/>
      <w:pPr>
        <w:ind w:left="1440" w:hanging="360"/>
      </w:pPr>
    </w:lvl>
    <w:lvl w:ilvl="2" w:tplc="6AD63000">
      <w:start w:val="1"/>
      <w:numFmt w:val="lowerRoman"/>
      <w:lvlText w:val="%3."/>
      <w:lvlJc w:val="right"/>
      <w:pPr>
        <w:ind w:left="2160" w:hanging="180"/>
      </w:pPr>
    </w:lvl>
    <w:lvl w:ilvl="3" w:tplc="E7B83BE2">
      <w:start w:val="1"/>
      <w:numFmt w:val="decimal"/>
      <w:lvlText w:val="%4."/>
      <w:lvlJc w:val="left"/>
      <w:pPr>
        <w:ind w:left="2880" w:hanging="360"/>
      </w:pPr>
    </w:lvl>
    <w:lvl w:ilvl="4" w:tplc="99D88C2A">
      <w:start w:val="1"/>
      <w:numFmt w:val="lowerLetter"/>
      <w:lvlText w:val="%5."/>
      <w:lvlJc w:val="left"/>
      <w:pPr>
        <w:ind w:left="3600" w:hanging="360"/>
      </w:pPr>
    </w:lvl>
    <w:lvl w:ilvl="5" w:tplc="CD642A86">
      <w:start w:val="1"/>
      <w:numFmt w:val="lowerRoman"/>
      <w:lvlText w:val="%6."/>
      <w:lvlJc w:val="right"/>
      <w:pPr>
        <w:ind w:left="4320" w:hanging="180"/>
      </w:pPr>
    </w:lvl>
    <w:lvl w:ilvl="6" w:tplc="C4DA7404">
      <w:start w:val="1"/>
      <w:numFmt w:val="decimal"/>
      <w:lvlText w:val="%7."/>
      <w:lvlJc w:val="left"/>
      <w:pPr>
        <w:ind w:left="5040" w:hanging="360"/>
      </w:pPr>
    </w:lvl>
    <w:lvl w:ilvl="7" w:tplc="1AF6C94A">
      <w:start w:val="1"/>
      <w:numFmt w:val="lowerLetter"/>
      <w:lvlText w:val="%8."/>
      <w:lvlJc w:val="left"/>
      <w:pPr>
        <w:ind w:left="5760" w:hanging="360"/>
      </w:pPr>
    </w:lvl>
    <w:lvl w:ilvl="8" w:tplc="BEAA3690">
      <w:start w:val="1"/>
      <w:numFmt w:val="lowerRoman"/>
      <w:lvlText w:val="%9."/>
      <w:lvlJc w:val="right"/>
      <w:pPr>
        <w:ind w:left="6480" w:hanging="180"/>
      </w:pPr>
    </w:lvl>
  </w:abstractNum>
  <w:abstractNum w:abstractNumId="24" w15:restartNumberingAfterBreak="0">
    <w:nsid w:val="0ACB3BB5"/>
    <w:multiLevelType w:val="hybridMultilevel"/>
    <w:tmpl w:val="7E0E5784"/>
    <w:lvl w:ilvl="0" w:tplc="F2485612">
      <w:start w:val="1"/>
      <w:numFmt w:val="bullet"/>
      <w:lvlText w:val="·"/>
      <w:lvlJc w:val="left"/>
      <w:pPr>
        <w:ind w:left="720" w:hanging="360"/>
      </w:pPr>
      <w:rPr>
        <w:rFonts w:hint="default" w:ascii="Symbol" w:hAnsi="Symbol"/>
      </w:rPr>
    </w:lvl>
    <w:lvl w:ilvl="1" w:tplc="5DE0D462">
      <w:start w:val="1"/>
      <w:numFmt w:val="bullet"/>
      <w:lvlText w:val="o"/>
      <w:lvlJc w:val="left"/>
      <w:pPr>
        <w:ind w:left="1440" w:hanging="360"/>
      </w:pPr>
      <w:rPr>
        <w:rFonts w:hint="default" w:ascii="Courier New" w:hAnsi="Courier New"/>
      </w:rPr>
    </w:lvl>
    <w:lvl w:ilvl="2" w:tplc="3A205332">
      <w:start w:val="1"/>
      <w:numFmt w:val="bullet"/>
      <w:lvlText w:val=""/>
      <w:lvlJc w:val="left"/>
      <w:pPr>
        <w:ind w:left="2160" w:hanging="360"/>
      </w:pPr>
      <w:rPr>
        <w:rFonts w:hint="default" w:ascii="Wingdings" w:hAnsi="Wingdings"/>
      </w:rPr>
    </w:lvl>
    <w:lvl w:ilvl="3" w:tplc="3E2C7C82">
      <w:start w:val="1"/>
      <w:numFmt w:val="bullet"/>
      <w:lvlText w:val=""/>
      <w:lvlJc w:val="left"/>
      <w:pPr>
        <w:ind w:left="2880" w:hanging="360"/>
      </w:pPr>
      <w:rPr>
        <w:rFonts w:hint="default" w:ascii="Symbol" w:hAnsi="Symbol"/>
      </w:rPr>
    </w:lvl>
    <w:lvl w:ilvl="4" w:tplc="FEBE78CE">
      <w:start w:val="1"/>
      <w:numFmt w:val="bullet"/>
      <w:lvlText w:val="o"/>
      <w:lvlJc w:val="left"/>
      <w:pPr>
        <w:ind w:left="3600" w:hanging="360"/>
      </w:pPr>
      <w:rPr>
        <w:rFonts w:hint="default" w:ascii="Courier New" w:hAnsi="Courier New"/>
      </w:rPr>
    </w:lvl>
    <w:lvl w:ilvl="5" w:tplc="F15A9038">
      <w:start w:val="1"/>
      <w:numFmt w:val="bullet"/>
      <w:lvlText w:val=""/>
      <w:lvlJc w:val="left"/>
      <w:pPr>
        <w:ind w:left="4320" w:hanging="360"/>
      </w:pPr>
      <w:rPr>
        <w:rFonts w:hint="default" w:ascii="Wingdings" w:hAnsi="Wingdings"/>
      </w:rPr>
    </w:lvl>
    <w:lvl w:ilvl="6" w:tplc="24F4297C">
      <w:start w:val="1"/>
      <w:numFmt w:val="bullet"/>
      <w:lvlText w:val=""/>
      <w:lvlJc w:val="left"/>
      <w:pPr>
        <w:ind w:left="5040" w:hanging="360"/>
      </w:pPr>
      <w:rPr>
        <w:rFonts w:hint="default" w:ascii="Symbol" w:hAnsi="Symbol"/>
      </w:rPr>
    </w:lvl>
    <w:lvl w:ilvl="7" w:tplc="F2508BD4">
      <w:start w:val="1"/>
      <w:numFmt w:val="bullet"/>
      <w:lvlText w:val="o"/>
      <w:lvlJc w:val="left"/>
      <w:pPr>
        <w:ind w:left="5760" w:hanging="360"/>
      </w:pPr>
      <w:rPr>
        <w:rFonts w:hint="default" w:ascii="Courier New" w:hAnsi="Courier New"/>
      </w:rPr>
    </w:lvl>
    <w:lvl w:ilvl="8" w:tplc="E6F87978">
      <w:start w:val="1"/>
      <w:numFmt w:val="bullet"/>
      <w:lvlText w:val=""/>
      <w:lvlJc w:val="left"/>
      <w:pPr>
        <w:ind w:left="6480" w:hanging="360"/>
      </w:pPr>
      <w:rPr>
        <w:rFonts w:hint="default" w:ascii="Wingdings" w:hAnsi="Wingdings"/>
      </w:rPr>
    </w:lvl>
  </w:abstractNum>
  <w:abstractNum w:abstractNumId="25" w15:restartNumberingAfterBreak="0">
    <w:nsid w:val="0B404176"/>
    <w:multiLevelType w:val="hybridMultilevel"/>
    <w:tmpl w:val="FFFFFFFF"/>
    <w:lvl w:ilvl="0" w:tplc="FEF0EB64">
      <w:start w:val="1"/>
      <w:numFmt w:val="bullet"/>
      <w:lvlText w:val="·"/>
      <w:lvlJc w:val="left"/>
      <w:pPr>
        <w:ind w:left="720" w:hanging="360"/>
      </w:pPr>
      <w:rPr>
        <w:rFonts w:hint="default" w:ascii="Symbol" w:hAnsi="Symbol"/>
      </w:rPr>
    </w:lvl>
    <w:lvl w:ilvl="1" w:tplc="EA124254">
      <w:start w:val="1"/>
      <w:numFmt w:val="bullet"/>
      <w:lvlText w:val="o"/>
      <w:lvlJc w:val="left"/>
      <w:pPr>
        <w:ind w:left="1440" w:hanging="360"/>
      </w:pPr>
      <w:rPr>
        <w:rFonts w:hint="default" w:ascii="Courier New" w:hAnsi="Courier New"/>
      </w:rPr>
    </w:lvl>
    <w:lvl w:ilvl="2" w:tplc="2654F1F6">
      <w:start w:val="1"/>
      <w:numFmt w:val="bullet"/>
      <w:lvlText w:val=""/>
      <w:lvlJc w:val="left"/>
      <w:pPr>
        <w:ind w:left="2160" w:hanging="360"/>
      </w:pPr>
      <w:rPr>
        <w:rFonts w:hint="default" w:ascii="Wingdings" w:hAnsi="Wingdings"/>
      </w:rPr>
    </w:lvl>
    <w:lvl w:ilvl="3" w:tplc="FEC6870E">
      <w:start w:val="1"/>
      <w:numFmt w:val="bullet"/>
      <w:lvlText w:val=""/>
      <w:lvlJc w:val="left"/>
      <w:pPr>
        <w:ind w:left="2880" w:hanging="360"/>
      </w:pPr>
      <w:rPr>
        <w:rFonts w:hint="default" w:ascii="Symbol" w:hAnsi="Symbol"/>
      </w:rPr>
    </w:lvl>
    <w:lvl w:ilvl="4" w:tplc="CC2EBE6C">
      <w:start w:val="1"/>
      <w:numFmt w:val="bullet"/>
      <w:lvlText w:val="o"/>
      <w:lvlJc w:val="left"/>
      <w:pPr>
        <w:ind w:left="3600" w:hanging="360"/>
      </w:pPr>
      <w:rPr>
        <w:rFonts w:hint="default" w:ascii="Courier New" w:hAnsi="Courier New"/>
      </w:rPr>
    </w:lvl>
    <w:lvl w:ilvl="5" w:tplc="BD00317E">
      <w:start w:val="1"/>
      <w:numFmt w:val="bullet"/>
      <w:lvlText w:val=""/>
      <w:lvlJc w:val="left"/>
      <w:pPr>
        <w:ind w:left="4320" w:hanging="360"/>
      </w:pPr>
      <w:rPr>
        <w:rFonts w:hint="default" w:ascii="Wingdings" w:hAnsi="Wingdings"/>
      </w:rPr>
    </w:lvl>
    <w:lvl w:ilvl="6" w:tplc="3F6C9D0C">
      <w:start w:val="1"/>
      <w:numFmt w:val="bullet"/>
      <w:lvlText w:val=""/>
      <w:lvlJc w:val="left"/>
      <w:pPr>
        <w:ind w:left="5040" w:hanging="360"/>
      </w:pPr>
      <w:rPr>
        <w:rFonts w:hint="default" w:ascii="Symbol" w:hAnsi="Symbol"/>
      </w:rPr>
    </w:lvl>
    <w:lvl w:ilvl="7" w:tplc="7882880A">
      <w:start w:val="1"/>
      <w:numFmt w:val="bullet"/>
      <w:lvlText w:val="o"/>
      <w:lvlJc w:val="left"/>
      <w:pPr>
        <w:ind w:left="5760" w:hanging="360"/>
      </w:pPr>
      <w:rPr>
        <w:rFonts w:hint="default" w:ascii="Courier New" w:hAnsi="Courier New"/>
      </w:rPr>
    </w:lvl>
    <w:lvl w:ilvl="8" w:tplc="9188834C">
      <w:start w:val="1"/>
      <w:numFmt w:val="bullet"/>
      <w:lvlText w:val=""/>
      <w:lvlJc w:val="left"/>
      <w:pPr>
        <w:ind w:left="6480" w:hanging="360"/>
      </w:pPr>
      <w:rPr>
        <w:rFonts w:hint="default" w:ascii="Wingdings" w:hAnsi="Wingdings"/>
      </w:rPr>
    </w:lvl>
  </w:abstractNum>
  <w:abstractNum w:abstractNumId="26" w15:restartNumberingAfterBreak="0">
    <w:nsid w:val="0BAC0539"/>
    <w:multiLevelType w:val="hybridMultilevel"/>
    <w:tmpl w:val="06A64D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AE42A1"/>
    <w:multiLevelType w:val="hybridMultilevel"/>
    <w:tmpl w:val="D2DCD4C0"/>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28" w15:restartNumberingAfterBreak="0">
    <w:nsid w:val="0BD519EB"/>
    <w:multiLevelType w:val="hybridMultilevel"/>
    <w:tmpl w:val="285E2AD2"/>
    <w:lvl w:ilvl="0" w:tplc="08090001">
      <w:start w:val="1"/>
      <w:numFmt w:val="bullet"/>
      <w:lvlText w:val=""/>
      <w:lvlJc w:val="left"/>
      <w:pPr>
        <w:ind w:left="720" w:hanging="360"/>
      </w:pPr>
      <w:rPr>
        <w:rFonts w:hint="default" w:ascii="Symbol" w:hAnsi="Symbo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C640644"/>
    <w:multiLevelType w:val="hybridMultilevel"/>
    <w:tmpl w:val="0F882124"/>
    <w:lvl w:ilvl="0" w:tplc="EB4A34E8">
      <w:start w:val="1"/>
      <w:numFmt w:val="decimal"/>
      <w:lvlText w:val="%1."/>
      <w:lvlJc w:val="left"/>
      <w:pPr>
        <w:ind w:left="720" w:hanging="360"/>
      </w:pPr>
    </w:lvl>
    <w:lvl w:ilvl="1" w:tplc="F30EFE10">
      <w:start w:val="1"/>
      <w:numFmt w:val="lowerLetter"/>
      <w:lvlText w:val="%2."/>
      <w:lvlJc w:val="left"/>
      <w:pPr>
        <w:ind w:left="1440" w:hanging="360"/>
      </w:pPr>
    </w:lvl>
    <w:lvl w:ilvl="2" w:tplc="6B6C8294">
      <w:start w:val="1"/>
      <w:numFmt w:val="lowerRoman"/>
      <w:lvlText w:val="%3."/>
      <w:lvlJc w:val="right"/>
      <w:pPr>
        <w:ind w:left="2160" w:hanging="180"/>
      </w:pPr>
    </w:lvl>
    <w:lvl w:ilvl="3" w:tplc="E83A9D48">
      <w:start w:val="1"/>
      <w:numFmt w:val="decimal"/>
      <w:lvlText w:val="%4."/>
      <w:lvlJc w:val="left"/>
      <w:pPr>
        <w:ind w:left="2880" w:hanging="360"/>
      </w:pPr>
    </w:lvl>
    <w:lvl w:ilvl="4" w:tplc="683059B4">
      <w:start w:val="1"/>
      <w:numFmt w:val="lowerLetter"/>
      <w:lvlText w:val="%5."/>
      <w:lvlJc w:val="left"/>
      <w:pPr>
        <w:ind w:left="3600" w:hanging="360"/>
      </w:pPr>
    </w:lvl>
    <w:lvl w:ilvl="5" w:tplc="C554C3D8">
      <w:start w:val="1"/>
      <w:numFmt w:val="lowerRoman"/>
      <w:lvlText w:val="%6."/>
      <w:lvlJc w:val="right"/>
      <w:pPr>
        <w:ind w:left="4320" w:hanging="180"/>
      </w:pPr>
    </w:lvl>
    <w:lvl w:ilvl="6" w:tplc="A742FE54">
      <w:start w:val="1"/>
      <w:numFmt w:val="decimal"/>
      <w:lvlText w:val="%7."/>
      <w:lvlJc w:val="left"/>
      <w:pPr>
        <w:ind w:left="5040" w:hanging="360"/>
      </w:pPr>
    </w:lvl>
    <w:lvl w:ilvl="7" w:tplc="A9CC7968">
      <w:start w:val="1"/>
      <w:numFmt w:val="lowerLetter"/>
      <w:lvlText w:val="%8."/>
      <w:lvlJc w:val="left"/>
      <w:pPr>
        <w:ind w:left="5760" w:hanging="360"/>
      </w:pPr>
    </w:lvl>
    <w:lvl w:ilvl="8" w:tplc="1A28CADC">
      <w:start w:val="1"/>
      <w:numFmt w:val="lowerRoman"/>
      <w:lvlText w:val="%9."/>
      <w:lvlJc w:val="right"/>
      <w:pPr>
        <w:ind w:left="6480" w:hanging="180"/>
      </w:pPr>
    </w:lvl>
  </w:abstractNum>
  <w:abstractNum w:abstractNumId="30" w15:restartNumberingAfterBreak="0">
    <w:nsid w:val="0C746B28"/>
    <w:multiLevelType w:val="hybridMultilevel"/>
    <w:tmpl w:val="4D68E646"/>
    <w:lvl w:ilvl="0" w:tplc="08090001">
      <w:start w:val="1"/>
      <w:numFmt w:val="bullet"/>
      <w:lvlText w:val=""/>
      <w:lvlJc w:val="left"/>
      <w:pPr>
        <w:ind w:left="1419" w:hanging="360"/>
      </w:pPr>
      <w:rPr>
        <w:rFonts w:hint="default" w:ascii="Symbol" w:hAnsi="Symbol"/>
      </w:rPr>
    </w:lvl>
    <w:lvl w:ilvl="1" w:tplc="08090003" w:tentative="1">
      <w:start w:val="1"/>
      <w:numFmt w:val="bullet"/>
      <w:lvlText w:val="o"/>
      <w:lvlJc w:val="left"/>
      <w:pPr>
        <w:ind w:left="2139" w:hanging="360"/>
      </w:pPr>
      <w:rPr>
        <w:rFonts w:hint="default" w:ascii="Courier New" w:hAnsi="Courier New" w:cs="Courier New"/>
      </w:rPr>
    </w:lvl>
    <w:lvl w:ilvl="2" w:tplc="08090005" w:tentative="1">
      <w:start w:val="1"/>
      <w:numFmt w:val="bullet"/>
      <w:lvlText w:val=""/>
      <w:lvlJc w:val="left"/>
      <w:pPr>
        <w:ind w:left="2859" w:hanging="360"/>
      </w:pPr>
      <w:rPr>
        <w:rFonts w:hint="default" w:ascii="Wingdings" w:hAnsi="Wingdings"/>
      </w:rPr>
    </w:lvl>
    <w:lvl w:ilvl="3" w:tplc="08090001" w:tentative="1">
      <w:start w:val="1"/>
      <w:numFmt w:val="bullet"/>
      <w:lvlText w:val=""/>
      <w:lvlJc w:val="left"/>
      <w:pPr>
        <w:ind w:left="3579" w:hanging="360"/>
      </w:pPr>
      <w:rPr>
        <w:rFonts w:hint="default" w:ascii="Symbol" w:hAnsi="Symbol"/>
      </w:rPr>
    </w:lvl>
    <w:lvl w:ilvl="4" w:tplc="08090003" w:tentative="1">
      <w:start w:val="1"/>
      <w:numFmt w:val="bullet"/>
      <w:lvlText w:val="o"/>
      <w:lvlJc w:val="left"/>
      <w:pPr>
        <w:ind w:left="4299" w:hanging="360"/>
      </w:pPr>
      <w:rPr>
        <w:rFonts w:hint="default" w:ascii="Courier New" w:hAnsi="Courier New" w:cs="Courier New"/>
      </w:rPr>
    </w:lvl>
    <w:lvl w:ilvl="5" w:tplc="08090005" w:tentative="1">
      <w:start w:val="1"/>
      <w:numFmt w:val="bullet"/>
      <w:lvlText w:val=""/>
      <w:lvlJc w:val="left"/>
      <w:pPr>
        <w:ind w:left="5019" w:hanging="360"/>
      </w:pPr>
      <w:rPr>
        <w:rFonts w:hint="default" w:ascii="Wingdings" w:hAnsi="Wingdings"/>
      </w:rPr>
    </w:lvl>
    <w:lvl w:ilvl="6" w:tplc="08090001" w:tentative="1">
      <w:start w:val="1"/>
      <w:numFmt w:val="bullet"/>
      <w:lvlText w:val=""/>
      <w:lvlJc w:val="left"/>
      <w:pPr>
        <w:ind w:left="5739" w:hanging="360"/>
      </w:pPr>
      <w:rPr>
        <w:rFonts w:hint="default" w:ascii="Symbol" w:hAnsi="Symbol"/>
      </w:rPr>
    </w:lvl>
    <w:lvl w:ilvl="7" w:tplc="08090003" w:tentative="1">
      <w:start w:val="1"/>
      <w:numFmt w:val="bullet"/>
      <w:lvlText w:val="o"/>
      <w:lvlJc w:val="left"/>
      <w:pPr>
        <w:ind w:left="6459" w:hanging="360"/>
      </w:pPr>
      <w:rPr>
        <w:rFonts w:hint="default" w:ascii="Courier New" w:hAnsi="Courier New" w:cs="Courier New"/>
      </w:rPr>
    </w:lvl>
    <w:lvl w:ilvl="8" w:tplc="08090005" w:tentative="1">
      <w:start w:val="1"/>
      <w:numFmt w:val="bullet"/>
      <w:lvlText w:val=""/>
      <w:lvlJc w:val="left"/>
      <w:pPr>
        <w:ind w:left="7179" w:hanging="360"/>
      </w:pPr>
      <w:rPr>
        <w:rFonts w:hint="default" w:ascii="Wingdings" w:hAnsi="Wingdings"/>
      </w:rPr>
    </w:lvl>
  </w:abstractNum>
  <w:abstractNum w:abstractNumId="31" w15:restartNumberingAfterBreak="0">
    <w:nsid w:val="0C815199"/>
    <w:multiLevelType w:val="hybridMultilevel"/>
    <w:tmpl w:val="2AE8749C"/>
    <w:lvl w:ilvl="0" w:tplc="EA4AD4DC">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0D064915"/>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D6E79C9"/>
    <w:multiLevelType w:val="hybridMultilevel"/>
    <w:tmpl w:val="EEE0BEF8"/>
    <w:lvl w:ilvl="0" w:tplc="08090001">
      <w:start w:val="1"/>
      <w:numFmt w:val="bullet"/>
      <w:lvlText w:val=""/>
      <w:lvlJc w:val="left"/>
      <w:pPr>
        <w:ind w:left="975" w:hanging="360"/>
      </w:pPr>
      <w:rPr>
        <w:rFonts w:hint="default" w:ascii="Symbol" w:hAnsi="Symbol"/>
      </w:rPr>
    </w:lvl>
    <w:lvl w:ilvl="1" w:tplc="08090003" w:tentative="1">
      <w:start w:val="1"/>
      <w:numFmt w:val="bullet"/>
      <w:lvlText w:val="o"/>
      <w:lvlJc w:val="left"/>
      <w:pPr>
        <w:ind w:left="1525" w:hanging="360"/>
      </w:pPr>
      <w:rPr>
        <w:rFonts w:hint="default" w:ascii="Courier New" w:hAnsi="Courier New" w:cs="Courier New"/>
      </w:rPr>
    </w:lvl>
    <w:lvl w:ilvl="2" w:tplc="08090005" w:tentative="1">
      <w:start w:val="1"/>
      <w:numFmt w:val="bullet"/>
      <w:lvlText w:val=""/>
      <w:lvlJc w:val="left"/>
      <w:pPr>
        <w:ind w:left="2245" w:hanging="360"/>
      </w:pPr>
      <w:rPr>
        <w:rFonts w:hint="default" w:ascii="Wingdings" w:hAnsi="Wingdings"/>
      </w:rPr>
    </w:lvl>
    <w:lvl w:ilvl="3" w:tplc="08090001" w:tentative="1">
      <w:start w:val="1"/>
      <w:numFmt w:val="bullet"/>
      <w:lvlText w:val=""/>
      <w:lvlJc w:val="left"/>
      <w:pPr>
        <w:ind w:left="2965" w:hanging="360"/>
      </w:pPr>
      <w:rPr>
        <w:rFonts w:hint="default" w:ascii="Symbol" w:hAnsi="Symbol"/>
      </w:rPr>
    </w:lvl>
    <w:lvl w:ilvl="4" w:tplc="08090003" w:tentative="1">
      <w:start w:val="1"/>
      <w:numFmt w:val="bullet"/>
      <w:lvlText w:val="o"/>
      <w:lvlJc w:val="left"/>
      <w:pPr>
        <w:ind w:left="3685" w:hanging="360"/>
      </w:pPr>
      <w:rPr>
        <w:rFonts w:hint="default" w:ascii="Courier New" w:hAnsi="Courier New" w:cs="Courier New"/>
      </w:rPr>
    </w:lvl>
    <w:lvl w:ilvl="5" w:tplc="08090005" w:tentative="1">
      <w:start w:val="1"/>
      <w:numFmt w:val="bullet"/>
      <w:lvlText w:val=""/>
      <w:lvlJc w:val="left"/>
      <w:pPr>
        <w:ind w:left="4405" w:hanging="360"/>
      </w:pPr>
      <w:rPr>
        <w:rFonts w:hint="default" w:ascii="Wingdings" w:hAnsi="Wingdings"/>
      </w:rPr>
    </w:lvl>
    <w:lvl w:ilvl="6" w:tplc="08090001" w:tentative="1">
      <w:start w:val="1"/>
      <w:numFmt w:val="bullet"/>
      <w:lvlText w:val=""/>
      <w:lvlJc w:val="left"/>
      <w:pPr>
        <w:ind w:left="5125" w:hanging="360"/>
      </w:pPr>
      <w:rPr>
        <w:rFonts w:hint="default" w:ascii="Symbol" w:hAnsi="Symbol"/>
      </w:rPr>
    </w:lvl>
    <w:lvl w:ilvl="7" w:tplc="08090003" w:tentative="1">
      <w:start w:val="1"/>
      <w:numFmt w:val="bullet"/>
      <w:lvlText w:val="o"/>
      <w:lvlJc w:val="left"/>
      <w:pPr>
        <w:ind w:left="5845" w:hanging="360"/>
      </w:pPr>
      <w:rPr>
        <w:rFonts w:hint="default" w:ascii="Courier New" w:hAnsi="Courier New" w:cs="Courier New"/>
      </w:rPr>
    </w:lvl>
    <w:lvl w:ilvl="8" w:tplc="08090005" w:tentative="1">
      <w:start w:val="1"/>
      <w:numFmt w:val="bullet"/>
      <w:lvlText w:val=""/>
      <w:lvlJc w:val="left"/>
      <w:pPr>
        <w:ind w:left="6565" w:hanging="360"/>
      </w:pPr>
      <w:rPr>
        <w:rFonts w:hint="default" w:ascii="Wingdings" w:hAnsi="Wingdings"/>
      </w:rPr>
    </w:lvl>
  </w:abstractNum>
  <w:abstractNum w:abstractNumId="34" w15:restartNumberingAfterBreak="0">
    <w:nsid w:val="0DDD153F"/>
    <w:multiLevelType w:val="hybridMultilevel"/>
    <w:tmpl w:val="FFFFFFFF"/>
    <w:lvl w:ilvl="0" w:tplc="A378A13E">
      <w:start w:val="1"/>
      <w:numFmt w:val="bullet"/>
      <w:lvlText w:val="·"/>
      <w:lvlJc w:val="left"/>
      <w:pPr>
        <w:ind w:left="720" w:hanging="360"/>
      </w:pPr>
      <w:rPr>
        <w:rFonts w:hint="default" w:ascii="Symbol" w:hAnsi="Symbol"/>
      </w:rPr>
    </w:lvl>
    <w:lvl w:ilvl="1" w:tplc="513CD8BC">
      <w:start w:val="1"/>
      <w:numFmt w:val="bullet"/>
      <w:lvlText w:val="o"/>
      <w:lvlJc w:val="left"/>
      <w:pPr>
        <w:ind w:left="1440" w:hanging="360"/>
      </w:pPr>
      <w:rPr>
        <w:rFonts w:hint="default" w:ascii="Courier New" w:hAnsi="Courier New"/>
      </w:rPr>
    </w:lvl>
    <w:lvl w:ilvl="2" w:tplc="311426C2">
      <w:start w:val="1"/>
      <w:numFmt w:val="bullet"/>
      <w:lvlText w:val=""/>
      <w:lvlJc w:val="left"/>
      <w:pPr>
        <w:ind w:left="2160" w:hanging="360"/>
      </w:pPr>
      <w:rPr>
        <w:rFonts w:hint="default" w:ascii="Wingdings" w:hAnsi="Wingdings"/>
      </w:rPr>
    </w:lvl>
    <w:lvl w:ilvl="3" w:tplc="636CB83C">
      <w:start w:val="1"/>
      <w:numFmt w:val="bullet"/>
      <w:lvlText w:val=""/>
      <w:lvlJc w:val="left"/>
      <w:pPr>
        <w:ind w:left="2880" w:hanging="360"/>
      </w:pPr>
      <w:rPr>
        <w:rFonts w:hint="default" w:ascii="Symbol" w:hAnsi="Symbol"/>
      </w:rPr>
    </w:lvl>
    <w:lvl w:ilvl="4" w:tplc="6E22A5E2">
      <w:start w:val="1"/>
      <w:numFmt w:val="bullet"/>
      <w:lvlText w:val="o"/>
      <w:lvlJc w:val="left"/>
      <w:pPr>
        <w:ind w:left="3600" w:hanging="360"/>
      </w:pPr>
      <w:rPr>
        <w:rFonts w:hint="default" w:ascii="Courier New" w:hAnsi="Courier New"/>
      </w:rPr>
    </w:lvl>
    <w:lvl w:ilvl="5" w:tplc="5BF6842A">
      <w:start w:val="1"/>
      <w:numFmt w:val="bullet"/>
      <w:lvlText w:val=""/>
      <w:lvlJc w:val="left"/>
      <w:pPr>
        <w:ind w:left="4320" w:hanging="360"/>
      </w:pPr>
      <w:rPr>
        <w:rFonts w:hint="default" w:ascii="Wingdings" w:hAnsi="Wingdings"/>
      </w:rPr>
    </w:lvl>
    <w:lvl w:ilvl="6" w:tplc="DDDA7278">
      <w:start w:val="1"/>
      <w:numFmt w:val="bullet"/>
      <w:lvlText w:val=""/>
      <w:lvlJc w:val="left"/>
      <w:pPr>
        <w:ind w:left="5040" w:hanging="360"/>
      </w:pPr>
      <w:rPr>
        <w:rFonts w:hint="default" w:ascii="Symbol" w:hAnsi="Symbol"/>
      </w:rPr>
    </w:lvl>
    <w:lvl w:ilvl="7" w:tplc="CF9E98F0">
      <w:start w:val="1"/>
      <w:numFmt w:val="bullet"/>
      <w:lvlText w:val="o"/>
      <w:lvlJc w:val="left"/>
      <w:pPr>
        <w:ind w:left="5760" w:hanging="360"/>
      </w:pPr>
      <w:rPr>
        <w:rFonts w:hint="default" w:ascii="Courier New" w:hAnsi="Courier New"/>
      </w:rPr>
    </w:lvl>
    <w:lvl w:ilvl="8" w:tplc="C26419CC">
      <w:start w:val="1"/>
      <w:numFmt w:val="bullet"/>
      <w:lvlText w:val=""/>
      <w:lvlJc w:val="left"/>
      <w:pPr>
        <w:ind w:left="6480" w:hanging="360"/>
      </w:pPr>
      <w:rPr>
        <w:rFonts w:hint="default" w:ascii="Wingdings" w:hAnsi="Wingdings"/>
      </w:rPr>
    </w:lvl>
  </w:abstractNum>
  <w:abstractNum w:abstractNumId="35" w15:restartNumberingAfterBreak="0">
    <w:nsid w:val="0E144329"/>
    <w:multiLevelType w:val="hybridMultilevel"/>
    <w:tmpl w:val="9668C192"/>
    <w:lvl w:ilvl="0" w:tplc="D19ABC80">
      <w:start w:val="1"/>
      <w:numFmt w:val="decimal"/>
      <w:pStyle w:val="Numberedtilelevel1"/>
      <w:lvlText w:val="%1."/>
      <w:lvlJc w:val="left"/>
      <w:pPr>
        <w:ind w:left="360" w:hanging="360"/>
      </w:pPr>
      <w:rPr>
        <w:rFonts w:hint="default"/>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0EB44764"/>
    <w:multiLevelType w:val="hybridMultilevel"/>
    <w:tmpl w:val="2640C6F4"/>
    <w:lvl w:ilvl="0" w:tplc="062C0F5A">
      <w:start w:val="1"/>
      <w:numFmt w:val="bullet"/>
      <w:lvlText w:val=""/>
      <w:lvlJc w:val="left"/>
      <w:pPr>
        <w:ind w:left="720" w:hanging="360"/>
      </w:pPr>
      <w:rPr>
        <w:rFonts w:hint="default" w:ascii="Symbol" w:hAnsi="Symbol"/>
      </w:rPr>
    </w:lvl>
    <w:lvl w:ilvl="1" w:tplc="72EADD1C">
      <w:start w:val="1"/>
      <w:numFmt w:val="bullet"/>
      <w:lvlText w:val="o"/>
      <w:lvlJc w:val="left"/>
      <w:pPr>
        <w:ind w:left="1440" w:hanging="360"/>
      </w:pPr>
      <w:rPr>
        <w:rFonts w:hint="default" w:ascii="Courier New" w:hAnsi="Courier New"/>
      </w:rPr>
    </w:lvl>
    <w:lvl w:ilvl="2" w:tplc="00EA4980">
      <w:start w:val="1"/>
      <w:numFmt w:val="bullet"/>
      <w:lvlText w:val=""/>
      <w:lvlJc w:val="left"/>
      <w:pPr>
        <w:ind w:left="2160" w:hanging="360"/>
      </w:pPr>
      <w:rPr>
        <w:rFonts w:hint="default" w:ascii="Wingdings" w:hAnsi="Wingdings"/>
      </w:rPr>
    </w:lvl>
    <w:lvl w:ilvl="3" w:tplc="2424E060">
      <w:start w:val="1"/>
      <w:numFmt w:val="bullet"/>
      <w:lvlText w:val=""/>
      <w:lvlJc w:val="left"/>
      <w:pPr>
        <w:ind w:left="2880" w:hanging="360"/>
      </w:pPr>
      <w:rPr>
        <w:rFonts w:hint="default" w:ascii="Symbol" w:hAnsi="Symbol"/>
      </w:rPr>
    </w:lvl>
    <w:lvl w:ilvl="4" w:tplc="828843B2">
      <w:start w:val="1"/>
      <w:numFmt w:val="bullet"/>
      <w:lvlText w:val="o"/>
      <w:lvlJc w:val="left"/>
      <w:pPr>
        <w:ind w:left="3600" w:hanging="360"/>
      </w:pPr>
      <w:rPr>
        <w:rFonts w:hint="default" w:ascii="Courier New" w:hAnsi="Courier New"/>
      </w:rPr>
    </w:lvl>
    <w:lvl w:ilvl="5" w:tplc="57166E14">
      <w:start w:val="1"/>
      <w:numFmt w:val="bullet"/>
      <w:lvlText w:val=""/>
      <w:lvlJc w:val="left"/>
      <w:pPr>
        <w:ind w:left="4320" w:hanging="360"/>
      </w:pPr>
      <w:rPr>
        <w:rFonts w:hint="default" w:ascii="Wingdings" w:hAnsi="Wingdings"/>
      </w:rPr>
    </w:lvl>
    <w:lvl w:ilvl="6" w:tplc="7882A628">
      <w:start w:val="1"/>
      <w:numFmt w:val="bullet"/>
      <w:lvlText w:val=""/>
      <w:lvlJc w:val="left"/>
      <w:pPr>
        <w:ind w:left="5040" w:hanging="360"/>
      </w:pPr>
      <w:rPr>
        <w:rFonts w:hint="default" w:ascii="Symbol" w:hAnsi="Symbol"/>
      </w:rPr>
    </w:lvl>
    <w:lvl w:ilvl="7" w:tplc="B62C3334">
      <w:start w:val="1"/>
      <w:numFmt w:val="bullet"/>
      <w:lvlText w:val="o"/>
      <w:lvlJc w:val="left"/>
      <w:pPr>
        <w:ind w:left="5760" w:hanging="360"/>
      </w:pPr>
      <w:rPr>
        <w:rFonts w:hint="default" w:ascii="Courier New" w:hAnsi="Courier New"/>
      </w:rPr>
    </w:lvl>
    <w:lvl w:ilvl="8" w:tplc="D476681A">
      <w:start w:val="1"/>
      <w:numFmt w:val="bullet"/>
      <w:lvlText w:val=""/>
      <w:lvlJc w:val="left"/>
      <w:pPr>
        <w:ind w:left="6480" w:hanging="360"/>
      </w:pPr>
      <w:rPr>
        <w:rFonts w:hint="default" w:ascii="Wingdings" w:hAnsi="Wingdings"/>
      </w:rPr>
    </w:lvl>
  </w:abstractNum>
  <w:abstractNum w:abstractNumId="37" w15:restartNumberingAfterBreak="0">
    <w:nsid w:val="0F5612AA"/>
    <w:multiLevelType w:val="hybridMultilevel"/>
    <w:tmpl w:val="652EF59A"/>
    <w:lvl w:ilvl="0" w:tplc="D988F740">
      <w:start w:val="1"/>
      <w:numFmt w:val="decimal"/>
      <w:lvlText w:val="%1."/>
      <w:lvlJc w:val="left"/>
      <w:pPr>
        <w:ind w:left="720" w:hanging="360"/>
      </w:pPr>
    </w:lvl>
    <w:lvl w:ilvl="1" w:tplc="E1A8789C">
      <w:start w:val="1"/>
      <w:numFmt w:val="lowerLetter"/>
      <w:lvlText w:val="%2."/>
      <w:lvlJc w:val="left"/>
      <w:pPr>
        <w:ind w:left="1440" w:hanging="360"/>
      </w:pPr>
    </w:lvl>
    <w:lvl w:ilvl="2" w:tplc="69DEE3C6">
      <w:start w:val="1"/>
      <w:numFmt w:val="lowerRoman"/>
      <w:lvlText w:val="%3."/>
      <w:lvlJc w:val="right"/>
      <w:pPr>
        <w:ind w:left="2160" w:hanging="180"/>
      </w:pPr>
    </w:lvl>
    <w:lvl w:ilvl="3" w:tplc="D7EAB9BC">
      <w:start w:val="1"/>
      <w:numFmt w:val="decimal"/>
      <w:lvlText w:val="%4."/>
      <w:lvlJc w:val="left"/>
      <w:pPr>
        <w:ind w:left="2880" w:hanging="360"/>
      </w:pPr>
    </w:lvl>
    <w:lvl w:ilvl="4" w:tplc="0AA0F928">
      <w:start w:val="1"/>
      <w:numFmt w:val="lowerLetter"/>
      <w:lvlText w:val="%5."/>
      <w:lvlJc w:val="left"/>
      <w:pPr>
        <w:ind w:left="3600" w:hanging="360"/>
      </w:pPr>
    </w:lvl>
    <w:lvl w:ilvl="5" w:tplc="325AF216">
      <w:start w:val="1"/>
      <w:numFmt w:val="lowerRoman"/>
      <w:lvlText w:val="%6."/>
      <w:lvlJc w:val="right"/>
      <w:pPr>
        <w:ind w:left="4320" w:hanging="180"/>
      </w:pPr>
    </w:lvl>
    <w:lvl w:ilvl="6" w:tplc="EFBEE6EE">
      <w:start w:val="1"/>
      <w:numFmt w:val="decimal"/>
      <w:lvlText w:val="%7."/>
      <w:lvlJc w:val="left"/>
      <w:pPr>
        <w:ind w:left="5040" w:hanging="360"/>
      </w:pPr>
    </w:lvl>
    <w:lvl w:ilvl="7" w:tplc="CC6E3FE6">
      <w:start w:val="1"/>
      <w:numFmt w:val="lowerLetter"/>
      <w:lvlText w:val="%8."/>
      <w:lvlJc w:val="left"/>
      <w:pPr>
        <w:ind w:left="5760" w:hanging="360"/>
      </w:pPr>
    </w:lvl>
    <w:lvl w:ilvl="8" w:tplc="EE223A00">
      <w:start w:val="1"/>
      <w:numFmt w:val="lowerRoman"/>
      <w:lvlText w:val="%9."/>
      <w:lvlJc w:val="right"/>
      <w:pPr>
        <w:ind w:left="6480" w:hanging="180"/>
      </w:pPr>
    </w:lvl>
  </w:abstractNum>
  <w:abstractNum w:abstractNumId="38" w15:restartNumberingAfterBreak="0">
    <w:nsid w:val="0F84792E"/>
    <w:multiLevelType w:val="hybridMultilevel"/>
    <w:tmpl w:val="430A6D7E"/>
    <w:lvl w:ilvl="0" w:tplc="F29AB518">
      <w:start w:val="1"/>
      <w:numFmt w:val="bullet"/>
      <w:lvlText w:val="·"/>
      <w:lvlJc w:val="left"/>
      <w:pPr>
        <w:ind w:left="720" w:hanging="360"/>
      </w:pPr>
      <w:rPr>
        <w:rFonts w:hint="default" w:ascii="Symbol" w:hAnsi="Symbol"/>
      </w:rPr>
    </w:lvl>
    <w:lvl w:ilvl="1" w:tplc="05AC04EC">
      <w:start w:val="1"/>
      <w:numFmt w:val="bullet"/>
      <w:lvlText w:val="o"/>
      <w:lvlJc w:val="left"/>
      <w:pPr>
        <w:ind w:left="1440" w:hanging="360"/>
      </w:pPr>
      <w:rPr>
        <w:rFonts w:hint="default" w:ascii="Courier New" w:hAnsi="Courier New"/>
      </w:rPr>
    </w:lvl>
    <w:lvl w:ilvl="2" w:tplc="52EA3D26">
      <w:start w:val="1"/>
      <w:numFmt w:val="bullet"/>
      <w:lvlText w:val=""/>
      <w:lvlJc w:val="left"/>
      <w:pPr>
        <w:ind w:left="2160" w:hanging="360"/>
      </w:pPr>
      <w:rPr>
        <w:rFonts w:hint="default" w:ascii="Wingdings" w:hAnsi="Wingdings"/>
      </w:rPr>
    </w:lvl>
    <w:lvl w:ilvl="3" w:tplc="55B8DF9A">
      <w:start w:val="1"/>
      <w:numFmt w:val="bullet"/>
      <w:lvlText w:val=""/>
      <w:lvlJc w:val="left"/>
      <w:pPr>
        <w:ind w:left="2880" w:hanging="360"/>
      </w:pPr>
      <w:rPr>
        <w:rFonts w:hint="default" w:ascii="Symbol" w:hAnsi="Symbol"/>
      </w:rPr>
    </w:lvl>
    <w:lvl w:ilvl="4" w:tplc="BD5ADE42">
      <w:start w:val="1"/>
      <w:numFmt w:val="bullet"/>
      <w:lvlText w:val="o"/>
      <w:lvlJc w:val="left"/>
      <w:pPr>
        <w:ind w:left="3600" w:hanging="360"/>
      </w:pPr>
      <w:rPr>
        <w:rFonts w:hint="default" w:ascii="Courier New" w:hAnsi="Courier New"/>
      </w:rPr>
    </w:lvl>
    <w:lvl w:ilvl="5" w:tplc="02DAABC8">
      <w:start w:val="1"/>
      <w:numFmt w:val="bullet"/>
      <w:lvlText w:val=""/>
      <w:lvlJc w:val="left"/>
      <w:pPr>
        <w:ind w:left="4320" w:hanging="360"/>
      </w:pPr>
      <w:rPr>
        <w:rFonts w:hint="default" w:ascii="Wingdings" w:hAnsi="Wingdings"/>
      </w:rPr>
    </w:lvl>
    <w:lvl w:ilvl="6" w:tplc="B060FF70">
      <w:start w:val="1"/>
      <w:numFmt w:val="bullet"/>
      <w:lvlText w:val=""/>
      <w:lvlJc w:val="left"/>
      <w:pPr>
        <w:ind w:left="5040" w:hanging="360"/>
      </w:pPr>
      <w:rPr>
        <w:rFonts w:hint="default" w:ascii="Symbol" w:hAnsi="Symbol"/>
      </w:rPr>
    </w:lvl>
    <w:lvl w:ilvl="7" w:tplc="0B924380">
      <w:start w:val="1"/>
      <w:numFmt w:val="bullet"/>
      <w:lvlText w:val="o"/>
      <w:lvlJc w:val="left"/>
      <w:pPr>
        <w:ind w:left="5760" w:hanging="360"/>
      </w:pPr>
      <w:rPr>
        <w:rFonts w:hint="default" w:ascii="Courier New" w:hAnsi="Courier New"/>
      </w:rPr>
    </w:lvl>
    <w:lvl w:ilvl="8" w:tplc="D7B00598">
      <w:start w:val="1"/>
      <w:numFmt w:val="bullet"/>
      <w:lvlText w:val=""/>
      <w:lvlJc w:val="left"/>
      <w:pPr>
        <w:ind w:left="6480" w:hanging="360"/>
      </w:pPr>
      <w:rPr>
        <w:rFonts w:hint="default" w:ascii="Wingdings" w:hAnsi="Wingdings"/>
      </w:rPr>
    </w:lvl>
  </w:abstractNum>
  <w:abstractNum w:abstractNumId="39" w15:restartNumberingAfterBreak="0">
    <w:nsid w:val="0FC815BA"/>
    <w:multiLevelType w:val="hybridMultilevel"/>
    <w:tmpl w:val="6E2C0A1C"/>
    <w:lvl w:ilvl="0" w:tplc="71A2B31C">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0BC3319"/>
    <w:multiLevelType w:val="hybridMultilevel"/>
    <w:tmpl w:val="FFFFFFFF"/>
    <w:lvl w:ilvl="0" w:tplc="0CA8ECAA">
      <w:start w:val="1"/>
      <w:numFmt w:val="bullet"/>
      <w:lvlText w:val="-"/>
      <w:lvlJc w:val="left"/>
      <w:pPr>
        <w:ind w:left="720" w:hanging="360"/>
      </w:pPr>
      <w:rPr>
        <w:rFonts w:hint="default" w:ascii="Calibri" w:hAnsi="Calibri"/>
      </w:rPr>
    </w:lvl>
    <w:lvl w:ilvl="1" w:tplc="FE78CB3C">
      <w:start w:val="1"/>
      <w:numFmt w:val="bullet"/>
      <w:lvlText w:val="o"/>
      <w:lvlJc w:val="left"/>
      <w:pPr>
        <w:ind w:left="1440" w:hanging="360"/>
      </w:pPr>
      <w:rPr>
        <w:rFonts w:hint="default" w:ascii="Courier New" w:hAnsi="Courier New"/>
      </w:rPr>
    </w:lvl>
    <w:lvl w:ilvl="2" w:tplc="75C0D15C">
      <w:start w:val="1"/>
      <w:numFmt w:val="bullet"/>
      <w:lvlText w:val=""/>
      <w:lvlJc w:val="left"/>
      <w:pPr>
        <w:ind w:left="2160" w:hanging="360"/>
      </w:pPr>
      <w:rPr>
        <w:rFonts w:hint="default" w:ascii="Wingdings" w:hAnsi="Wingdings"/>
      </w:rPr>
    </w:lvl>
    <w:lvl w:ilvl="3" w:tplc="3A7CFB44">
      <w:start w:val="1"/>
      <w:numFmt w:val="bullet"/>
      <w:lvlText w:val=""/>
      <w:lvlJc w:val="left"/>
      <w:pPr>
        <w:ind w:left="2880" w:hanging="360"/>
      </w:pPr>
      <w:rPr>
        <w:rFonts w:hint="default" w:ascii="Symbol" w:hAnsi="Symbol"/>
      </w:rPr>
    </w:lvl>
    <w:lvl w:ilvl="4" w:tplc="2D8CCC1C">
      <w:start w:val="1"/>
      <w:numFmt w:val="bullet"/>
      <w:lvlText w:val="o"/>
      <w:lvlJc w:val="left"/>
      <w:pPr>
        <w:ind w:left="3600" w:hanging="360"/>
      </w:pPr>
      <w:rPr>
        <w:rFonts w:hint="default" w:ascii="Courier New" w:hAnsi="Courier New"/>
      </w:rPr>
    </w:lvl>
    <w:lvl w:ilvl="5" w:tplc="0066BDEC">
      <w:start w:val="1"/>
      <w:numFmt w:val="bullet"/>
      <w:lvlText w:val=""/>
      <w:lvlJc w:val="left"/>
      <w:pPr>
        <w:ind w:left="4320" w:hanging="360"/>
      </w:pPr>
      <w:rPr>
        <w:rFonts w:hint="default" w:ascii="Wingdings" w:hAnsi="Wingdings"/>
      </w:rPr>
    </w:lvl>
    <w:lvl w:ilvl="6" w:tplc="99D60CBE">
      <w:start w:val="1"/>
      <w:numFmt w:val="bullet"/>
      <w:lvlText w:val=""/>
      <w:lvlJc w:val="left"/>
      <w:pPr>
        <w:ind w:left="5040" w:hanging="360"/>
      </w:pPr>
      <w:rPr>
        <w:rFonts w:hint="default" w:ascii="Symbol" w:hAnsi="Symbol"/>
      </w:rPr>
    </w:lvl>
    <w:lvl w:ilvl="7" w:tplc="423A1E3C">
      <w:start w:val="1"/>
      <w:numFmt w:val="bullet"/>
      <w:lvlText w:val="o"/>
      <w:lvlJc w:val="left"/>
      <w:pPr>
        <w:ind w:left="5760" w:hanging="360"/>
      </w:pPr>
      <w:rPr>
        <w:rFonts w:hint="default" w:ascii="Courier New" w:hAnsi="Courier New"/>
      </w:rPr>
    </w:lvl>
    <w:lvl w:ilvl="8" w:tplc="606A3D6E">
      <w:start w:val="1"/>
      <w:numFmt w:val="bullet"/>
      <w:lvlText w:val=""/>
      <w:lvlJc w:val="left"/>
      <w:pPr>
        <w:ind w:left="6480" w:hanging="360"/>
      </w:pPr>
      <w:rPr>
        <w:rFonts w:hint="default" w:ascii="Wingdings" w:hAnsi="Wingdings"/>
      </w:rPr>
    </w:lvl>
  </w:abstractNum>
  <w:abstractNum w:abstractNumId="41" w15:restartNumberingAfterBreak="0">
    <w:nsid w:val="10E25CAD"/>
    <w:multiLevelType w:val="hybridMultilevel"/>
    <w:tmpl w:val="5950CD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11D53EE3"/>
    <w:multiLevelType w:val="hybridMultilevel"/>
    <w:tmpl w:val="82F0B4D6"/>
    <w:lvl w:ilvl="0" w:tplc="0D561A78">
      <w:start w:val="1"/>
      <w:numFmt w:val="decimal"/>
      <w:lvlText w:val="%1."/>
      <w:lvlJc w:val="left"/>
      <w:pPr>
        <w:ind w:left="720" w:hanging="360"/>
      </w:pPr>
    </w:lvl>
    <w:lvl w:ilvl="1" w:tplc="D7127BF4">
      <w:start w:val="1"/>
      <w:numFmt w:val="lowerLetter"/>
      <w:lvlText w:val="%2."/>
      <w:lvlJc w:val="left"/>
      <w:pPr>
        <w:ind w:left="1440" w:hanging="360"/>
      </w:pPr>
    </w:lvl>
    <w:lvl w:ilvl="2" w:tplc="B9B84B20">
      <w:start w:val="1"/>
      <w:numFmt w:val="lowerRoman"/>
      <w:lvlText w:val="%3."/>
      <w:lvlJc w:val="right"/>
      <w:pPr>
        <w:ind w:left="2160" w:hanging="180"/>
      </w:pPr>
    </w:lvl>
    <w:lvl w:ilvl="3" w:tplc="799A6D20">
      <w:start w:val="1"/>
      <w:numFmt w:val="decimal"/>
      <w:lvlText w:val="%4."/>
      <w:lvlJc w:val="left"/>
      <w:pPr>
        <w:ind w:left="2880" w:hanging="360"/>
      </w:pPr>
    </w:lvl>
    <w:lvl w:ilvl="4" w:tplc="DA6C018E">
      <w:start w:val="1"/>
      <w:numFmt w:val="lowerLetter"/>
      <w:lvlText w:val="%5."/>
      <w:lvlJc w:val="left"/>
      <w:pPr>
        <w:ind w:left="3600" w:hanging="360"/>
      </w:pPr>
    </w:lvl>
    <w:lvl w:ilvl="5" w:tplc="FBF2FDF6">
      <w:start w:val="1"/>
      <w:numFmt w:val="lowerRoman"/>
      <w:lvlText w:val="%6."/>
      <w:lvlJc w:val="right"/>
      <w:pPr>
        <w:ind w:left="4320" w:hanging="180"/>
      </w:pPr>
    </w:lvl>
    <w:lvl w:ilvl="6" w:tplc="53EA99BC">
      <w:start w:val="1"/>
      <w:numFmt w:val="decimal"/>
      <w:lvlText w:val="%7."/>
      <w:lvlJc w:val="left"/>
      <w:pPr>
        <w:ind w:left="5040" w:hanging="360"/>
      </w:pPr>
    </w:lvl>
    <w:lvl w:ilvl="7" w:tplc="49302B12">
      <w:start w:val="1"/>
      <w:numFmt w:val="lowerLetter"/>
      <w:lvlText w:val="%8."/>
      <w:lvlJc w:val="left"/>
      <w:pPr>
        <w:ind w:left="5760" w:hanging="360"/>
      </w:pPr>
    </w:lvl>
    <w:lvl w:ilvl="8" w:tplc="A5449776">
      <w:start w:val="1"/>
      <w:numFmt w:val="lowerRoman"/>
      <w:lvlText w:val="%9."/>
      <w:lvlJc w:val="right"/>
      <w:pPr>
        <w:ind w:left="6480" w:hanging="180"/>
      </w:pPr>
    </w:lvl>
  </w:abstractNum>
  <w:abstractNum w:abstractNumId="43" w15:restartNumberingAfterBreak="0">
    <w:nsid w:val="121A10FA"/>
    <w:multiLevelType w:val="hybridMultilevel"/>
    <w:tmpl w:val="FFFFFFFF"/>
    <w:lvl w:ilvl="0" w:tplc="F0BABC8C">
      <w:start w:val="1"/>
      <w:numFmt w:val="decimal"/>
      <w:lvlText w:val="%1."/>
      <w:lvlJc w:val="left"/>
      <w:pPr>
        <w:ind w:left="720" w:hanging="360"/>
      </w:pPr>
    </w:lvl>
    <w:lvl w:ilvl="1" w:tplc="D5C442B6">
      <w:start w:val="1"/>
      <w:numFmt w:val="lowerLetter"/>
      <w:lvlText w:val="%2."/>
      <w:lvlJc w:val="left"/>
      <w:pPr>
        <w:ind w:left="1440" w:hanging="360"/>
      </w:pPr>
    </w:lvl>
    <w:lvl w:ilvl="2" w:tplc="9CFAAFC8">
      <w:start w:val="1"/>
      <w:numFmt w:val="lowerRoman"/>
      <w:lvlText w:val="%3."/>
      <w:lvlJc w:val="right"/>
      <w:pPr>
        <w:ind w:left="2160" w:hanging="180"/>
      </w:pPr>
    </w:lvl>
    <w:lvl w:ilvl="3" w:tplc="3488A4EE">
      <w:start w:val="1"/>
      <w:numFmt w:val="decimal"/>
      <w:lvlText w:val="%4."/>
      <w:lvlJc w:val="left"/>
      <w:pPr>
        <w:ind w:left="2880" w:hanging="360"/>
      </w:pPr>
    </w:lvl>
    <w:lvl w:ilvl="4" w:tplc="DAE28FC4">
      <w:start w:val="1"/>
      <w:numFmt w:val="lowerLetter"/>
      <w:lvlText w:val="%5."/>
      <w:lvlJc w:val="left"/>
      <w:pPr>
        <w:ind w:left="3600" w:hanging="360"/>
      </w:pPr>
    </w:lvl>
    <w:lvl w:ilvl="5" w:tplc="B6207E86">
      <w:start w:val="1"/>
      <w:numFmt w:val="lowerRoman"/>
      <w:lvlText w:val="%6."/>
      <w:lvlJc w:val="right"/>
      <w:pPr>
        <w:ind w:left="4320" w:hanging="180"/>
      </w:pPr>
    </w:lvl>
    <w:lvl w:ilvl="6" w:tplc="5EDC8DE2">
      <w:start w:val="1"/>
      <w:numFmt w:val="decimal"/>
      <w:lvlText w:val="%7."/>
      <w:lvlJc w:val="left"/>
      <w:pPr>
        <w:ind w:left="5040" w:hanging="360"/>
      </w:pPr>
    </w:lvl>
    <w:lvl w:ilvl="7" w:tplc="9728643E">
      <w:start w:val="1"/>
      <w:numFmt w:val="lowerLetter"/>
      <w:lvlText w:val="%8."/>
      <w:lvlJc w:val="left"/>
      <w:pPr>
        <w:ind w:left="5760" w:hanging="360"/>
      </w:pPr>
    </w:lvl>
    <w:lvl w:ilvl="8" w:tplc="F634F4D2">
      <w:start w:val="1"/>
      <w:numFmt w:val="lowerRoman"/>
      <w:lvlText w:val="%9."/>
      <w:lvlJc w:val="right"/>
      <w:pPr>
        <w:ind w:left="6480" w:hanging="180"/>
      </w:pPr>
    </w:lvl>
  </w:abstractNum>
  <w:abstractNum w:abstractNumId="44" w15:restartNumberingAfterBreak="0">
    <w:nsid w:val="13710F59"/>
    <w:multiLevelType w:val="hybridMultilevel"/>
    <w:tmpl w:val="736A107C"/>
    <w:lvl w:ilvl="0" w:tplc="829AB43C">
      <w:start w:val="1"/>
      <w:numFmt w:val="decimal"/>
      <w:pStyle w:val="Baseparagraphnumbered"/>
      <w:lvlText w:val="%1."/>
      <w:lvlJc w:val="left"/>
      <w:pPr>
        <w:ind w:left="786" w:hanging="360"/>
      </w:pPr>
      <w:rPr>
        <w:lang w:val="en-US"/>
      </w:rPr>
    </w:lvl>
    <w:lvl w:ilvl="1" w:tplc="E8245F5A">
      <w:start w:val="1"/>
      <w:numFmt w:val="lowerLetter"/>
      <w:lvlText w:val="(%2)"/>
      <w:lvlJc w:val="left"/>
      <w:pPr>
        <w:ind w:left="1494" w:hanging="360"/>
      </w:pPr>
      <w:rPr>
        <w:rFonts w:ascii="Times New Roman" w:hAnsi="Times New Roman" w:eastAsia="Times New Roman" w:cs="Times New Roman"/>
      </w:rPr>
    </w:lvl>
    <w:lvl w:ilvl="2" w:tplc="5BE4D2A0" w:tentative="1">
      <w:start w:val="1"/>
      <w:numFmt w:val="lowerRoman"/>
      <w:lvlText w:val="%3."/>
      <w:lvlJc w:val="right"/>
      <w:pPr>
        <w:ind w:left="2225" w:hanging="180"/>
      </w:pPr>
    </w:lvl>
    <w:lvl w:ilvl="3" w:tplc="E8A6BEAE" w:tentative="1">
      <w:start w:val="1"/>
      <w:numFmt w:val="decimal"/>
      <w:lvlText w:val="%4."/>
      <w:lvlJc w:val="left"/>
      <w:pPr>
        <w:ind w:left="2945" w:hanging="360"/>
      </w:pPr>
    </w:lvl>
    <w:lvl w:ilvl="4" w:tplc="9A703294" w:tentative="1">
      <w:start w:val="1"/>
      <w:numFmt w:val="lowerLetter"/>
      <w:lvlText w:val="%5."/>
      <w:lvlJc w:val="left"/>
      <w:pPr>
        <w:ind w:left="3665" w:hanging="360"/>
      </w:pPr>
    </w:lvl>
    <w:lvl w:ilvl="5" w:tplc="B14C4D10" w:tentative="1">
      <w:start w:val="1"/>
      <w:numFmt w:val="lowerRoman"/>
      <w:lvlText w:val="%6."/>
      <w:lvlJc w:val="right"/>
      <w:pPr>
        <w:ind w:left="4385" w:hanging="180"/>
      </w:pPr>
    </w:lvl>
    <w:lvl w:ilvl="6" w:tplc="EECA4DA6" w:tentative="1">
      <w:start w:val="1"/>
      <w:numFmt w:val="decimal"/>
      <w:lvlText w:val="%7."/>
      <w:lvlJc w:val="left"/>
      <w:pPr>
        <w:ind w:left="5105" w:hanging="360"/>
      </w:pPr>
    </w:lvl>
    <w:lvl w:ilvl="7" w:tplc="444C72AC" w:tentative="1">
      <w:start w:val="1"/>
      <w:numFmt w:val="lowerLetter"/>
      <w:lvlText w:val="%8."/>
      <w:lvlJc w:val="left"/>
      <w:pPr>
        <w:ind w:left="5825" w:hanging="360"/>
      </w:pPr>
    </w:lvl>
    <w:lvl w:ilvl="8" w:tplc="C9C872DC" w:tentative="1">
      <w:start w:val="1"/>
      <w:numFmt w:val="lowerRoman"/>
      <w:lvlText w:val="%9."/>
      <w:lvlJc w:val="right"/>
      <w:pPr>
        <w:ind w:left="6545" w:hanging="180"/>
      </w:pPr>
    </w:lvl>
  </w:abstractNum>
  <w:abstractNum w:abstractNumId="45" w15:restartNumberingAfterBreak="0">
    <w:nsid w:val="13777390"/>
    <w:multiLevelType w:val="hybridMultilevel"/>
    <w:tmpl w:val="79926B24"/>
    <w:lvl w:ilvl="0" w:tplc="50CE3E94">
      <w:start w:val="1"/>
      <w:numFmt w:val="lowerRoman"/>
      <w:lvlText w:val="(%1)"/>
      <w:lvlJc w:val="left"/>
      <w:pPr>
        <w:ind w:left="75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38205D5"/>
    <w:multiLevelType w:val="hybridMultilevel"/>
    <w:tmpl w:val="DAAEFD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41524A7"/>
    <w:multiLevelType w:val="hybridMultilevel"/>
    <w:tmpl w:val="CA4EA508"/>
    <w:lvl w:ilvl="0" w:tplc="C4EC37F0">
      <w:start w:val="1"/>
      <w:numFmt w:val="decimal"/>
      <w:lvlText w:val="%1."/>
      <w:lvlJc w:val="left"/>
      <w:pPr>
        <w:ind w:left="720" w:hanging="360"/>
      </w:pPr>
    </w:lvl>
    <w:lvl w:ilvl="1" w:tplc="392EF07E">
      <w:start w:val="1"/>
      <w:numFmt w:val="lowerLetter"/>
      <w:lvlText w:val="%2."/>
      <w:lvlJc w:val="left"/>
      <w:pPr>
        <w:ind w:left="1440" w:hanging="360"/>
      </w:pPr>
    </w:lvl>
    <w:lvl w:ilvl="2" w:tplc="B3544EEA">
      <w:start w:val="1"/>
      <w:numFmt w:val="lowerRoman"/>
      <w:lvlText w:val="%3."/>
      <w:lvlJc w:val="right"/>
      <w:pPr>
        <w:ind w:left="2160" w:hanging="180"/>
      </w:pPr>
    </w:lvl>
    <w:lvl w:ilvl="3" w:tplc="B9D82DF0">
      <w:start w:val="1"/>
      <w:numFmt w:val="decimal"/>
      <w:lvlText w:val="%4."/>
      <w:lvlJc w:val="left"/>
      <w:pPr>
        <w:ind w:left="2880" w:hanging="360"/>
      </w:pPr>
    </w:lvl>
    <w:lvl w:ilvl="4" w:tplc="C14C10BE">
      <w:start w:val="1"/>
      <w:numFmt w:val="lowerLetter"/>
      <w:lvlText w:val="%5."/>
      <w:lvlJc w:val="left"/>
      <w:pPr>
        <w:ind w:left="3600" w:hanging="360"/>
      </w:pPr>
    </w:lvl>
    <w:lvl w:ilvl="5" w:tplc="A7026EB2">
      <w:start w:val="1"/>
      <w:numFmt w:val="lowerRoman"/>
      <w:lvlText w:val="%6."/>
      <w:lvlJc w:val="right"/>
      <w:pPr>
        <w:ind w:left="4320" w:hanging="180"/>
      </w:pPr>
    </w:lvl>
    <w:lvl w:ilvl="6" w:tplc="2B0AA70A">
      <w:start w:val="1"/>
      <w:numFmt w:val="decimal"/>
      <w:lvlText w:val="%7."/>
      <w:lvlJc w:val="left"/>
      <w:pPr>
        <w:ind w:left="5040" w:hanging="360"/>
      </w:pPr>
    </w:lvl>
    <w:lvl w:ilvl="7" w:tplc="BB3A337E">
      <w:start w:val="1"/>
      <w:numFmt w:val="lowerLetter"/>
      <w:lvlText w:val="%8."/>
      <w:lvlJc w:val="left"/>
      <w:pPr>
        <w:ind w:left="5760" w:hanging="360"/>
      </w:pPr>
    </w:lvl>
    <w:lvl w:ilvl="8" w:tplc="E6947706">
      <w:start w:val="1"/>
      <w:numFmt w:val="lowerRoman"/>
      <w:lvlText w:val="%9."/>
      <w:lvlJc w:val="right"/>
      <w:pPr>
        <w:ind w:left="6480" w:hanging="180"/>
      </w:pPr>
    </w:lvl>
  </w:abstractNum>
  <w:abstractNum w:abstractNumId="48" w15:restartNumberingAfterBreak="0">
    <w:nsid w:val="151D3A7E"/>
    <w:multiLevelType w:val="hybridMultilevel"/>
    <w:tmpl w:val="FFFFFFFF"/>
    <w:lvl w:ilvl="0" w:tplc="73E6A3C2">
      <w:start w:val="1"/>
      <w:numFmt w:val="bullet"/>
      <w:lvlText w:val="·"/>
      <w:lvlJc w:val="left"/>
      <w:pPr>
        <w:ind w:left="720" w:hanging="360"/>
      </w:pPr>
      <w:rPr>
        <w:rFonts w:hint="default" w:ascii="Symbol" w:hAnsi="Symbol"/>
      </w:rPr>
    </w:lvl>
    <w:lvl w:ilvl="1" w:tplc="DADCC27E">
      <w:start w:val="1"/>
      <w:numFmt w:val="bullet"/>
      <w:lvlText w:val="o"/>
      <w:lvlJc w:val="left"/>
      <w:pPr>
        <w:ind w:left="1440" w:hanging="360"/>
      </w:pPr>
      <w:rPr>
        <w:rFonts w:hint="default" w:ascii="Courier New" w:hAnsi="Courier New"/>
      </w:rPr>
    </w:lvl>
    <w:lvl w:ilvl="2" w:tplc="F1421BE0">
      <w:start w:val="1"/>
      <w:numFmt w:val="bullet"/>
      <w:lvlText w:val=""/>
      <w:lvlJc w:val="left"/>
      <w:pPr>
        <w:ind w:left="2160" w:hanging="360"/>
      </w:pPr>
      <w:rPr>
        <w:rFonts w:hint="default" w:ascii="Wingdings" w:hAnsi="Wingdings"/>
      </w:rPr>
    </w:lvl>
    <w:lvl w:ilvl="3" w:tplc="AE267072">
      <w:start w:val="1"/>
      <w:numFmt w:val="bullet"/>
      <w:lvlText w:val=""/>
      <w:lvlJc w:val="left"/>
      <w:pPr>
        <w:ind w:left="2880" w:hanging="360"/>
      </w:pPr>
      <w:rPr>
        <w:rFonts w:hint="default" w:ascii="Symbol" w:hAnsi="Symbol"/>
      </w:rPr>
    </w:lvl>
    <w:lvl w:ilvl="4" w:tplc="2120385C">
      <w:start w:val="1"/>
      <w:numFmt w:val="bullet"/>
      <w:lvlText w:val="o"/>
      <w:lvlJc w:val="left"/>
      <w:pPr>
        <w:ind w:left="3600" w:hanging="360"/>
      </w:pPr>
      <w:rPr>
        <w:rFonts w:hint="default" w:ascii="Courier New" w:hAnsi="Courier New"/>
      </w:rPr>
    </w:lvl>
    <w:lvl w:ilvl="5" w:tplc="877628E4">
      <w:start w:val="1"/>
      <w:numFmt w:val="bullet"/>
      <w:lvlText w:val=""/>
      <w:lvlJc w:val="left"/>
      <w:pPr>
        <w:ind w:left="4320" w:hanging="360"/>
      </w:pPr>
      <w:rPr>
        <w:rFonts w:hint="default" w:ascii="Wingdings" w:hAnsi="Wingdings"/>
      </w:rPr>
    </w:lvl>
    <w:lvl w:ilvl="6" w:tplc="18E2F6F2">
      <w:start w:val="1"/>
      <w:numFmt w:val="bullet"/>
      <w:lvlText w:val=""/>
      <w:lvlJc w:val="left"/>
      <w:pPr>
        <w:ind w:left="5040" w:hanging="360"/>
      </w:pPr>
      <w:rPr>
        <w:rFonts w:hint="default" w:ascii="Symbol" w:hAnsi="Symbol"/>
      </w:rPr>
    </w:lvl>
    <w:lvl w:ilvl="7" w:tplc="374CDB98">
      <w:start w:val="1"/>
      <w:numFmt w:val="bullet"/>
      <w:lvlText w:val="o"/>
      <w:lvlJc w:val="left"/>
      <w:pPr>
        <w:ind w:left="5760" w:hanging="360"/>
      </w:pPr>
      <w:rPr>
        <w:rFonts w:hint="default" w:ascii="Courier New" w:hAnsi="Courier New"/>
      </w:rPr>
    </w:lvl>
    <w:lvl w:ilvl="8" w:tplc="EE7CB04E">
      <w:start w:val="1"/>
      <w:numFmt w:val="bullet"/>
      <w:lvlText w:val=""/>
      <w:lvlJc w:val="left"/>
      <w:pPr>
        <w:ind w:left="6480" w:hanging="360"/>
      </w:pPr>
      <w:rPr>
        <w:rFonts w:hint="default" w:ascii="Wingdings" w:hAnsi="Wingdings"/>
      </w:rPr>
    </w:lvl>
  </w:abstractNum>
  <w:abstractNum w:abstractNumId="49" w15:restartNumberingAfterBreak="0">
    <w:nsid w:val="1544779B"/>
    <w:multiLevelType w:val="hybridMultilevel"/>
    <w:tmpl w:val="79BA6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15AA5ABD"/>
    <w:multiLevelType w:val="multilevel"/>
    <w:tmpl w:val="8CF61A5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16CE0019"/>
    <w:multiLevelType w:val="hybridMultilevel"/>
    <w:tmpl w:val="CFE03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16F209D6"/>
    <w:multiLevelType w:val="hybridMultilevel"/>
    <w:tmpl w:val="D6EA50C4"/>
    <w:lvl w:ilvl="0" w:tplc="09148082">
      <w:start w:val="1"/>
      <w:numFmt w:val="decimal"/>
      <w:pStyle w:val="Questionforconsultation"/>
      <w:lvlText w:val="Ques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7304C2A"/>
    <w:multiLevelType w:val="hybridMultilevel"/>
    <w:tmpl w:val="4A528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17A07C4C"/>
    <w:multiLevelType w:val="hybridMultilevel"/>
    <w:tmpl w:val="8BF839BE"/>
    <w:lvl w:ilvl="0" w:tplc="8B4C6146">
      <w:start w:val="1"/>
      <w:numFmt w:val="decimal"/>
      <w:lvlText w:val="%1."/>
      <w:lvlJc w:val="left"/>
      <w:pPr>
        <w:ind w:left="720" w:hanging="360"/>
      </w:pPr>
    </w:lvl>
    <w:lvl w:ilvl="1" w:tplc="3A8EE824">
      <w:start w:val="1"/>
      <w:numFmt w:val="decimal"/>
      <w:lvlText w:val="%2."/>
      <w:lvlJc w:val="left"/>
      <w:pPr>
        <w:ind w:left="1440" w:hanging="360"/>
      </w:pPr>
    </w:lvl>
    <w:lvl w:ilvl="2" w:tplc="65027E7E">
      <w:start w:val="1"/>
      <w:numFmt w:val="lowerRoman"/>
      <w:lvlText w:val="%3."/>
      <w:lvlJc w:val="right"/>
      <w:pPr>
        <w:ind w:left="2160" w:hanging="180"/>
      </w:pPr>
    </w:lvl>
    <w:lvl w:ilvl="3" w:tplc="282EF780">
      <w:start w:val="1"/>
      <w:numFmt w:val="decimal"/>
      <w:lvlText w:val="%4."/>
      <w:lvlJc w:val="left"/>
      <w:pPr>
        <w:ind w:left="2880" w:hanging="360"/>
      </w:pPr>
    </w:lvl>
    <w:lvl w:ilvl="4" w:tplc="B0B0C428">
      <w:start w:val="1"/>
      <w:numFmt w:val="lowerLetter"/>
      <w:lvlText w:val="%5."/>
      <w:lvlJc w:val="left"/>
      <w:pPr>
        <w:ind w:left="3600" w:hanging="360"/>
      </w:pPr>
    </w:lvl>
    <w:lvl w:ilvl="5" w:tplc="E5C8CBD4">
      <w:start w:val="1"/>
      <w:numFmt w:val="lowerRoman"/>
      <w:lvlText w:val="%6."/>
      <w:lvlJc w:val="right"/>
      <w:pPr>
        <w:ind w:left="4320" w:hanging="180"/>
      </w:pPr>
    </w:lvl>
    <w:lvl w:ilvl="6" w:tplc="0D90C03A">
      <w:start w:val="1"/>
      <w:numFmt w:val="decimal"/>
      <w:lvlText w:val="%7."/>
      <w:lvlJc w:val="left"/>
      <w:pPr>
        <w:ind w:left="5040" w:hanging="360"/>
      </w:pPr>
    </w:lvl>
    <w:lvl w:ilvl="7" w:tplc="FE8846FE">
      <w:start w:val="1"/>
      <w:numFmt w:val="lowerLetter"/>
      <w:lvlText w:val="%8."/>
      <w:lvlJc w:val="left"/>
      <w:pPr>
        <w:ind w:left="5760" w:hanging="360"/>
      </w:pPr>
    </w:lvl>
    <w:lvl w:ilvl="8" w:tplc="0D62DFB4">
      <w:start w:val="1"/>
      <w:numFmt w:val="lowerRoman"/>
      <w:lvlText w:val="%9."/>
      <w:lvlJc w:val="right"/>
      <w:pPr>
        <w:ind w:left="6480" w:hanging="180"/>
      </w:pPr>
    </w:lvl>
  </w:abstractNum>
  <w:abstractNum w:abstractNumId="55" w15:restartNumberingAfterBreak="0">
    <w:nsid w:val="17F4167A"/>
    <w:multiLevelType w:val="hybridMultilevel"/>
    <w:tmpl w:val="FFFFFFFF"/>
    <w:lvl w:ilvl="0" w:tplc="D3806AA2">
      <w:start w:val="1"/>
      <w:numFmt w:val="bullet"/>
      <w:lvlText w:val="-"/>
      <w:lvlJc w:val="left"/>
      <w:pPr>
        <w:ind w:left="720" w:hanging="360"/>
      </w:pPr>
      <w:rPr>
        <w:rFonts w:hint="default" w:ascii="Calibri" w:hAnsi="Calibri"/>
      </w:rPr>
    </w:lvl>
    <w:lvl w:ilvl="1" w:tplc="2C38E9DE">
      <w:start w:val="1"/>
      <w:numFmt w:val="bullet"/>
      <w:lvlText w:val="o"/>
      <w:lvlJc w:val="left"/>
      <w:pPr>
        <w:ind w:left="1440" w:hanging="360"/>
      </w:pPr>
      <w:rPr>
        <w:rFonts w:hint="default" w:ascii="Courier New" w:hAnsi="Courier New"/>
      </w:rPr>
    </w:lvl>
    <w:lvl w:ilvl="2" w:tplc="8E8C2270">
      <w:start w:val="1"/>
      <w:numFmt w:val="bullet"/>
      <w:lvlText w:val=""/>
      <w:lvlJc w:val="left"/>
      <w:pPr>
        <w:ind w:left="2160" w:hanging="360"/>
      </w:pPr>
      <w:rPr>
        <w:rFonts w:hint="default" w:ascii="Wingdings" w:hAnsi="Wingdings"/>
      </w:rPr>
    </w:lvl>
    <w:lvl w:ilvl="3" w:tplc="74BE373A">
      <w:start w:val="1"/>
      <w:numFmt w:val="bullet"/>
      <w:lvlText w:val=""/>
      <w:lvlJc w:val="left"/>
      <w:pPr>
        <w:ind w:left="2880" w:hanging="360"/>
      </w:pPr>
      <w:rPr>
        <w:rFonts w:hint="default" w:ascii="Symbol" w:hAnsi="Symbol"/>
      </w:rPr>
    </w:lvl>
    <w:lvl w:ilvl="4" w:tplc="FEEA031E">
      <w:start w:val="1"/>
      <w:numFmt w:val="bullet"/>
      <w:lvlText w:val="o"/>
      <w:lvlJc w:val="left"/>
      <w:pPr>
        <w:ind w:left="3600" w:hanging="360"/>
      </w:pPr>
      <w:rPr>
        <w:rFonts w:hint="default" w:ascii="Courier New" w:hAnsi="Courier New"/>
      </w:rPr>
    </w:lvl>
    <w:lvl w:ilvl="5" w:tplc="EA682F4C">
      <w:start w:val="1"/>
      <w:numFmt w:val="bullet"/>
      <w:lvlText w:val=""/>
      <w:lvlJc w:val="left"/>
      <w:pPr>
        <w:ind w:left="4320" w:hanging="360"/>
      </w:pPr>
      <w:rPr>
        <w:rFonts w:hint="default" w:ascii="Wingdings" w:hAnsi="Wingdings"/>
      </w:rPr>
    </w:lvl>
    <w:lvl w:ilvl="6" w:tplc="EDBCE59C">
      <w:start w:val="1"/>
      <w:numFmt w:val="bullet"/>
      <w:lvlText w:val=""/>
      <w:lvlJc w:val="left"/>
      <w:pPr>
        <w:ind w:left="5040" w:hanging="360"/>
      </w:pPr>
      <w:rPr>
        <w:rFonts w:hint="default" w:ascii="Symbol" w:hAnsi="Symbol"/>
      </w:rPr>
    </w:lvl>
    <w:lvl w:ilvl="7" w:tplc="28C8E89A">
      <w:start w:val="1"/>
      <w:numFmt w:val="bullet"/>
      <w:lvlText w:val="o"/>
      <w:lvlJc w:val="left"/>
      <w:pPr>
        <w:ind w:left="5760" w:hanging="360"/>
      </w:pPr>
      <w:rPr>
        <w:rFonts w:hint="default" w:ascii="Courier New" w:hAnsi="Courier New"/>
      </w:rPr>
    </w:lvl>
    <w:lvl w:ilvl="8" w:tplc="1CC032C8">
      <w:start w:val="1"/>
      <w:numFmt w:val="bullet"/>
      <w:lvlText w:val=""/>
      <w:lvlJc w:val="left"/>
      <w:pPr>
        <w:ind w:left="6480" w:hanging="360"/>
      </w:pPr>
      <w:rPr>
        <w:rFonts w:hint="default" w:ascii="Wingdings" w:hAnsi="Wingdings"/>
      </w:rPr>
    </w:lvl>
  </w:abstractNum>
  <w:abstractNum w:abstractNumId="56" w15:restartNumberingAfterBreak="0">
    <w:nsid w:val="17FF360B"/>
    <w:multiLevelType w:val="hybridMultilevel"/>
    <w:tmpl w:val="DEEA391C"/>
    <w:lvl w:ilvl="0" w:tplc="69BE2396">
      <w:start w:val="1"/>
      <w:numFmt w:val="decimal"/>
      <w:lvlText w:val="%1."/>
      <w:lvlJc w:val="left"/>
      <w:pPr>
        <w:ind w:left="720" w:hanging="360"/>
      </w:pPr>
    </w:lvl>
    <w:lvl w:ilvl="1" w:tplc="7D50F472">
      <w:start w:val="1"/>
      <w:numFmt w:val="lowerLetter"/>
      <w:lvlText w:val="%2."/>
      <w:lvlJc w:val="left"/>
      <w:pPr>
        <w:ind w:left="1440" w:hanging="360"/>
      </w:pPr>
    </w:lvl>
    <w:lvl w:ilvl="2" w:tplc="6B04F864">
      <w:start w:val="1"/>
      <w:numFmt w:val="lowerRoman"/>
      <w:lvlText w:val="%3."/>
      <w:lvlJc w:val="right"/>
      <w:pPr>
        <w:ind w:left="2160" w:hanging="180"/>
      </w:pPr>
    </w:lvl>
    <w:lvl w:ilvl="3" w:tplc="B73877EE">
      <w:start w:val="1"/>
      <w:numFmt w:val="decimal"/>
      <w:lvlText w:val="%4."/>
      <w:lvlJc w:val="left"/>
      <w:pPr>
        <w:ind w:left="2880" w:hanging="360"/>
      </w:pPr>
    </w:lvl>
    <w:lvl w:ilvl="4" w:tplc="6B3426E6">
      <w:start w:val="1"/>
      <w:numFmt w:val="lowerLetter"/>
      <w:lvlText w:val="%5."/>
      <w:lvlJc w:val="left"/>
      <w:pPr>
        <w:ind w:left="3600" w:hanging="360"/>
      </w:pPr>
    </w:lvl>
    <w:lvl w:ilvl="5" w:tplc="BC988446">
      <w:start w:val="1"/>
      <w:numFmt w:val="lowerRoman"/>
      <w:lvlText w:val="%6."/>
      <w:lvlJc w:val="right"/>
      <w:pPr>
        <w:ind w:left="4320" w:hanging="180"/>
      </w:pPr>
    </w:lvl>
    <w:lvl w:ilvl="6" w:tplc="02B66C00">
      <w:start w:val="1"/>
      <w:numFmt w:val="decimal"/>
      <w:lvlText w:val="%7."/>
      <w:lvlJc w:val="left"/>
      <w:pPr>
        <w:ind w:left="5040" w:hanging="360"/>
      </w:pPr>
    </w:lvl>
    <w:lvl w:ilvl="7" w:tplc="9398CC78">
      <w:start w:val="1"/>
      <w:numFmt w:val="lowerLetter"/>
      <w:lvlText w:val="%8."/>
      <w:lvlJc w:val="left"/>
      <w:pPr>
        <w:ind w:left="5760" w:hanging="360"/>
      </w:pPr>
    </w:lvl>
    <w:lvl w:ilvl="8" w:tplc="8EBC3454">
      <w:start w:val="1"/>
      <w:numFmt w:val="lowerRoman"/>
      <w:lvlText w:val="%9."/>
      <w:lvlJc w:val="right"/>
      <w:pPr>
        <w:ind w:left="6480" w:hanging="180"/>
      </w:pPr>
    </w:lvl>
  </w:abstractNum>
  <w:abstractNum w:abstractNumId="57" w15:restartNumberingAfterBreak="0">
    <w:nsid w:val="183612E9"/>
    <w:multiLevelType w:val="hybridMultilevel"/>
    <w:tmpl w:val="315A9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1AF56781"/>
    <w:multiLevelType w:val="hybridMultilevel"/>
    <w:tmpl w:val="D88025B6"/>
    <w:lvl w:ilvl="0" w:tplc="FFFFFFFF">
      <w:start w:val="1"/>
      <w:numFmt w:val="lowerRoman"/>
      <w:pStyle w:val="InstructionsText2"/>
      <w:lvlText w:val="(%1)"/>
      <w:lvlJc w:val="left"/>
      <w:pPr>
        <w:ind w:left="753" w:hanging="720"/>
      </w:p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5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0" w15:restartNumberingAfterBreak="0">
    <w:nsid w:val="1BAB3364"/>
    <w:multiLevelType w:val="hybridMultilevel"/>
    <w:tmpl w:val="8AF6975A"/>
    <w:lvl w:ilvl="0" w:tplc="CCD23C1A">
      <w:start w:val="1"/>
      <w:numFmt w:val="bullet"/>
      <w:lvlText w:val="-"/>
      <w:lvlJc w:val="left"/>
      <w:pPr>
        <w:ind w:left="805" w:hanging="360"/>
      </w:pPr>
      <w:rPr>
        <w:rFonts w:hint="default" w:ascii="Cambria" w:hAnsi="Cambria" w:eastAsia="Cambria" w:cs="Cambria"/>
      </w:rPr>
    </w:lvl>
    <w:lvl w:ilvl="1" w:tplc="08160003" w:tentative="1">
      <w:start w:val="1"/>
      <w:numFmt w:val="bullet"/>
      <w:lvlText w:val="o"/>
      <w:lvlJc w:val="left"/>
      <w:pPr>
        <w:ind w:left="1525" w:hanging="360"/>
      </w:pPr>
      <w:rPr>
        <w:rFonts w:hint="default" w:ascii="Courier New" w:hAnsi="Courier New" w:cs="Courier New"/>
      </w:rPr>
    </w:lvl>
    <w:lvl w:ilvl="2" w:tplc="08160005" w:tentative="1">
      <w:start w:val="1"/>
      <w:numFmt w:val="bullet"/>
      <w:lvlText w:val=""/>
      <w:lvlJc w:val="left"/>
      <w:pPr>
        <w:ind w:left="2245" w:hanging="360"/>
      </w:pPr>
      <w:rPr>
        <w:rFonts w:hint="default" w:ascii="Wingdings" w:hAnsi="Wingdings"/>
      </w:rPr>
    </w:lvl>
    <w:lvl w:ilvl="3" w:tplc="08160001" w:tentative="1">
      <w:start w:val="1"/>
      <w:numFmt w:val="bullet"/>
      <w:lvlText w:val=""/>
      <w:lvlJc w:val="left"/>
      <w:pPr>
        <w:ind w:left="2965" w:hanging="360"/>
      </w:pPr>
      <w:rPr>
        <w:rFonts w:hint="default" w:ascii="Symbol" w:hAnsi="Symbol"/>
      </w:rPr>
    </w:lvl>
    <w:lvl w:ilvl="4" w:tplc="08160003" w:tentative="1">
      <w:start w:val="1"/>
      <w:numFmt w:val="bullet"/>
      <w:lvlText w:val="o"/>
      <w:lvlJc w:val="left"/>
      <w:pPr>
        <w:ind w:left="3685" w:hanging="360"/>
      </w:pPr>
      <w:rPr>
        <w:rFonts w:hint="default" w:ascii="Courier New" w:hAnsi="Courier New" w:cs="Courier New"/>
      </w:rPr>
    </w:lvl>
    <w:lvl w:ilvl="5" w:tplc="08160005" w:tentative="1">
      <w:start w:val="1"/>
      <w:numFmt w:val="bullet"/>
      <w:lvlText w:val=""/>
      <w:lvlJc w:val="left"/>
      <w:pPr>
        <w:ind w:left="4405" w:hanging="360"/>
      </w:pPr>
      <w:rPr>
        <w:rFonts w:hint="default" w:ascii="Wingdings" w:hAnsi="Wingdings"/>
      </w:rPr>
    </w:lvl>
    <w:lvl w:ilvl="6" w:tplc="08160001" w:tentative="1">
      <w:start w:val="1"/>
      <w:numFmt w:val="bullet"/>
      <w:lvlText w:val=""/>
      <w:lvlJc w:val="left"/>
      <w:pPr>
        <w:ind w:left="5125" w:hanging="360"/>
      </w:pPr>
      <w:rPr>
        <w:rFonts w:hint="default" w:ascii="Symbol" w:hAnsi="Symbol"/>
      </w:rPr>
    </w:lvl>
    <w:lvl w:ilvl="7" w:tplc="08160003" w:tentative="1">
      <w:start w:val="1"/>
      <w:numFmt w:val="bullet"/>
      <w:lvlText w:val="o"/>
      <w:lvlJc w:val="left"/>
      <w:pPr>
        <w:ind w:left="5845" w:hanging="360"/>
      </w:pPr>
      <w:rPr>
        <w:rFonts w:hint="default" w:ascii="Courier New" w:hAnsi="Courier New" w:cs="Courier New"/>
      </w:rPr>
    </w:lvl>
    <w:lvl w:ilvl="8" w:tplc="08160005" w:tentative="1">
      <w:start w:val="1"/>
      <w:numFmt w:val="bullet"/>
      <w:lvlText w:val=""/>
      <w:lvlJc w:val="left"/>
      <w:pPr>
        <w:ind w:left="6565" w:hanging="360"/>
      </w:pPr>
      <w:rPr>
        <w:rFonts w:hint="default" w:ascii="Wingdings" w:hAnsi="Wingdings"/>
      </w:rPr>
    </w:lvl>
  </w:abstractNum>
  <w:abstractNum w:abstractNumId="61" w15:restartNumberingAfterBreak="0">
    <w:nsid w:val="1BE549C5"/>
    <w:multiLevelType w:val="hybridMultilevel"/>
    <w:tmpl w:val="A8C62022"/>
    <w:lvl w:ilvl="0" w:tplc="F842C1E4">
      <w:start w:val="1"/>
      <w:numFmt w:val="lowerRoman"/>
      <w:lvlText w:val="(%1)"/>
      <w:lvlJc w:val="left"/>
      <w:pPr>
        <w:ind w:left="753" w:hanging="720"/>
      </w:pPr>
      <w:rPr>
        <w:rFonts w:ascii="Times New Roman" w:hAnsi="Times New Roman" w:eastAsia="Times New Roman" w:cs="Times New Roman"/>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62" w15:restartNumberingAfterBreak="0">
    <w:nsid w:val="1BFF31B6"/>
    <w:multiLevelType w:val="hybridMultilevel"/>
    <w:tmpl w:val="8E98E74A"/>
    <w:lvl w:ilvl="0" w:tplc="ACAA8B04">
      <w:start w:val="1"/>
      <w:numFmt w:val="decimal"/>
      <w:lvlText w:val="%1."/>
      <w:lvlJc w:val="left"/>
      <w:pPr>
        <w:ind w:left="720" w:hanging="360"/>
      </w:pPr>
    </w:lvl>
    <w:lvl w:ilvl="1" w:tplc="7D22FFB8">
      <w:start w:val="1"/>
      <w:numFmt w:val="lowerLetter"/>
      <w:lvlText w:val="%2."/>
      <w:lvlJc w:val="left"/>
      <w:pPr>
        <w:ind w:left="1440" w:hanging="360"/>
      </w:pPr>
    </w:lvl>
    <w:lvl w:ilvl="2" w:tplc="CA26D2FE">
      <w:start w:val="1"/>
      <w:numFmt w:val="lowerRoman"/>
      <w:lvlText w:val="%3."/>
      <w:lvlJc w:val="right"/>
      <w:pPr>
        <w:ind w:left="2160" w:hanging="180"/>
      </w:pPr>
    </w:lvl>
    <w:lvl w:ilvl="3" w:tplc="D1C4FD32">
      <w:start w:val="1"/>
      <w:numFmt w:val="decimal"/>
      <w:lvlText w:val="%4."/>
      <w:lvlJc w:val="left"/>
      <w:pPr>
        <w:ind w:left="2880" w:hanging="360"/>
      </w:pPr>
    </w:lvl>
    <w:lvl w:ilvl="4" w:tplc="0818E144">
      <w:start w:val="1"/>
      <w:numFmt w:val="lowerLetter"/>
      <w:lvlText w:val="%5."/>
      <w:lvlJc w:val="left"/>
      <w:pPr>
        <w:ind w:left="3600" w:hanging="360"/>
      </w:pPr>
    </w:lvl>
    <w:lvl w:ilvl="5" w:tplc="85768914">
      <w:start w:val="1"/>
      <w:numFmt w:val="lowerRoman"/>
      <w:lvlText w:val="%6."/>
      <w:lvlJc w:val="right"/>
      <w:pPr>
        <w:ind w:left="4320" w:hanging="180"/>
      </w:pPr>
    </w:lvl>
    <w:lvl w:ilvl="6" w:tplc="67DE0CFC">
      <w:start w:val="1"/>
      <w:numFmt w:val="decimal"/>
      <w:lvlText w:val="%7."/>
      <w:lvlJc w:val="left"/>
      <w:pPr>
        <w:ind w:left="5040" w:hanging="360"/>
      </w:pPr>
    </w:lvl>
    <w:lvl w:ilvl="7" w:tplc="6D086C82">
      <w:start w:val="1"/>
      <w:numFmt w:val="lowerLetter"/>
      <w:lvlText w:val="%8."/>
      <w:lvlJc w:val="left"/>
      <w:pPr>
        <w:ind w:left="5760" w:hanging="360"/>
      </w:pPr>
    </w:lvl>
    <w:lvl w:ilvl="8" w:tplc="487896A2">
      <w:start w:val="1"/>
      <w:numFmt w:val="lowerRoman"/>
      <w:lvlText w:val="%9."/>
      <w:lvlJc w:val="right"/>
      <w:pPr>
        <w:ind w:left="6480" w:hanging="180"/>
      </w:pPr>
    </w:lvl>
  </w:abstractNum>
  <w:abstractNum w:abstractNumId="63" w15:restartNumberingAfterBreak="0">
    <w:nsid w:val="1CA64CB3"/>
    <w:multiLevelType w:val="hybridMultilevel"/>
    <w:tmpl w:val="7BC0F8E2"/>
    <w:lvl w:ilvl="0" w:tplc="7B92F31A">
      <w:start w:val="1"/>
      <w:numFmt w:val="decimal"/>
      <w:lvlText w:val="%1."/>
      <w:lvlJc w:val="left"/>
      <w:pPr>
        <w:ind w:left="720" w:hanging="360"/>
      </w:pPr>
    </w:lvl>
    <w:lvl w:ilvl="1" w:tplc="EFBCC210">
      <w:start w:val="1"/>
      <w:numFmt w:val="lowerLetter"/>
      <w:lvlText w:val="%2."/>
      <w:lvlJc w:val="left"/>
      <w:pPr>
        <w:ind w:left="1440" w:hanging="360"/>
      </w:pPr>
    </w:lvl>
    <w:lvl w:ilvl="2" w:tplc="804C4D70">
      <w:start w:val="1"/>
      <w:numFmt w:val="lowerRoman"/>
      <w:lvlText w:val="%3."/>
      <w:lvlJc w:val="right"/>
      <w:pPr>
        <w:ind w:left="2160" w:hanging="180"/>
      </w:pPr>
    </w:lvl>
    <w:lvl w:ilvl="3" w:tplc="49F25176">
      <w:start w:val="1"/>
      <w:numFmt w:val="decimal"/>
      <w:lvlText w:val="%4."/>
      <w:lvlJc w:val="left"/>
      <w:pPr>
        <w:ind w:left="2880" w:hanging="360"/>
      </w:pPr>
    </w:lvl>
    <w:lvl w:ilvl="4" w:tplc="73D425A8">
      <w:start w:val="1"/>
      <w:numFmt w:val="lowerLetter"/>
      <w:lvlText w:val="%5."/>
      <w:lvlJc w:val="left"/>
      <w:pPr>
        <w:ind w:left="3600" w:hanging="360"/>
      </w:pPr>
    </w:lvl>
    <w:lvl w:ilvl="5" w:tplc="19F07CAE">
      <w:start w:val="1"/>
      <w:numFmt w:val="lowerRoman"/>
      <w:lvlText w:val="%6."/>
      <w:lvlJc w:val="right"/>
      <w:pPr>
        <w:ind w:left="4320" w:hanging="180"/>
      </w:pPr>
    </w:lvl>
    <w:lvl w:ilvl="6" w:tplc="B796AD18">
      <w:start w:val="1"/>
      <w:numFmt w:val="decimal"/>
      <w:lvlText w:val="%7."/>
      <w:lvlJc w:val="left"/>
      <w:pPr>
        <w:ind w:left="5040" w:hanging="360"/>
      </w:pPr>
    </w:lvl>
    <w:lvl w:ilvl="7" w:tplc="ED36B972">
      <w:start w:val="1"/>
      <w:numFmt w:val="lowerLetter"/>
      <w:lvlText w:val="%8."/>
      <w:lvlJc w:val="left"/>
      <w:pPr>
        <w:ind w:left="5760" w:hanging="360"/>
      </w:pPr>
    </w:lvl>
    <w:lvl w:ilvl="8" w:tplc="03CE765A">
      <w:start w:val="1"/>
      <w:numFmt w:val="lowerRoman"/>
      <w:lvlText w:val="%9."/>
      <w:lvlJc w:val="right"/>
      <w:pPr>
        <w:ind w:left="6480" w:hanging="180"/>
      </w:pPr>
    </w:lvl>
  </w:abstractNum>
  <w:abstractNum w:abstractNumId="64" w15:restartNumberingAfterBreak="0">
    <w:nsid w:val="1CFE6D45"/>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D8F2BF3"/>
    <w:multiLevelType w:val="hybridMultilevel"/>
    <w:tmpl w:val="94E49D02"/>
    <w:lvl w:ilvl="0" w:tplc="CE9CC8B6">
      <w:start w:val="2"/>
      <w:numFmt w:val="bullet"/>
      <w:lvlText w:val="-"/>
      <w:lvlJc w:val="left"/>
      <w:pPr>
        <w:ind w:left="720" w:hanging="360"/>
      </w:pPr>
      <w:rPr>
        <w:rFonts w:hint="default" w:ascii="Verdana" w:hAnsi="Verdana"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1DDB15C1"/>
    <w:multiLevelType w:val="hybridMultilevel"/>
    <w:tmpl w:val="A38E0354"/>
    <w:lvl w:ilvl="0" w:tplc="9CE80BD4">
      <w:start w:val="1"/>
      <w:numFmt w:val="decimal"/>
      <w:lvlText w:val="%1."/>
      <w:lvlJc w:val="left"/>
      <w:pPr>
        <w:ind w:left="530" w:hanging="4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ECC3D9B"/>
    <w:multiLevelType w:val="hybridMultilevel"/>
    <w:tmpl w:val="2ABCD738"/>
    <w:lvl w:ilvl="0" w:tplc="08090001">
      <w:start w:val="1"/>
      <w:numFmt w:val="bullet"/>
      <w:lvlText w:val=""/>
      <w:lvlJc w:val="left"/>
      <w:pPr>
        <w:ind w:left="360" w:hanging="360"/>
      </w:pPr>
      <w:rPr>
        <w:rFonts w:hint="default" w:ascii="Symbol" w:hAnsi="Symbol"/>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1FA53043"/>
    <w:multiLevelType w:val="hybridMultilevel"/>
    <w:tmpl w:val="FFFFFFFF"/>
    <w:lvl w:ilvl="0" w:tplc="56A0BC4A">
      <w:start w:val="1"/>
      <w:numFmt w:val="bullet"/>
      <w:lvlText w:val=""/>
      <w:lvlJc w:val="left"/>
      <w:pPr>
        <w:ind w:left="720" w:hanging="360"/>
      </w:pPr>
      <w:rPr>
        <w:rFonts w:hint="default" w:ascii="Symbol" w:hAnsi="Symbol"/>
      </w:rPr>
    </w:lvl>
    <w:lvl w:ilvl="1" w:tplc="F4BC5EE6">
      <w:start w:val="1"/>
      <w:numFmt w:val="bullet"/>
      <w:lvlText w:val="o"/>
      <w:lvlJc w:val="left"/>
      <w:pPr>
        <w:ind w:left="1440" w:hanging="360"/>
      </w:pPr>
      <w:rPr>
        <w:rFonts w:hint="default" w:ascii="Courier New" w:hAnsi="Courier New"/>
      </w:rPr>
    </w:lvl>
    <w:lvl w:ilvl="2" w:tplc="19506C50">
      <w:start w:val="1"/>
      <w:numFmt w:val="bullet"/>
      <w:lvlText w:val=""/>
      <w:lvlJc w:val="left"/>
      <w:pPr>
        <w:ind w:left="2160" w:hanging="360"/>
      </w:pPr>
      <w:rPr>
        <w:rFonts w:hint="default" w:ascii="Wingdings" w:hAnsi="Wingdings"/>
      </w:rPr>
    </w:lvl>
    <w:lvl w:ilvl="3" w:tplc="AE7A31B6">
      <w:start w:val="1"/>
      <w:numFmt w:val="bullet"/>
      <w:lvlText w:val=""/>
      <w:lvlJc w:val="left"/>
      <w:pPr>
        <w:ind w:left="2880" w:hanging="360"/>
      </w:pPr>
      <w:rPr>
        <w:rFonts w:hint="default" w:ascii="Symbol" w:hAnsi="Symbol"/>
      </w:rPr>
    </w:lvl>
    <w:lvl w:ilvl="4" w:tplc="9BF0E318">
      <w:start w:val="1"/>
      <w:numFmt w:val="bullet"/>
      <w:lvlText w:val="o"/>
      <w:lvlJc w:val="left"/>
      <w:pPr>
        <w:ind w:left="3600" w:hanging="360"/>
      </w:pPr>
      <w:rPr>
        <w:rFonts w:hint="default" w:ascii="Courier New" w:hAnsi="Courier New"/>
      </w:rPr>
    </w:lvl>
    <w:lvl w:ilvl="5" w:tplc="8F9A732E">
      <w:start w:val="1"/>
      <w:numFmt w:val="bullet"/>
      <w:lvlText w:val=""/>
      <w:lvlJc w:val="left"/>
      <w:pPr>
        <w:ind w:left="4320" w:hanging="360"/>
      </w:pPr>
      <w:rPr>
        <w:rFonts w:hint="default" w:ascii="Wingdings" w:hAnsi="Wingdings"/>
      </w:rPr>
    </w:lvl>
    <w:lvl w:ilvl="6" w:tplc="490A6A3A">
      <w:start w:val="1"/>
      <w:numFmt w:val="bullet"/>
      <w:lvlText w:val=""/>
      <w:lvlJc w:val="left"/>
      <w:pPr>
        <w:ind w:left="5040" w:hanging="360"/>
      </w:pPr>
      <w:rPr>
        <w:rFonts w:hint="default" w:ascii="Symbol" w:hAnsi="Symbol"/>
      </w:rPr>
    </w:lvl>
    <w:lvl w:ilvl="7" w:tplc="D0389B26">
      <w:start w:val="1"/>
      <w:numFmt w:val="bullet"/>
      <w:lvlText w:val="o"/>
      <w:lvlJc w:val="left"/>
      <w:pPr>
        <w:ind w:left="5760" w:hanging="360"/>
      </w:pPr>
      <w:rPr>
        <w:rFonts w:hint="default" w:ascii="Courier New" w:hAnsi="Courier New"/>
      </w:rPr>
    </w:lvl>
    <w:lvl w:ilvl="8" w:tplc="9C7E2CE8">
      <w:start w:val="1"/>
      <w:numFmt w:val="bullet"/>
      <w:lvlText w:val=""/>
      <w:lvlJc w:val="left"/>
      <w:pPr>
        <w:ind w:left="6480" w:hanging="360"/>
      </w:pPr>
      <w:rPr>
        <w:rFonts w:hint="default" w:ascii="Wingdings" w:hAnsi="Wingdings"/>
      </w:rPr>
    </w:lvl>
  </w:abstractNum>
  <w:abstractNum w:abstractNumId="69" w15:restartNumberingAfterBreak="0">
    <w:nsid w:val="205F03D1"/>
    <w:multiLevelType w:val="hybridMultilevel"/>
    <w:tmpl w:val="2870CD60"/>
    <w:lvl w:ilvl="0" w:tplc="D4EE6B8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0" w15:restartNumberingAfterBreak="0">
    <w:nsid w:val="21015618"/>
    <w:multiLevelType w:val="hybridMultilevel"/>
    <w:tmpl w:val="31C834D8"/>
    <w:lvl w:ilvl="0" w:tplc="0816000F">
      <w:start w:val="1"/>
      <w:numFmt w:val="decimal"/>
      <w:lvlText w:val="%1."/>
      <w:lvlJc w:val="left"/>
      <w:pPr>
        <w:ind w:left="753" w:hanging="360"/>
      </w:pPr>
    </w:lvl>
    <w:lvl w:ilvl="1" w:tplc="08160019" w:tentative="1">
      <w:start w:val="1"/>
      <w:numFmt w:val="lowerLetter"/>
      <w:lvlText w:val="%2."/>
      <w:lvlJc w:val="left"/>
      <w:pPr>
        <w:ind w:left="1473" w:hanging="360"/>
      </w:pPr>
    </w:lvl>
    <w:lvl w:ilvl="2" w:tplc="0816001B" w:tentative="1">
      <w:start w:val="1"/>
      <w:numFmt w:val="lowerRoman"/>
      <w:lvlText w:val="%3."/>
      <w:lvlJc w:val="right"/>
      <w:pPr>
        <w:ind w:left="2193" w:hanging="180"/>
      </w:pPr>
    </w:lvl>
    <w:lvl w:ilvl="3" w:tplc="0816000F" w:tentative="1">
      <w:start w:val="1"/>
      <w:numFmt w:val="decimal"/>
      <w:lvlText w:val="%4."/>
      <w:lvlJc w:val="left"/>
      <w:pPr>
        <w:ind w:left="2913" w:hanging="360"/>
      </w:pPr>
    </w:lvl>
    <w:lvl w:ilvl="4" w:tplc="08160019" w:tentative="1">
      <w:start w:val="1"/>
      <w:numFmt w:val="lowerLetter"/>
      <w:lvlText w:val="%5."/>
      <w:lvlJc w:val="left"/>
      <w:pPr>
        <w:ind w:left="3633" w:hanging="360"/>
      </w:pPr>
    </w:lvl>
    <w:lvl w:ilvl="5" w:tplc="0816001B" w:tentative="1">
      <w:start w:val="1"/>
      <w:numFmt w:val="lowerRoman"/>
      <w:lvlText w:val="%6."/>
      <w:lvlJc w:val="right"/>
      <w:pPr>
        <w:ind w:left="4353" w:hanging="180"/>
      </w:pPr>
    </w:lvl>
    <w:lvl w:ilvl="6" w:tplc="0816000F" w:tentative="1">
      <w:start w:val="1"/>
      <w:numFmt w:val="decimal"/>
      <w:lvlText w:val="%7."/>
      <w:lvlJc w:val="left"/>
      <w:pPr>
        <w:ind w:left="5073" w:hanging="360"/>
      </w:pPr>
    </w:lvl>
    <w:lvl w:ilvl="7" w:tplc="08160019" w:tentative="1">
      <w:start w:val="1"/>
      <w:numFmt w:val="lowerLetter"/>
      <w:lvlText w:val="%8."/>
      <w:lvlJc w:val="left"/>
      <w:pPr>
        <w:ind w:left="5793" w:hanging="360"/>
      </w:pPr>
    </w:lvl>
    <w:lvl w:ilvl="8" w:tplc="0816001B" w:tentative="1">
      <w:start w:val="1"/>
      <w:numFmt w:val="lowerRoman"/>
      <w:lvlText w:val="%9."/>
      <w:lvlJc w:val="right"/>
      <w:pPr>
        <w:ind w:left="6513" w:hanging="180"/>
      </w:pPr>
    </w:lvl>
  </w:abstractNum>
  <w:abstractNum w:abstractNumId="71" w15:restartNumberingAfterBreak="0">
    <w:nsid w:val="215867C5"/>
    <w:multiLevelType w:val="hybridMultilevel"/>
    <w:tmpl w:val="FFFFFFFF"/>
    <w:lvl w:ilvl="0" w:tplc="66D0D3FC">
      <w:start w:val="1"/>
      <w:numFmt w:val="bullet"/>
      <w:lvlText w:val="·"/>
      <w:lvlJc w:val="left"/>
      <w:pPr>
        <w:ind w:left="720" w:hanging="360"/>
      </w:pPr>
      <w:rPr>
        <w:rFonts w:hint="default" w:ascii="Symbol" w:hAnsi="Symbol"/>
      </w:rPr>
    </w:lvl>
    <w:lvl w:ilvl="1" w:tplc="E33649CA">
      <w:start w:val="1"/>
      <w:numFmt w:val="bullet"/>
      <w:lvlText w:val="o"/>
      <w:lvlJc w:val="left"/>
      <w:pPr>
        <w:ind w:left="1440" w:hanging="360"/>
      </w:pPr>
      <w:rPr>
        <w:rFonts w:hint="default" w:ascii="Courier New" w:hAnsi="Courier New"/>
      </w:rPr>
    </w:lvl>
    <w:lvl w:ilvl="2" w:tplc="1E589404">
      <w:start w:val="1"/>
      <w:numFmt w:val="bullet"/>
      <w:lvlText w:val=""/>
      <w:lvlJc w:val="left"/>
      <w:pPr>
        <w:ind w:left="2160" w:hanging="360"/>
      </w:pPr>
      <w:rPr>
        <w:rFonts w:hint="default" w:ascii="Wingdings" w:hAnsi="Wingdings"/>
      </w:rPr>
    </w:lvl>
    <w:lvl w:ilvl="3" w:tplc="F2B238AE">
      <w:start w:val="1"/>
      <w:numFmt w:val="bullet"/>
      <w:lvlText w:val=""/>
      <w:lvlJc w:val="left"/>
      <w:pPr>
        <w:ind w:left="2880" w:hanging="360"/>
      </w:pPr>
      <w:rPr>
        <w:rFonts w:hint="default" w:ascii="Symbol" w:hAnsi="Symbol"/>
      </w:rPr>
    </w:lvl>
    <w:lvl w:ilvl="4" w:tplc="DBF02F08">
      <w:start w:val="1"/>
      <w:numFmt w:val="bullet"/>
      <w:lvlText w:val="o"/>
      <w:lvlJc w:val="left"/>
      <w:pPr>
        <w:ind w:left="3600" w:hanging="360"/>
      </w:pPr>
      <w:rPr>
        <w:rFonts w:hint="default" w:ascii="Courier New" w:hAnsi="Courier New"/>
      </w:rPr>
    </w:lvl>
    <w:lvl w:ilvl="5" w:tplc="AEDA5C72">
      <w:start w:val="1"/>
      <w:numFmt w:val="bullet"/>
      <w:lvlText w:val=""/>
      <w:lvlJc w:val="left"/>
      <w:pPr>
        <w:ind w:left="4320" w:hanging="360"/>
      </w:pPr>
      <w:rPr>
        <w:rFonts w:hint="default" w:ascii="Wingdings" w:hAnsi="Wingdings"/>
      </w:rPr>
    </w:lvl>
    <w:lvl w:ilvl="6" w:tplc="19B20A8A">
      <w:start w:val="1"/>
      <w:numFmt w:val="bullet"/>
      <w:lvlText w:val=""/>
      <w:lvlJc w:val="left"/>
      <w:pPr>
        <w:ind w:left="5040" w:hanging="360"/>
      </w:pPr>
      <w:rPr>
        <w:rFonts w:hint="default" w:ascii="Symbol" w:hAnsi="Symbol"/>
      </w:rPr>
    </w:lvl>
    <w:lvl w:ilvl="7" w:tplc="A1A6D11C">
      <w:start w:val="1"/>
      <w:numFmt w:val="bullet"/>
      <w:lvlText w:val="o"/>
      <w:lvlJc w:val="left"/>
      <w:pPr>
        <w:ind w:left="5760" w:hanging="360"/>
      </w:pPr>
      <w:rPr>
        <w:rFonts w:hint="default" w:ascii="Courier New" w:hAnsi="Courier New"/>
      </w:rPr>
    </w:lvl>
    <w:lvl w:ilvl="8" w:tplc="B1E29A3E">
      <w:start w:val="1"/>
      <w:numFmt w:val="bullet"/>
      <w:lvlText w:val=""/>
      <w:lvlJc w:val="left"/>
      <w:pPr>
        <w:ind w:left="6480" w:hanging="360"/>
      </w:pPr>
      <w:rPr>
        <w:rFonts w:hint="default" w:ascii="Wingdings" w:hAnsi="Wingdings"/>
      </w:rPr>
    </w:lvl>
  </w:abstractNum>
  <w:abstractNum w:abstractNumId="72" w15:restartNumberingAfterBreak="0">
    <w:nsid w:val="21DB0054"/>
    <w:multiLevelType w:val="hybridMultilevel"/>
    <w:tmpl w:val="FFFFFFFF"/>
    <w:lvl w:ilvl="0" w:tplc="7B38B750">
      <w:start w:val="1"/>
      <w:numFmt w:val="bullet"/>
      <w:lvlText w:val=""/>
      <w:lvlJc w:val="left"/>
      <w:pPr>
        <w:ind w:left="720" w:hanging="360"/>
      </w:pPr>
      <w:rPr>
        <w:rFonts w:hint="default" w:ascii="Symbol" w:hAnsi="Symbol"/>
      </w:rPr>
    </w:lvl>
    <w:lvl w:ilvl="1" w:tplc="0FCE9EFC">
      <w:start w:val="1"/>
      <w:numFmt w:val="bullet"/>
      <w:lvlText w:val="o"/>
      <w:lvlJc w:val="left"/>
      <w:pPr>
        <w:ind w:left="1440" w:hanging="360"/>
      </w:pPr>
      <w:rPr>
        <w:rFonts w:hint="default" w:ascii="Courier New" w:hAnsi="Courier New"/>
      </w:rPr>
    </w:lvl>
    <w:lvl w:ilvl="2" w:tplc="97A4EB06">
      <w:start w:val="1"/>
      <w:numFmt w:val="bullet"/>
      <w:lvlText w:val=""/>
      <w:lvlJc w:val="left"/>
      <w:pPr>
        <w:ind w:left="2160" w:hanging="360"/>
      </w:pPr>
      <w:rPr>
        <w:rFonts w:hint="default" w:ascii="Wingdings" w:hAnsi="Wingdings"/>
      </w:rPr>
    </w:lvl>
    <w:lvl w:ilvl="3" w:tplc="FD740D12">
      <w:start w:val="1"/>
      <w:numFmt w:val="bullet"/>
      <w:lvlText w:val=""/>
      <w:lvlJc w:val="left"/>
      <w:pPr>
        <w:ind w:left="2880" w:hanging="360"/>
      </w:pPr>
      <w:rPr>
        <w:rFonts w:hint="default" w:ascii="Symbol" w:hAnsi="Symbol"/>
      </w:rPr>
    </w:lvl>
    <w:lvl w:ilvl="4" w:tplc="CC847C96">
      <w:start w:val="1"/>
      <w:numFmt w:val="bullet"/>
      <w:lvlText w:val="o"/>
      <w:lvlJc w:val="left"/>
      <w:pPr>
        <w:ind w:left="3600" w:hanging="360"/>
      </w:pPr>
      <w:rPr>
        <w:rFonts w:hint="default" w:ascii="Courier New" w:hAnsi="Courier New"/>
      </w:rPr>
    </w:lvl>
    <w:lvl w:ilvl="5" w:tplc="1396E672">
      <w:start w:val="1"/>
      <w:numFmt w:val="bullet"/>
      <w:lvlText w:val=""/>
      <w:lvlJc w:val="left"/>
      <w:pPr>
        <w:ind w:left="4320" w:hanging="360"/>
      </w:pPr>
      <w:rPr>
        <w:rFonts w:hint="default" w:ascii="Wingdings" w:hAnsi="Wingdings"/>
      </w:rPr>
    </w:lvl>
    <w:lvl w:ilvl="6" w:tplc="56A68A46">
      <w:start w:val="1"/>
      <w:numFmt w:val="bullet"/>
      <w:lvlText w:val=""/>
      <w:lvlJc w:val="left"/>
      <w:pPr>
        <w:ind w:left="5040" w:hanging="360"/>
      </w:pPr>
      <w:rPr>
        <w:rFonts w:hint="default" w:ascii="Symbol" w:hAnsi="Symbol"/>
      </w:rPr>
    </w:lvl>
    <w:lvl w:ilvl="7" w:tplc="06321E22">
      <w:start w:val="1"/>
      <w:numFmt w:val="bullet"/>
      <w:lvlText w:val="o"/>
      <w:lvlJc w:val="left"/>
      <w:pPr>
        <w:ind w:left="5760" w:hanging="360"/>
      </w:pPr>
      <w:rPr>
        <w:rFonts w:hint="default" w:ascii="Courier New" w:hAnsi="Courier New"/>
      </w:rPr>
    </w:lvl>
    <w:lvl w:ilvl="8" w:tplc="67907B4C">
      <w:start w:val="1"/>
      <w:numFmt w:val="bullet"/>
      <w:lvlText w:val=""/>
      <w:lvlJc w:val="left"/>
      <w:pPr>
        <w:ind w:left="6480" w:hanging="360"/>
      </w:pPr>
      <w:rPr>
        <w:rFonts w:hint="default" w:ascii="Wingdings" w:hAnsi="Wingdings"/>
      </w:rPr>
    </w:lvl>
  </w:abstractNum>
  <w:abstractNum w:abstractNumId="73" w15:restartNumberingAfterBreak="0">
    <w:nsid w:val="21DB0685"/>
    <w:multiLevelType w:val="hybridMultilevel"/>
    <w:tmpl w:val="A6F22872"/>
    <w:lvl w:ilvl="0" w:tplc="FC5863EC">
      <w:start w:val="1"/>
      <w:numFmt w:val="bullet"/>
      <w:lvlText w:val="·"/>
      <w:lvlJc w:val="left"/>
      <w:pPr>
        <w:ind w:left="720" w:hanging="360"/>
      </w:pPr>
    </w:lvl>
    <w:lvl w:ilvl="1" w:tplc="F452AEC6">
      <w:start w:val="1"/>
      <w:numFmt w:val="decimal"/>
      <w:lvlText w:val="%2."/>
      <w:lvlJc w:val="left"/>
      <w:pPr>
        <w:ind w:left="1440" w:hanging="360"/>
      </w:pPr>
    </w:lvl>
    <w:lvl w:ilvl="2" w:tplc="6C66208E">
      <w:start w:val="1"/>
      <w:numFmt w:val="lowerRoman"/>
      <w:lvlText w:val="%3."/>
      <w:lvlJc w:val="right"/>
      <w:pPr>
        <w:ind w:left="2160" w:hanging="180"/>
      </w:pPr>
    </w:lvl>
    <w:lvl w:ilvl="3" w:tplc="5BB47052">
      <w:start w:val="1"/>
      <w:numFmt w:val="decimal"/>
      <w:lvlText w:val="%4."/>
      <w:lvlJc w:val="left"/>
      <w:pPr>
        <w:ind w:left="2880" w:hanging="360"/>
      </w:pPr>
    </w:lvl>
    <w:lvl w:ilvl="4" w:tplc="6C94D770">
      <w:start w:val="1"/>
      <w:numFmt w:val="lowerLetter"/>
      <w:lvlText w:val="%5."/>
      <w:lvlJc w:val="left"/>
      <w:pPr>
        <w:ind w:left="3600" w:hanging="360"/>
      </w:pPr>
    </w:lvl>
    <w:lvl w:ilvl="5" w:tplc="A642BA68">
      <w:start w:val="1"/>
      <w:numFmt w:val="lowerRoman"/>
      <w:lvlText w:val="%6."/>
      <w:lvlJc w:val="right"/>
      <w:pPr>
        <w:ind w:left="4320" w:hanging="180"/>
      </w:pPr>
    </w:lvl>
    <w:lvl w:ilvl="6" w:tplc="B3707128">
      <w:start w:val="1"/>
      <w:numFmt w:val="decimal"/>
      <w:lvlText w:val="%7."/>
      <w:lvlJc w:val="left"/>
      <w:pPr>
        <w:ind w:left="5040" w:hanging="360"/>
      </w:pPr>
    </w:lvl>
    <w:lvl w:ilvl="7" w:tplc="772A0D4A">
      <w:start w:val="1"/>
      <w:numFmt w:val="lowerLetter"/>
      <w:lvlText w:val="%8."/>
      <w:lvlJc w:val="left"/>
      <w:pPr>
        <w:ind w:left="5760" w:hanging="360"/>
      </w:pPr>
    </w:lvl>
    <w:lvl w:ilvl="8" w:tplc="4AD2EEA8">
      <w:start w:val="1"/>
      <w:numFmt w:val="lowerRoman"/>
      <w:lvlText w:val="%9."/>
      <w:lvlJc w:val="right"/>
      <w:pPr>
        <w:ind w:left="6480" w:hanging="180"/>
      </w:pPr>
    </w:lvl>
  </w:abstractNum>
  <w:abstractNum w:abstractNumId="74" w15:restartNumberingAfterBreak="0">
    <w:nsid w:val="23506EBB"/>
    <w:multiLevelType w:val="hybridMultilevel"/>
    <w:tmpl w:val="4012758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5" w15:restartNumberingAfterBreak="0">
    <w:nsid w:val="24CD765C"/>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4D41CE6"/>
    <w:multiLevelType w:val="hybridMultilevel"/>
    <w:tmpl w:val="A3E65116"/>
    <w:lvl w:ilvl="0" w:tplc="08090001">
      <w:start w:val="1"/>
      <w:numFmt w:val="bullet"/>
      <w:lvlText w:val=""/>
      <w:lvlJc w:val="left"/>
      <w:pPr>
        <w:ind w:left="805" w:hanging="360"/>
      </w:pPr>
      <w:rPr>
        <w:rFonts w:hint="default" w:ascii="Symbol" w:hAnsi="Symbol"/>
      </w:rPr>
    </w:lvl>
    <w:lvl w:ilvl="1" w:tplc="08090003" w:tentative="1">
      <w:start w:val="1"/>
      <w:numFmt w:val="bullet"/>
      <w:lvlText w:val="o"/>
      <w:lvlJc w:val="left"/>
      <w:pPr>
        <w:ind w:left="1525" w:hanging="360"/>
      </w:pPr>
      <w:rPr>
        <w:rFonts w:hint="default" w:ascii="Courier New" w:hAnsi="Courier New" w:cs="Courier New"/>
      </w:rPr>
    </w:lvl>
    <w:lvl w:ilvl="2" w:tplc="08090005" w:tentative="1">
      <w:start w:val="1"/>
      <w:numFmt w:val="bullet"/>
      <w:lvlText w:val=""/>
      <w:lvlJc w:val="left"/>
      <w:pPr>
        <w:ind w:left="2245" w:hanging="360"/>
      </w:pPr>
      <w:rPr>
        <w:rFonts w:hint="default" w:ascii="Wingdings" w:hAnsi="Wingdings"/>
      </w:rPr>
    </w:lvl>
    <w:lvl w:ilvl="3" w:tplc="08090001" w:tentative="1">
      <w:start w:val="1"/>
      <w:numFmt w:val="bullet"/>
      <w:lvlText w:val=""/>
      <w:lvlJc w:val="left"/>
      <w:pPr>
        <w:ind w:left="2965" w:hanging="360"/>
      </w:pPr>
      <w:rPr>
        <w:rFonts w:hint="default" w:ascii="Symbol" w:hAnsi="Symbol"/>
      </w:rPr>
    </w:lvl>
    <w:lvl w:ilvl="4" w:tplc="08090003" w:tentative="1">
      <w:start w:val="1"/>
      <w:numFmt w:val="bullet"/>
      <w:lvlText w:val="o"/>
      <w:lvlJc w:val="left"/>
      <w:pPr>
        <w:ind w:left="3685" w:hanging="360"/>
      </w:pPr>
      <w:rPr>
        <w:rFonts w:hint="default" w:ascii="Courier New" w:hAnsi="Courier New" w:cs="Courier New"/>
      </w:rPr>
    </w:lvl>
    <w:lvl w:ilvl="5" w:tplc="08090005" w:tentative="1">
      <w:start w:val="1"/>
      <w:numFmt w:val="bullet"/>
      <w:lvlText w:val=""/>
      <w:lvlJc w:val="left"/>
      <w:pPr>
        <w:ind w:left="4405" w:hanging="360"/>
      </w:pPr>
      <w:rPr>
        <w:rFonts w:hint="default" w:ascii="Wingdings" w:hAnsi="Wingdings"/>
      </w:rPr>
    </w:lvl>
    <w:lvl w:ilvl="6" w:tplc="08090001" w:tentative="1">
      <w:start w:val="1"/>
      <w:numFmt w:val="bullet"/>
      <w:lvlText w:val=""/>
      <w:lvlJc w:val="left"/>
      <w:pPr>
        <w:ind w:left="5125" w:hanging="360"/>
      </w:pPr>
      <w:rPr>
        <w:rFonts w:hint="default" w:ascii="Symbol" w:hAnsi="Symbol"/>
      </w:rPr>
    </w:lvl>
    <w:lvl w:ilvl="7" w:tplc="08090003" w:tentative="1">
      <w:start w:val="1"/>
      <w:numFmt w:val="bullet"/>
      <w:lvlText w:val="o"/>
      <w:lvlJc w:val="left"/>
      <w:pPr>
        <w:ind w:left="5845" w:hanging="360"/>
      </w:pPr>
      <w:rPr>
        <w:rFonts w:hint="default" w:ascii="Courier New" w:hAnsi="Courier New" w:cs="Courier New"/>
      </w:rPr>
    </w:lvl>
    <w:lvl w:ilvl="8" w:tplc="08090005" w:tentative="1">
      <w:start w:val="1"/>
      <w:numFmt w:val="bullet"/>
      <w:lvlText w:val=""/>
      <w:lvlJc w:val="left"/>
      <w:pPr>
        <w:ind w:left="6565" w:hanging="360"/>
      </w:pPr>
      <w:rPr>
        <w:rFonts w:hint="default" w:ascii="Wingdings" w:hAnsi="Wingdings"/>
      </w:rPr>
    </w:lvl>
  </w:abstractNum>
  <w:abstractNum w:abstractNumId="77" w15:restartNumberingAfterBreak="0">
    <w:nsid w:val="24F57D5B"/>
    <w:multiLevelType w:val="hybridMultilevel"/>
    <w:tmpl w:val="FFFFFFFF"/>
    <w:lvl w:ilvl="0" w:tplc="DEE460C8">
      <w:start w:val="1"/>
      <w:numFmt w:val="bullet"/>
      <w:lvlText w:val=""/>
      <w:lvlJc w:val="left"/>
      <w:pPr>
        <w:ind w:left="360" w:hanging="360"/>
      </w:pPr>
      <w:rPr>
        <w:rFonts w:hint="default" w:ascii="Symbol" w:hAnsi="Symbol"/>
      </w:rPr>
    </w:lvl>
    <w:lvl w:ilvl="1" w:tplc="63F40C56">
      <w:start w:val="1"/>
      <w:numFmt w:val="bullet"/>
      <w:lvlText w:val="o"/>
      <w:lvlJc w:val="left"/>
      <w:pPr>
        <w:ind w:left="1080" w:hanging="360"/>
      </w:pPr>
      <w:rPr>
        <w:rFonts w:hint="default" w:ascii="Courier New" w:hAnsi="Courier New"/>
      </w:rPr>
    </w:lvl>
    <w:lvl w:ilvl="2" w:tplc="916AF322">
      <w:start w:val="1"/>
      <w:numFmt w:val="bullet"/>
      <w:lvlText w:val=""/>
      <w:lvlJc w:val="left"/>
      <w:pPr>
        <w:ind w:left="1800" w:hanging="360"/>
      </w:pPr>
      <w:rPr>
        <w:rFonts w:hint="default" w:ascii="Wingdings" w:hAnsi="Wingdings"/>
      </w:rPr>
    </w:lvl>
    <w:lvl w:ilvl="3" w:tplc="FC0E65A8">
      <w:start w:val="1"/>
      <w:numFmt w:val="bullet"/>
      <w:lvlText w:val=""/>
      <w:lvlJc w:val="left"/>
      <w:pPr>
        <w:ind w:left="2520" w:hanging="360"/>
      </w:pPr>
      <w:rPr>
        <w:rFonts w:hint="default" w:ascii="Symbol" w:hAnsi="Symbol"/>
      </w:rPr>
    </w:lvl>
    <w:lvl w:ilvl="4" w:tplc="60FACDA0">
      <w:start w:val="1"/>
      <w:numFmt w:val="bullet"/>
      <w:lvlText w:val="o"/>
      <w:lvlJc w:val="left"/>
      <w:pPr>
        <w:ind w:left="3240" w:hanging="360"/>
      </w:pPr>
      <w:rPr>
        <w:rFonts w:hint="default" w:ascii="Courier New" w:hAnsi="Courier New"/>
      </w:rPr>
    </w:lvl>
    <w:lvl w:ilvl="5" w:tplc="0A7455AA">
      <w:start w:val="1"/>
      <w:numFmt w:val="bullet"/>
      <w:lvlText w:val=""/>
      <w:lvlJc w:val="left"/>
      <w:pPr>
        <w:ind w:left="3960" w:hanging="360"/>
      </w:pPr>
      <w:rPr>
        <w:rFonts w:hint="default" w:ascii="Wingdings" w:hAnsi="Wingdings"/>
      </w:rPr>
    </w:lvl>
    <w:lvl w:ilvl="6" w:tplc="C92E9124">
      <w:start w:val="1"/>
      <w:numFmt w:val="bullet"/>
      <w:lvlText w:val=""/>
      <w:lvlJc w:val="left"/>
      <w:pPr>
        <w:ind w:left="4680" w:hanging="360"/>
      </w:pPr>
      <w:rPr>
        <w:rFonts w:hint="default" w:ascii="Symbol" w:hAnsi="Symbol"/>
      </w:rPr>
    </w:lvl>
    <w:lvl w:ilvl="7" w:tplc="8A66EACE">
      <w:start w:val="1"/>
      <w:numFmt w:val="bullet"/>
      <w:lvlText w:val="o"/>
      <w:lvlJc w:val="left"/>
      <w:pPr>
        <w:ind w:left="5400" w:hanging="360"/>
      </w:pPr>
      <w:rPr>
        <w:rFonts w:hint="default" w:ascii="Courier New" w:hAnsi="Courier New"/>
      </w:rPr>
    </w:lvl>
    <w:lvl w:ilvl="8" w:tplc="970875C0">
      <w:start w:val="1"/>
      <w:numFmt w:val="bullet"/>
      <w:lvlText w:val=""/>
      <w:lvlJc w:val="left"/>
      <w:pPr>
        <w:ind w:left="6120" w:hanging="360"/>
      </w:pPr>
      <w:rPr>
        <w:rFonts w:hint="default" w:ascii="Wingdings" w:hAnsi="Wingdings"/>
      </w:rPr>
    </w:lvl>
  </w:abstractNum>
  <w:abstractNum w:abstractNumId="78" w15:restartNumberingAfterBreak="0">
    <w:nsid w:val="257D546D"/>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6084AF9"/>
    <w:multiLevelType w:val="hybridMultilevel"/>
    <w:tmpl w:val="B5B6B6DA"/>
    <w:lvl w:ilvl="0" w:tplc="6304ED5E">
      <w:start w:val="1"/>
      <w:numFmt w:val="decimal"/>
      <w:lvlText w:val="(%1)"/>
      <w:lvlJc w:val="righ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0" w15:restartNumberingAfterBreak="0">
    <w:nsid w:val="263E457A"/>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7302095"/>
    <w:multiLevelType w:val="hybridMultilevel"/>
    <w:tmpl w:val="6F22CD90"/>
    <w:lvl w:ilvl="0" w:tplc="B11C0F76">
      <w:start w:val="1"/>
      <w:numFmt w:val="bullet"/>
      <w:lvlText w:val=""/>
      <w:lvlJc w:val="left"/>
      <w:pPr>
        <w:ind w:left="360" w:hanging="360"/>
      </w:pPr>
      <w:rPr>
        <w:rFonts w:hint="default" w:ascii="Symbol" w:hAnsi="Symbol"/>
      </w:rPr>
    </w:lvl>
    <w:lvl w:ilvl="1" w:tplc="7F0086BC">
      <w:start w:val="1"/>
      <w:numFmt w:val="bullet"/>
      <w:lvlText w:val="o"/>
      <w:lvlJc w:val="left"/>
      <w:pPr>
        <w:ind w:left="1080" w:hanging="360"/>
      </w:pPr>
      <w:rPr>
        <w:rFonts w:hint="default" w:ascii="Courier New" w:hAnsi="Courier New"/>
      </w:rPr>
    </w:lvl>
    <w:lvl w:ilvl="2" w:tplc="5492EAF6">
      <w:start w:val="1"/>
      <w:numFmt w:val="bullet"/>
      <w:lvlText w:val=""/>
      <w:lvlJc w:val="left"/>
      <w:pPr>
        <w:ind w:left="1800" w:hanging="360"/>
      </w:pPr>
      <w:rPr>
        <w:rFonts w:hint="default" w:ascii="Wingdings" w:hAnsi="Wingdings"/>
      </w:rPr>
    </w:lvl>
    <w:lvl w:ilvl="3" w:tplc="A7C492FA">
      <w:start w:val="1"/>
      <w:numFmt w:val="bullet"/>
      <w:lvlText w:val=""/>
      <w:lvlJc w:val="left"/>
      <w:pPr>
        <w:ind w:left="2520" w:hanging="360"/>
      </w:pPr>
      <w:rPr>
        <w:rFonts w:hint="default" w:ascii="Symbol" w:hAnsi="Symbol"/>
      </w:rPr>
    </w:lvl>
    <w:lvl w:ilvl="4" w:tplc="E800CCD4">
      <w:start w:val="1"/>
      <w:numFmt w:val="bullet"/>
      <w:lvlText w:val="o"/>
      <w:lvlJc w:val="left"/>
      <w:pPr>
        <w:ind w:left="3240" w:hanging="360"/>
      </w:pPr>
      <w:rPr>
        <w:rFonts w:hint="default" w:ascii="Courier New" w:hAnsi="Courier New"/>
      </w:rPr>
    </w:lvl>
    <w:lvl w:ilvl="5" w:tplc="9E746E8A">
      <w:start w:val="1"/>
      <w:numFmt w:val="bullet"/>
      <w:lvlText w:val=""/>
      <w:lvlJc w:val="left"/>
      <w:pPr>
        <w:ind w:left="3960" w:hanging="360"/>
      </w:pPr>
      <w:rPr>
        <w:rFonts w:hint="default" w:ascii="Wingdings" w:hAnsi="Wingdings"/>
      </w:rPr>
    </w:lvl>
    <w:lvl w:ilvl="6" w:tplc="20CC8A42">
      <w:start w:val="1"/>
      <w:numFmt w:val="bullet"/>
      <w:lvlText w:val=""/>
      <w:lvlJc w:val="left"/>
      <w:pPr>
        <w:ind w:left="4680" w:hanging="360"/>
      </w:pPr>
      <w:rPr>
        <w:rFonts w:hint="default" w:ascii="Symbol" w:hAnsi="Symbol"/>
      </w:rPr>
    </w:lvl>
    <w:lvl w:ilvl="7" w:tplc="6E7E6B2A">
      <w:start w:val="1"/>
      <w:numFmt w:val="bullet"/>
      <w:lvlText w:val="o"/>
      <w:lvlJc w:val="left"/>
      <w:pPr>
        <w:ind w:left="5400" w:hanging="360"/>
      </w:pPr>
      <w:rPr>
        <w:rFonts w:hint="default" w:ascii="Courier New" w:hAnsi="Courier New"/>
      </w:rPr>
    </w:lvl>
    <w:lvl w:ilvl="8" w:tplc="CD04B684">
      <w:start w:val="1"/>
      <w:numFmt w:val="bullet"/>
      <w:lvlText w:val=""/>
      <w:lvlJc w:val="left"/>
      <w:pPr>
        <w:ind w:left="6120" w:hanging="360"/>
      </w:pPr>
      <w:rPr>
        <w:rFonts w:hint="default" w:ascii="Wingdings" w:hAnsi="Wingdings"/>
      </w:rPr>
    </w:lvl>
  </w:abstractNum>
  <w:abstractNum w:abstractNumId="82" w15:restartNumberingAfterBreak="0">
    <w:nsid w:val="28D94999"/>
    <w:multiLevelType w:val="hybridMultilevel"/>
    <w:tmpl w:val="FFFFFFFF"/>
    <w:lvl w:ilvl="0" w:tplc="6D2E19CE">
      <w:start w:val="1"/>
      <w:numFmt w:val="bullet"/>
      <w:lvlText w:val="·"/>
      <w:lvlJc w:val="left"/>
      <w:pPr>
        <w:ind w:left="720" w:hanging="360"/>
      </w:pPr>
      <w:rPr>
        <w:rFonts w:hint="default" w:ascii="Symbol" w:hAnsi="Symbol"/>
      </w:rPr>
    </w:lvl>
    <w:lvl w:ilvl="1" w:tplc="773A8C0E">
      <w:start w:val="1"/>
      <w:numFmt w:val="bullet"/>
      <w:lvlText w:val="o"/>
      <w:lvlJc w:val="left"/>
      <w:pPr>
        <w:ind w:left="1440" w:hanging="360"/>
      </w:pPr>
      <w:rPr>
        <w:rFonts w:hint="default" w:ascii="Courier New" w:hAnsi="Courier New"/>
      </w:rPr>
    </w:lvl>
    <w:lvl w:ilvl="2" w:tplc="9B22DB34">
      <w:start w:val="1"/>
      <w:numFmt w:val="bullet"/>
      <w:lvlText w:val=""/>
      <w:lvlJc w:val="left"/>
      <w:pPr>
        <w:ind w:left="2160" w:hanging="360"/>
      </w:pPr>
      <w:rPr>
        <w:rFonts w:hint="default" w:ascii="Wingdings" w:hAnsi="Wingdings"/>
      </w:rPr>
    </w:lvl>
    <w:lvl w:ilvl="3" w:tplc="1166C3EA">
      <w:start w:val="1"/>
      <w:numFmt w:val="bullet"/>
      <w:lvlText w:val=""/>
      <w:lvlJc w:val="left"/>
      <w:pPr>
        <w:ind w:left="2880" w:hanging="360"/>
      </w:pPr>
      <w:rPr>
        <w:rFonts w:hint="default" w:ascii="Symbol" w:hAnsi="Symbol"/>
      </w:rPr>
    </w:lvl>
    <w:lvl w:ilvl="4" w:tplc="9FECC55E">
      <w:start w:val="1"/>
      <w:numFmt w:val="bullet"/>
      <w:lvlText w:val="o"/>
      <w:lvlJc w:val="left"/>
      <w:pPr>
        <w:ind w:left="3600" w:hanging="360"/>
      </w:pPr>
      <w:rPr>
        <w:rFonts w:hint="default" w:ascii="Courier New" w:hAnsi="Courier New"/>
      </w:rPr>
    </w:lvl>
    <w:lvl w:ilvl="5" w:tplc="32A66B5E">
      <w:start w:val="1"/>
      <w:numFmt w:val="bullet"/>
      <w:lvlText w:val=""/>
      <w:lvlJc w:val="left"/>
      <w:pPr>
        <w:ind w:left="4320" w:hanging="360"/>
      </w:pPr>
      <w:rPr>
        <w:rFonts w:hint="default" w:ascii="Wingdings" w:hAnsi="Wingdings"/>
      </w:rPr>
    </w:lvl>
    <w:lvl w:ilvl="6" w:tplc="5E6268DC">
      <w:start w:val="1"/>
      <w:numFmt w:val="bullet"/>
      <w:lvlText w:val=""/>
      <w:lvlJc w:val="left"/>
      <w:pPr>
        <w:ind w:left="5040" w:hanging="360"/>
      </w:pPr>
      <w:rPr>
        <w:rFonts w:hint="default" w:ascii="Symbol" w:hAnsi="Symbol"/>
      </w:rPr>
    </w:lvl>
    <w:lvl w:ilvl="7" w:tplc="1C9AADCE">
      <w:start w:val="1"/>
      <w:numFmt w:val="bullet"/>
      <w:lvlText w:val="o"/>
      <w:lvlJc w:val="left"/>
      <w:pPr>
        <w:ind w:left="5760" w:hanging="360"/>
      </w:pPr>
      <w:rPr>
        <w:rFonts w:hint="default" w:ascii="Courier New" w:hAnsi="Courier New"/>
      </w:rPr>
    </w:lvl>
    <w:lvl w:ilvl="8" w:tplc="28E89DD2">
      <w:start w:val="1"/>
      <w:numFmt w:val="bullet"/>
      <w:lvlText w:val=""/>
      <w:lvlJc w:val="left"/>
      <w:pPr>
        <w:ind w:left="6480" w:hanging="360"/>
      </w:pPr>
      <w:rPr>
        <w:rFonts w:hint="default" w:ascii="Wingdings" w:hAnsi="Wingdings"/>
      </w:rPr>
    </w:lvl>
  </w:abstractNum>
  <w:abstractNum w:abstractNumId="83" w15:restartNumberingAfterBreak="0">
    <w:nsid w:val="29C077D9"/>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4" w15:restartNumberingAfterBreak="0">
    <w:nsid w:val="2A1529A7"/>
    <w:multiLevelType w:val="hybridMultilevel"/>
    <w:tmpl w:val="FFFFFFFF"/>
    <w:lvl w:ilvl="0" w:tplc="50C28FAA">
      <w:start w:val="1"/>
      <w:numFmt w:val="decimal"/>
      <w:lvlText w:val="%1."/>
      <w:lvlJc w:val="left"/>
      <w:pPr>
        <w:ind w:left="720" w:hanging="360"/>
      </w:pPr>
    </w:lvl>
    <w:lvl w:ilvl="1" w:tplc="13C84BD0">
      <w:start w:val="1"/>
      <w:numFmt w:val="lowerLetter"/>
      <w:lvlText w:val="%2."/>
      <w:lvlJc w:val="left"/>
      <w:pPr>
        <w:ind w:left="1440" w:hanging="360"/>
      </w:pPr>
    </w:lvl>
    <w:lvl w:ilvl="2" w:tplc="CF7ED2DE">
      <w:start w:val="1"/>
      <w:numFmt w:val="lowerRoman"/>
      <w:lvlText w:val="%3."/>
      <w:lvlJc w:val="right"/>
      <w:pPr>
        <w:ind w:left="2160" w:hanging="180"/>
      </w:pPr>
    </w:lvl>
    <w:lvl w:ilvl="3" w:tplc="330A7E6E">
      <w:start w:val="1"/>
      <w:numFmt w:val="decimal"/>
      <w:lvlText w:val="%4."/>
      <w:lvlJc w:val="left"/>
      <w:pPr>
        <w:ind w:left="2880" w:hanging="360"/>
      </w:pPr>
    </w:lvl>
    <w:lvl w:ilvl="4" w:tplc="9F1EAED2">
      <w:start w:val="1"/>
      <w:numFmt w:val="lowerLetter"/>
      <w:lvlText w:val="%5."/>
      <w:lvlJc w:val="left"/>
      <w:pPr>
        <w:ind w:left="3600" w:hanging="360"/>
      </w:pPr>
    </w:lvl>
    <w:lvl w:ilvl="5" w:tplc="3B00F04E">
      <w:start w:val="1"/>
      <w:numFmt w:val="lowerRoman"/>
      <w:lvlText w:val="%6."/>
      <w:lvlJc w:val="right"/>
      <w:pPr>
        <w:ind w:left="4320" w:hanging="180"/>
      </w:pPr>
    </w:lvl>
    <w:lvl w:ilvl="6" w:tplc="792ADCD8">
      <w:start w:val="1"/>
      <w:numFmt w:val="decimal"/>
      <w:lvlText w:val="%7."/>
      <w:lvlJc w:val="left"/>
      <w:pPr>
        <w:ind w:left="5040" w:hanging="360"/>
      </w:pPr>
    </w:lvl>
    <w:lvl w:ilvl="7" w:tplc="EC564EB4">
      <w:start w:val="1"/>
      <w:numFmt w:val="lowerLetter"/>
      <w:lvlText w:val="%8."/>
      <w:lvlJc w:val="left"/>
      <w:pPr>
        <w:ind w:left="5760" w:hanging="360"/>
      </w:pPr>
    </w:lvl>
    <w:lvl w:ilvl="8" w:tplc="DC183204">
      <w:start w:val="1"/>
      <w:numFmt w:val="lowerRoman"/>
      <w:lvlText w:val="%9."/>
      <w:lvlJc w:val="right"/>
      <w:pPr>
        <w:ind w:left="6480" w:hanging="180"/>
      </w:pPr>
    </w:lvl>
  </w:abstractNum>
  <w:abstractNum w:abstractNumId="85" w15:restartNumberingAfterBreak="0">
    <w:nsid w:val="2B2B3A92"/>
    <w:multiLevelType w:val="singleLevel"/>
    <w:tmpl w:val="73D64A0E"/>
    <w:name w:val="Considérant__1"/>
    <w:lvl w:ilvl="0">
      <w:numFmt w:val="decimal"/>
      <w:lvlRestart w:val="0"/>
      <w:pStyle w:val="Considrant"/>
      <w:lvlText w:val="(%1)"/>
      <w:lvlJc w:val="left"/>
    </w:lvl>
  </w:abstractNum>
  <w:abstractNum w:abstractNumId="86" w15:restartNumberingAfterBreak="0">
    <w:nsid w:val="2BF476F4"/>
    <w:multiLevelType w:val="hybridMultilevel"/>
    <w:tmpl w:val="FFFFFFFF"/>
    <w:lvl w:ilvl="0" w:tplc="74428578">
      <w:start w:val="1"/>
      <w:numFmt w:val="decimal"/>
      <w:lvlText w:val="%1."/>
      <w:lvlJc w:val="left"/>
      <w:pPr>
        <w:ind w:left="720" w:hanging="360"/>
      </w:pPr>
    </w:lvl>
    <w:lvl w:ilvl="1" w:tplc="D278D5AE">
      <w:start w:val="1"/>
      <w:numFmt w:val="decimal"/>
      <w:lvlText w:val="%2."/>
      <w:lvlJc w:val="left"/>
      <w:pPr>
        <w:ind w:left="1440" w:hanging="360"/>
      </w:pPr>
    </w:lvl>
    <w:lvl w:ilvl="2" w:tplc="232A8F0E">
      <w:start w:val="1"/>
      <w:numFmt w:val="lowerRoman"/>
      <w:lvlText w:val="%3."/>
      <w:lvlJc w:val="right"/>
      <w:pPr>
        <w:ind w:left="2160" w:hanging="180"/>
      </w:pPr>
    </w:lvl>
    <w:lvl w:ilvl="3" w:tplc="97CC083E">
      <w:start w:val="1"/>
      <w:numFmt w:val="decimal"/>
      <w:lvlText w:val="%4."/>
      <w:lvlJc w:val="left"/>
      <w:pPr>
        <w:ind w:left="2880" w:hanging="360"/>
      </w:pPr>
    </w:lvl>
    <w:lvl w:ilvl="4" w:tplc="8FA06958">
      <w:start w:val="1"/>
      <w:numFmt w:val="lowerLetter"/>
      <w:lvlText w:val="%5."/>
      <w:lvlJc w:val="left"/>
      <w:pPr>
        <w:ind w:left="3600" w:hanging="360"/>
      </w:pPr>
    </w:lvl>
    <w:lvl w:ilvl="5" w:tplc="EA567478">
      <w:start w:val="1"/>
      <w:numFmt w:val="lowerRoman"/>
      <w:lvlText w:val="%6."/>
      <w:lvlJc w:val="right"/>
      <w:pPr>
        <w:ind w:left="4320" w:hanging="180"/>
      </w:pPr>
    </w:lvl>
    <w:lvl w:ilvl="6" w:tplc="9E441F5A">
      <w:start w:val="1"/>
      <w:numFmt w:val="decimal"/>
      <w:lvlText w:val="%7."/>
      <w:lvlJc w:val="left"/>
      <w:pPr>
        <w:ind w:left="5040" w:hanging="360"/>
      </w:pPr>
    </w:lvl>
    <w:lvl w:ilvl="7" w:tplc="2E364518">
      <w:start w:val="1"/>
      <w:numFmt w:val="lowerLetter"/>
      <w:lvlText w:val="%8."/>
      <w:lvlJc w:val="left"/>
      <w:pPr>
        <w:ind w:left="5760" w:hanging="360"/>
      </w:pPr>
    </w:lvl>
    <w:lvl w:ilvl="8" w:tplc="3E2EC61E">
      <w:start w:val="1"/>
      <w:numFmt w:val="lowerRoman"/>
      <w:lvlText w:val="%9."/>
      <w:lvlJc w:val="right"/>
      <w:pPr>
        <w:ind w:left="6480" w:hanging="180"/>
      </w:pPr>
    </w:lvl>
  </w:abstractNum>
  <w:abstractNum w:abstractNumId="87" w15:restartNumberingAfterBreak="0">
    <w:nsid w:val="2BF9317B"/>
    <w:multiLevelType w:val="hybridMultilevel"/>
    <w:tmpl w:val="E4181FC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88" w15:restartNumberingAfterBreak="0">
    <w:nsid w:val="2C4805AA"/>
    <w:multiLevelType w:val="hybridMultilevel"/>
    <w:tmpl w:val="13BC8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C5A278D"/>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0"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91" w15:restartNumberingAfterBreak="0">
    <w:nsid w:val="2DB3766B"/>
    <w:multiLevelType w:val="hybridMultilevel"/>
    <w:tmpl w:val="97042486"/>
    <w:lvl w:ilvl="0" w:tplc="774C26FC">
      <w:start w:val="1"/>
      <w:numFmt w:val="bullet"/>
      <w:lvlText w:val=""/>
      <w:lvlJc w:val="left"/>
      <w:pPr>
        <w:ind w:left="720" w:hanging="360"/>
      </w:pPr>
      <w:rPr>
        <w:rFonts w:hint="default" w:ascii="Symbol" w:hAnsi="Symbol"/>
      </w:rPr>
    </w:lvl>
    <w:lvl w:ilvl="1" w:tplc="EB386178">
      <w:start w:val="1"/>
      <w:numFmt w:val="bullet"/>
      <w:lvlText w:val="o"/>
      <w:lvlJc w:val="left"/>
      <w:pPr>
        <w:ind w:left="1440" w:hanging="360"/>
      </w:pPr>
      <w:rPr>
        <w:rFonts w:hint="default" w:ascii="Courier New" w:hAnsi="Courier New"/>
      </w:rPr>
    </w:lvl>
    <w:lvl w:ilvl="2" w:tplc="90883240">
      <w:start w:val="1"/>
      <w:numFmt w:val="bullet"/>
      <w:lvlText w:val=""/>
      <w:lvlJc w:val="left"/>
      <w:pPr>
        <w:ind w:left="2160" w:hanging="360"/>
      </w:pPr>
      <w:rPr>
        <w:rFonts w:hint="default" w:ascii="Wingdings" w:hAnsi="Wingdings"/>
      </w:rPr>
    </w:lvl>
    <w:lvl w:ilvl="3" w:tplc="3C12CF16">
      <w:start w:val="1"/>
      <w:numFmt w:val="bullet"/>
      <w:lvlText w:val=""/>
      <w:lvlJc w:val="left"/>
      <w:pPr>
        <w:ind w:left="2880" w:hanging="360"/>
      </w:pPr>
      <w:rPr>
        <w:rFonts w:hint="default" w:ascii="Symbol" w:hAnsi="Symbol"/>
      </w:rPr>
    </w:lvl>
    <w:lvl w:ilvl="4" w:tplc="0E52CE62">
      <w:start w:val="1"/>
      <w:numFmt w:val="bullet"/>
      <w:lvlText w:val="o"/>
      <w:lvlJc w:val="left"/>
      <w:pPr>
        <w:ind w:left="3600" w:hanging="360"/>
      </w:pPr>
      <w:rPr>
        <w:rFonts w:hint="default" w:ascii="Courier New" w:hAnsi="Courier New"/>
      </w:rPr>
    </w:lvl>
    <w:lvl w:ilvl="5" w:tplc="2EBC503E">
      <w:start w:val="1"/>
      <w:numFmt w:val="bullet"/>
      <w:lvlText w:val=""/>
      <w:lvlJc w:val="left"/>
      <w:pPr>
        <w:ind w:left="4320" w:hanging="360"/>
      </w:pPr>
      <w:rPr>
        <w:rFonts w:hint="default" w:ascii="Wingdings" w:hAnsi="Wingdings"/>
      </w:rPr>
    </w:lvl>
    <w:lvl w:ilvl="6" w:tplc="F4782856">
      <w:start w:val="1"/>
      <w:numFmt w:val="bullet"/>
      <w:lvlText w:val=""/>
      <w:lvlJc w:val="left"/>
      <w:pPr>
        <w:ind w:left="5040" w:hanging="360"/>
      </w:pPr>
      <w:rPr>
        <w:rFonts w:hint="default" w:ascii="Symbol" w:hAnsi="Symbol"/>
      </w:rPr>
    </w:lvl>
    <w:lvl w:ilvl="7" w:tplc="DD7458B2">
      <w:start w:val="1"/>
      <w:numFmt w:val="bullet"/>
      <w:lvlText w:val="o"/>
      <w:lvlJc w:val="left"/>
      <w:pPr>
        <w:ind w:left="5760" w:hanging="360"/>
      </w:pPr>
      <w:rPr>
        <w:rFonts w:hint="default" w:ascii="Courier New" w:hAnsi="Courier New"/>
      </w:rPr>
    </w:lvl>
    <w:lvl w:ilvl="8" w:tplc="308261DC">
      <w:start w:val="1"/>
      <w:numFmt w:val="bullet"/>
      <w:lvlText w:val=""/>
      <w:lvlJc w:val="left"/>
      <w:pPr>
        <w:ind w:left="6480" w:hanging="360"/>
      </w:pPr>
      <w:rPr>
        <w:rFonts w:hint="default" w:ascii="Wingdings" w:hAnsi="Wingdings"/>
      </w:rPr>
    </w:lvl>
  </w:abstractNum>
  <w:abstractNum w:abstractNumId="92" w15:restartNumberingAfterBreak="0">
    <w:nsid w:val="2DFE1B6D"/>
    <w:multiLevelType w:val="hybridMultilevel"/>
    <w:tmpl w:val="FFFFFFFF"/>
    <w:lvl w:ilvl="0" w:tplc="DAFC8306">
      <w:start w:val="1"/>
      <w:numFmt w:val="decimal"/>
      <w:lvlText w:val="%1."/>
      <w:lvlJc w:val="left"/>
      <w:pPr>
        <w:ind w:left="720" w:hanging="360"/>
      </w:pPr>
    </w:lvl>
    <w:lvl w:ilvl="1" w:tplc="E28EDC2C">
      <w:start w:val="1"/>
      <w:numFmt w:val="decimal"/>
      <w:lvlText w:val="%2."/>
      <w:lvlJc w:val="left"/>
      <w:pPr>
        <w:ind w:left="1440" w:hanging="360"/>
      </w:pPr>
    </w:lvl>
    <w:lvl w:ilvl="2" w:tplc="0C86BE7C">
      <w:start w:val="1"/>
      <w:numFmt w:val="lowerRoman"/>
      <w:lvlText w:val="%3."/>
      <w:lvlJc w:val="right"/>
      <w:pPr>
        <w:ind w:left="2160" w:hanging="180"/>
      </w:pPr>
    </w:lvl>
    <w:lvl w:ilvl="3" w:tplc="1474FD26">
      <w:start w:val="1"/>
      <w:numFmt w:val="decimal"/>
      <w:lvlText w:val="%4."/>
      <w:lvlJc w:val="left"/>
      <w:pPr>
        <w:ind w:left="2880" w:hanging="360"/>
      </w:pPr>
    </w:lvl>
    <w:lvl w:ilvl="4" w:tplc="214CC980">
      <w:start w:val="1"/>
      <w:numFmt w:val="lowerLetter"/>
      <w:lvlText w:val="%5."/>
      <w:lvlJc w:val="left"/>
      <w:pPr>
        <w:ind w:left="3600" w:hanging="360"/>
      </w:pPr>
    </w:lvl>
    <w:lvl w:ilvl="5" w:tplc="D16EF208">
      <w:start w:val="1"/>
      <w:numFmt w:val="lowerRoman"/>
      <w:lvlText w:val="%6."/>
      <w:lvlJc w:val="right"/>
      <w:pPr>
        <w:ind w:left="4320" w:hanging="180"/>
      </w:pPr>
    </w:lvl>
    <w:lvl w:ilvl="6" w:tplc="BDEA5A90">
      <w:start w:val="1"/>
      <w:numFmt w:val="decimal"/>
      <w:lvlText w:val="%7."/>
      <w:lvlJc w:val="left"/>
      <w:pPr>
        <w:ind w:left="5040" w:hanging="360"/>
      </w:pPr>
    </w:lvl>
    <w:lvl w:ilvl="7" w:tplc="A8624AA4">
      <w:start w:val="1"/>
      <w:numFmt w:val="lowerLetter"/>
      <w:lvlText w:val="%8."/>
      <w:lvlJc w:val="left"/>
      <w:pPr>
        <w:ind w:left="5760" w:hanging="360"/>
      </w:pPr>
    </w:lvl>
    <w:lvl w:ilvl="8" w:tplc="0B3A217C">
      <w:start w:val="1"/>
      <w:numFmt w:val="lowerRoman"/>
      <w:lvlText w:val="%9."/>
      <w:lvlJc w:val="right"/>
      <w:pPr>
        <w:ind w:left="6480" w:hanging="180"/>
      </w:pPr>
    </w:lvl>
  </w:abstractNum>
  <w:abstractNum w:abstractNumId="93" w15:restartNumberingAfterBreak="0">
    <w:nsid w:val="2EB33BFA"/>
    <w:multiLevelType w:val="hybridMultilevel"/>
    <w:tmpl w:val="52D8A38A"/>
    <w:lvl w:ilvl="0" w:tplc="5EAAFCEC">
      <w:start w:val="1"/>
      <w:numFmt w:val="bullet"/>
      <w:lvlText w:val="·"/>
      <w:lvlJc w:val="left"/>
      <w:pPr>
        <w:ind w:left="720" w:hanging="360"/>
      </w:pPr>
      <w:rPr>
        <w:rFonts w:hint="default" w:ascii="Symbol" w:hAnsi="Symbol"/>
      </w:rPr>
    </w:lvl>
    <w:lvl w:ilvl="1" w:tplc="A96C0708">
      <w:start w:val="1"/>
      <w:numFmt w:val="bullet"/>
      <w:lvlText w:val="o"/>
      <w:lvlJc w:val="left"/>
      <w:pPr>
        <w:ind w:left="1440" w:hanging="360"/>
      </w:pPr>
      <w:rPr>
        <w:rFonts w:hint="default" w:ascii="Courier New" w:hAnsi="Courier New"/>
      </w:rPr>
    </w:lvl>
    <w:lvl w:ilvl="2" w:tplc="237EE4E4">
      <w:start w:val="1"/>
      <w:numFmt w:val="bullet"/>
      <w:lvlText w:val=""/>
      <w:lvlJc w:val="left"/>
      <w:pPr>
        <w:ind w:left="2160" w:hanging="360"/>
      </w:pPr>
      <w:rPr>
        <w:rFonts w:hint="default" w:ascii="Wingdings" w:hAnsi="Wingdings"/>
      </w:rPr>
    </w:lvl>
    <w:lvl w:ilvl="3" w:tplc="8C9CE892">
      <w:start w:val="1"/>
      <w:numFmt w:val="bullet"/>
      <w:lvlText w:val=""/>
      <w:lvlJc w:val="left"/>
      <w:pPr>
        <w:ind w:left="2880" w:hanging="360"/>
      </w:pPr>
      <w:rPr>
        <w:rFonts w:hint="default" w:ascii="Symbol" w:hAnsi="Symbol"/>
      </w:rPr>
    </w:lvl>
    <w:lvl w:ilvl="4" w:tplc="D1A2B51E">
      <w:start w:val="1"/>
      <w:numFmt w:val="bullet"/>
      <w:lvlText w:val="o"/>
      <w:lvlJc w:val="left"/>
      <w:pPr>
        <w:ind w:left="3600" w:hanging="360"/>
      </w:pPr>
      <w:rPr>
        <w:rFonts w:hint="default" w:ascii="Courier New" w:hAnsi="Courier New"/>
      </w:rPr>
    </w:lvl>
    <w:lvl w:ilvl="5" w:tplc="EFAE6EC0">
      <w:start w:val="1"/>
      <w:numFmt w:val="bullet"/>
      <w:lvlText w:val=""/>
      <w:lvlJc w:val="left"/>
      <w:pPr>
        <w:ind w:left="4320" w:hanging="360"/>
      </w:pPr>
      <w:rPr>
        <w:rFonts w:hint="default" w:ascii="Wingdings" w:hAnsi="Wingdings"/>
      </w:rPr>
    </w:lvl>
    <w:lvl w:ilvl="6" w:tplc="3F0C2C58">
      <w:start w:val="1"/>
      <w:numFmt w:val="bullet"/>
      <w:lvlText w:val=""/>
      <w:lvlJc w:val="left"/>
      <w:pPr>
        <w:ind w:left="5040" w:hanging="360"/>
      </w:pPr>
      <w:rPr>
        <w:rFonts w:hint="default" w:ascii="Symbol" w:hAnsi="Symbol"/>
      </w:rPr>
    </w:lvl>
    <w:lvl w:ilvl="7" w:tplc="986C01CE">
      <w:start w:val="1"/>
      <w:numFmt w:val="bullet"/>
      <w:lvlText w:val="o"/>
      <w:lvlJc w:val="left"/>
      <w:pPr>
        <w:ind w:left="5760" w:hanging="360"/>
      </w:pPr>
      <w:rPr>
        <w:rFonts w:hint="default" w:ascii="Courier New" w:hAnsi="Courier New"/>
      </w:rPr>
    </w:lvl>
    <w:lvl w:ilvl="8" w:tplc="A038FF40">
      <w:start w:val="1"/>
      <w:numFmt w:val="bullet"/>
      <w:lvlText w:val=""/>
      <w:lvlJc w:val="left"/>
      <w:pPr>
        <w:ind w:left="6480" w:hanging="360"/>
      </w:pPr>
      <w:rPr>
        <w:rFonts w:hint="default" w:ascii="Wingdings" w:hAnsi="Wingdings"/>
      </w:rPr>
    </w:lvl>
  </w:abstractNum>
  <w:abstractNum w:abstractNumId="94" w15:restartNumberingAfterBreak="0">
    <w:nsid w:val="2F6F610A"/>
    <w:multiLevelType w:val="hybridMultilevel"/>
    <w:tmpl w:val="10529002"/>
    <w:lvl w:ilvl="0" w:tplc="CCD23C1A">
      <w:start w:val="1"/>
      <w:numFmt w:val="bullet"/>
      <w:lvlText w:val="-"/>
      <w:lvlJc w:val="left"/>
      <w:pPr>
        <w:ind w:left="445" w:hanging="360"/>
      </w:pPr>
      <w:rPr>
        <w:rFonts w:hint="default" w:ascii="Cambria" w:hAnsi="Cambria" w:eastAsia="Cambria" w:cs="Cambria"/>
      </w:rPr>
    </w:lvl>
    <w:lvl w:ilvl="1" w:tplc="08090003" w:tentative="1">
      <w:start w:val="1"/>
      <w:numFmt w:val="bullet"/>
      <w:lvlText w:val="o"/>
      <w:lvlJc w:val="left"/>
      <w:pPr>
        <w:ind w:left="1165" w:hanging="360"/>
      </w:pPr>
      <w:rPr>
        <w:rFonts w:hint="default" w:ascii="Courier New" w:hAnsi="Courier New" w:cs="Courier New"/>
      </w:rPr>
    </w:lvl>
    <w:lvl w:ilvl="2" w:tplc="08090005" w:tentative="1">
      <w:start w:val="1"/>
      <w:numFmt w:val="bullet"/>
      <w:lvlText w:val=""/>
      <w:lvlJc w:val="left"/>
      <w:pPr>
        <w:ind w:left="1885" w:hanging="360"/>
      </w:pPr>
      <w:rPr>
        <w:rFonts w:hint="default" w:ascii="Wingdings" w:hAnsi="Wingdings"/>
      </w:rPr>
    </w:lvl>
    <w:lvl w:ilvl="3" w:tplc="08090001" w:tentative="1">
      <w:start w:val="1"/>
      <w:numFmt w:val="bullet"/>
      <w:lvlText w:val=""/>
      <w:lvlJc w:val="left"/>
      <w:pPr>
        <w:ind w:left="2605" w:hanging="360"/>
      </w:pPr>
      <w:rPr>
        <w:rFonts w:hint="default" w:ascii="Symbol" w:hAnsi="Symbol"/>
      </w:rPr>
    </w:lvl>
    <w:lvl w:ilvl="4" w:tplc="08090003" w:tentative="1">
      <w:start w:val="1"/>
      <w:numFmt w:val="bullet"/>
      <w:lvlText w:val="o"/>
      <w:lvlJc w:val="left"/>
      <w:pPr>
        <w:ind w:left="3325" w:hanging="360"/>
      </w:pPr>
      <w:rPr>
        <w:rFonts w:hint="default" w:ascii="Courier New" w:hAnsi="Courier New" w:cs="Courier New"/>
      </w:rPr>
    </w:lvl>
    <w:lvl w:ilvl="5" w:tplc="08090005" w:tentative="1">
      <w:start w:val="1"/>
      <w:numFmt w:val="bullet"/>
      <w:lvlText w:val=""/>
      <w:lvlJc w:val="left"/>
      <w:pPr>
        <w:ind w:left="4045" w:hanging="360"/>
      </w:pPr>
      <w:rPr>
        <w:rFonts w:hint="default" w:ascii="Wingdings" w:hAnsi="Wingdings"/>
      </w:rPr>
    </w:lvl>
    <w:lvl w:ilvl="6" w:tplc="08090001" w:tentative="1">
      <w:start w:val="1"/>
      <w:numFmt w:val="bullet"/>
      <w:lvlText w:val=""/>
      <w:lvlJc w:val="left"/>
      <w:pPr>
        <w:ind w:left="4765" w:hanging="360"/>
      </w:pPr>
      <w:rPr>
        <w:rFonts w:hint="default" w:ascii="Symbol" w:hAnsi="Symbol"/>
      </w:rPr>
    </w:lvl>
    <w:lvl w:ilvl="7" w:tplc="08090003" w:tentative="1">
      <w:start w:val="1"/>
      <w:numFmt w:val="bullet"/>
      <w:lvlText w:val="o"/>
      <w:lvlJc w:val="left"/>
      <w:pPr>
        <w:ind w:left="5485" w:hanging="360"/>
      </w:pPr>
      <w:rPr>
        <w:rFonts w:hint="default" w:ascii="Courier New" w:hAnsi="Courier New" w:cs="Courier New"/>
      </w:rPr>
    </w:lvl>
    <w:lvl w:ilvl="8" w:tplc="08090005" w:tentative="1">
      <w:start w:val="1"/>
      <w:numFmt w:val="bullet"/>
      <w:lvlText w:val=""/>
      <w:lvlJc w:val="left"/>
      <w:pPr>
        <w:ind w:left="6205" w:hanging="360"/>
      </w:pPr>
      <w:rPr>
        <w:rFonts w:hint="default" w:ascii="Wingdings" w:hAnsi="Wingdings"/>
      </w:rPr>
    </w:lvl>
  </w:abstractNum>
  <w:abstractNum w:abstractNumId="95" w15:restartNumberingAfterBreak="0">
    <w:nsid w:val="30EF79B2"/>
    <w:multiLevelType w:val="hybridMultilevel"/>
    <w:tmpl w:val="027454B6"/>
    <w:lvl w:ilvl="0" w:tplc="35F42D4C">
      <w:start w:val="1"/>
      <w:numFmt w:val="bullet"/>
      <w:lvlText w:val="·"/>
      <w:lvlJc w:val="left"/>
      <w:pPr>
        <w:ind w:left="720" w:hanging="360"/>
      </w:pPr>
    </w:lvl>
    <w:lvl w:ilvl="1" w:tplc="1C4E2F9A">
      <w:start w:val="1"/>
      <w:numFmt w:val="decimal"/>
      <w:lvlText w:val="%2."/>
      <w:lvlJc w:val="left"/>
      <w:pPr>
        <w:ind w:left="1440" w:hanging="360"/>
      </w:pPr>
    </w:lvl>
    <w:lvl w:ilvl="2" w:tplc="9260F638">
      <w:start w:val="1"/>
      <w:numFmt w:val="lowerRoman"/>
      <w:lvlText w:val="%3."/>
      <w:lvlJc w:val="right"/>
      <w:pPr>
        <w:ind w:left="2160" w:hanging="180"/>
      </w:pPr>
    </w:lvl>
    <w:lvl w:ilvl="3" w:tplc="5AEC9106">
      <w:start w:val="1"/>
      <w:numFmt w:val="decimal"/>
      <w:lvlText w:val="%4."/>
      <w:lvlJc w:val="left"/>
      <w:pPr>
        <w:ind w:left="2880" w:hanging="360"/>
      </w:pPr>
    </w:lvl>
    <w:lvl w:ilvl="4" w:tplc="F9420658">
      <w:start w:val="1"/>
      <w:numFmt w:val="lowerLetter"/>
      <w:lvlText w:val="%5."/>
      <w:lvlJc w:val="left"/>
      <w:pPr>
        <w:ind w:left="3600" w:hanging="360"/>
      </w:pPr>
    </w:lvl>
    <w:lvl w:ilvl="5" w:tplc="A4C471A6">
      <w:start w:val="1"/>
      <w:numFmt w:val="lowerRoman"/>
      <w:lvlText w:val="%6."/>
      <w:lvlJc w:val="right"/>
      <w:pPr>
        <w:ind w:left="4320" w:hanging="180"/>
      </w:pPr>
    </w:lvl>
    <w:lvl w:ilvl="6" w:tplc="5F825B60">
      <w:start w:val="1"/>
      <w:numFmt w:val="decimal"/>
      <w:lvlText w:val="%7."/>
      <w:lvlJc w:val="left"/>
      <w:pPr>
        <w:ind w:left="5040" w:hanging="360"/>
      </w:pPr>
    </w:lvl>
    <w:lvl w:ilvl="7" w:tplc="09FA2288">
      <w:start w:val="1"/>
      <w:numFmt w:val="lowerLetter"/>
      <w:lvlText w:val="%8."/>
      <w:lvlJc w:val="left"/>
      <w:pPr>
        <w:ind w:left="5760" w:hanging="360"/>
      </w:pPr>
    </w:lvl>
    <w:lvl w:ilvl="8" w:tplc="3EEA2B5E">
      <w:start w:val="1"/>
      <w:numFmt w:val="lowerRoman"/>
      <w:lvlText w:val="%9."/>
      <w:lvlJc w:val="right"/>
      <w:pPr>
        <w:ind w:left="6480" w:hanging="180"/>
      </w:pPr>
    </w:lvl>
  </w:abstractNum>
  <w:abstractNum w:abstractNumId="96" w15:restartNumberingAfterBreak="0">
    <w:nsid w:val="31BF260B"/>
    <w:multiLevelType w:val="hybridMultilevel"/>
    <w:tmpl w:val="35EABA4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3644B66"/>
    <w:multiLevelType w:val="hybridMultilevel"/>
    <w:tmpl w:val="81AAC0F8"/>
    <w:lvl w:ilvl="0" w:tplc="A5C4F704">
      <w:start w:val="1"/>
      <w:numFmt w:val="decimal"/>
      <w:lvlText w:val="%1."/>
      <w:lvlJc w:val="left"/>
      <w:pPr>
        <w:ind w:left="720" w:hanging="360"/>
      </w:pPr>
    </w:lvl>
    <w:lvl w:ilvl="1" w:tplc="061841D0">
      <w:start w:val="1"/>
      <w:numFmt w:val="lowerLetter"/>
      <w:lvlText w:val="%2."/>
      <w:lvlJc w:val="left"/>
      <w:pPr>
        <w:ind w:left="1440" w:hanging="360"/>
      </w:pPr>
    </w:lvl>
    <w:lvl w:ilvl="2" w:tplc="26BEC5BE">
      <w:start w:val="1"/>
      <w:numFmt w:val="lowerRoman"/>
      <w:lvlText w:val="%3."/>
      <w:lvlJc w:val="right"/>
      <w:pPr>
        <w:ind w:left="2160" w:hanging="180"/>
      </w:pPr>
    </w:lvl>
    <w:lvl w:ilvl="3" w:tplc="806C2B86">
      <w:start w:val="1"/>
      <w:numFmt w:val="decimal"/>
      <w:lvlText w:val="%4."/>
      <w:lvlJc w:val="left"/>
      <w:pPr>
        <w:ind w:left="2880" w:hanging="360"/>
      </w:pPr>
    </w:lvl>
    <w:lvl w:ilvl="4" w:tplc="3D962720">
      <w:start w:val="1"/>
      <w:numFmt w:val="lowerLetter"/>
      <w:lvlText w:val="%5."/>
      <w:lvlJc w:val="left"/>
      <w:pPr>
        <w:ind w:left="3600" w:hanging="360"/>
      </w:pPr>
    </w:lvl>
    <w:lvl w:ilvl="5" w:tplc="6F3CBDAE">
      <w:start w:val="1"/>
      <w:numFmt w:val="lowerRoman"/>
      <w:lvlText w:val="%6."/>
      <w:lvlJc w:val="right"/>
      <w:pPr>
        <w:ind w:left="4320" w:hanging="180"/>
      </w:pPr>
    </w:lvl>
    <w:lvl w:ilvl="6" w:tplc="6408E366">
      <w:start w:val="1"/>
      <w:numFmt w:val="decimal"/>
      <w:lvlText w:val="%7."/>
      <w:lvlJc w:val="left"/>
      <w:pPr>
        <w:ind w:left="5040" w:hanging="360"/>
      </w:pPr>
    </w:lvl>
    <w:lvl w:ilvl="7" w:tplc="626E7346">
      <w:start w:val="1"/>
      <w:numFmt w:val="lowerLetter"/>
      <w:lvlText w:val="%8."/>
      <w:lvlJc w:val="left"/>
      <w:pPr>
        <w:ind w:left="5760" w:hanging="360"/>
      </w:pPr>
    </w:lvl>
    <w:lvl w:ilvl="8" w:tplc="D3AABD70">
      <w:start w:val="1"/>
      <w:numFmt w:val="lowerRoman"/>
      <w:lvlText w:val="%9."/>
      <w:lvlJc w:val="right"/>
      <w:pPr>
        <w:ind w:left="6480" w:hanging="180"/>
      </w:pPr>
    </w:lvl>
  </w:abstractNum>
  <w:abstractNum w:abstractNumId="98" w15:restartNumberingAfterBreak="0">
    <w:nsid w:val="33EE6CD6"/>
    <w:multiLevelType w:val="hybridMultilevel"/>
    <w:tmpl w:val="33162A56"/>
    <w:lvl w:ilvl="0" w:tplc="6A36EFCE">
      <w:start w:val="1"/>
      <w:numFmt w:val="bullet"/>
      <w:lvlText w:val="·"/>
      <w:lvlJc w:val="left"/>
      <w:pPr>
        <w:ind w:left="720" w:hanging="360"/>
      </w:pPr>
      <w:rPr>
        <w:rFonts w:hint="default" w:ascii="Symbol" w:hAnsi="Symbol"/>
      </w:rPr>
    </w:lvl>
    <w:lvl w:ilvl="1" w:tplc="43C2E36E">
      <w:start w:val="1"/>
      <w:numFmt w:val="decimal"/>
      <w:lvlText w:val="%2."/>
      <w:lvlJc w:val="left"/>
      <w:pPr>
        <w:ind w:left="1440" w:hanging="360"/>
      </w:pPr>
      <w:rPr>
        <w:rFonts w:hint="default"/>
      </w:rPr>
    </w:lvl>
    <w:lvl w:ilvl="2" w:tplc="7C9CECBA">
      <w:start w:val="1"/>
      <w:numFmt w:val="bullet"/>
      <w:lvlText w:val=""/>
      <w:lvlJc w:val="left"/>
      <w:pPr>
        <w:ind w:left="2160" w:hanging="360"/>
      </w:pPr>
      <w:rPr>
        <w:rFonts w:hint="default" w:ascii="Wingdings" w:hAnsi="Wingdings"/>
      </w:rPr>
    </w:lvl>
    <w:lvl w:ilvl="3" w:tplc="33EEBE4E">
      <w:start w:val="1"/>
      <w:numFmt w:val="bullet"/>
      <w:lvlText w:val=""/>
      <w:lvlJc w:val="left"/>
      <w:pPr>
        <w:ind w:left="2880" w:hanging="360"/>
      </w:pPr>
      <w:rPr>
        <w:rFonts w:hint="default" w:ascii="Symbol" w:hAnsi="Symbol"/>
      </w:rPr>
    </w:lvl>
    <w:lvl w:ilvl="4" w:tplc="5B36A15E">
      <w:start w:val="1"/>
      <w:numFmt w:val="bullet"/>
      <w:lvlText w:val="o"/>
      <w:lvlJc w:val="left"/>
      <w:pPr>
        <w:ind w:left="3600" w:hanging="360"/>
      </w:pPr>
      <w:rPr>
        <w:rFonts w:hint="default" w:ascii="Courier New" w:hAnsi="Courier New"/>
      </w:rPr>
    </w:lvl>
    <w:lvl w:ilvl="5" w:tplc="2D706DE6">
      <w:start w:val="1"/>
      <w:numFmt w:val="bullet"/>
      <w:lvlText w:val=""/>
      <w:lvlJc w:val="left"/>
      <w:pPr>
        <w:ind w:left="4320" w:hanging="360"/>
      </w:pPr>
      <w:rPr>
        <w:rFonts w:hint="default" w:ascii="Wingdings" w:hAnsi="Wingdings"/>
      </w:rPr>
    </w:lvl>
    <w:lvl w:ilvl="6" w:tplc="86107974">
      <w:start w:val="1"/>
      <w:numFmt w:val="bullet"/>
      <w:lvlText w:val=""/>
      <w:lvlJc w:val="left"/>
      <w:pPr>
        <w:ind w:left="5040" w:hanging="360"/>
      </w:pPr>
      <w:rPr>
        <w:rFonts w:hint="default" w:ascii="Symbol" w:hAnsi="Symbol"/>
      </w:rPr>
    </w:lvl>
    <w:lvl w:ilvl="7" w:tplc="D938BA06">
      <w:start w:val="1"/>
      <w:numFmt w:val="bullet"/>
      <w:lvlText w:val="o"/>
      <w:lvlJc w:val="left"/>
      <w:pPr>
        <w:ind w:left="5760" w:hanging="360"/>
      </w:pPr>
      <w:rPr>
        <w:rFonts w:hint="default" w:ascii="Courier New" w:hAnsi="Courier New"/>
      </w:rPr>
    </w:lvl>
    <w:lvl w:ilvl="8" w:tplc="FB6E2FCC">
      <w:start w:val="1"/>
      <w:numFmt w:val="bullet"/>
      <w:lvlText w:val=""/>
      <w:lvlJc w:val="left"/>
      <w:pPr>
        <w:ind w:left="6480" w:hanging="360"/>
      </w:pPr>
      <w:rPr>
        <w:rFonts w:hint="default" w:ascii="Wingdings" w:hAnsi="Wingdings"/>
      </w:rPr>
    </w:lvl>
  </w:abstractNum>
  <w:abstractNum w:abstractNumId="99" w15:restartNumberingAfterBreak="0">
    <w:nsid w:val="34171EFD"/>
    <w:multiLevelType w:val="hybridMultilevel"/>
    <w:tmpl w:val="2D0EBA7C"/>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4B01409"/>
    <w:multiLevelType w:val="hybridMultilevel"/>
    <w:tmpl w:val="8DF6945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1" w15:restartNumberingAfterBreak="0">
    <w:nsid w:val="34EC077E"/>
    <w:multiLevelType w:val="hybridMultilevel"/>
    <w:tmpl w:val="1D52424E"/>
    <w:lvl w:ilvl="0" w:tplc="D4EE6B84">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2" w15:restartNumberingAfterBreak="0">
    <w:nsid w:val="353273F6"/>
    <w:multiLevelType w:val="hybridMultilevel"/>
    <w:tmpl w:val="C5502D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3" w15:restartNumberingAfterBreak="0">
    <w:nsid w:val="368C4E6F"/>
    <w:multiLevelType w:val="hybridMultilevel"/>
    <w:tmpl w:val="5FD609C8"/>
    <w:lvl w:ilvl="0" w:tplc="36442128">
      <w:start w:val="1"/>
      <w:numFmt w:val="decimal"/>
      <w:lvlText w:val="G.%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7B96D9B"/>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92E54A7"/>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93023CB"/>
    <w:multiLevelType w:val="hybridMultilevel"/>
    <w:tmpl w:val="E3DE411A"/>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107" w15:restartNumberingAfterBreak="0">
    <w:nsid w:val="39842DF0"/>
    <w:multiLevelType w:val="hybridMultilevel"/>
    <w:tmpl w:val="25A0DA44"/>
    <w:lvl w:ilvl="0" w:tplc="20AEF7D8">
      <w:start w:val="1"/>
      <w:numFmt w:val="decimal"/>
      <w:lvlText w:val="%1."/>
      <w:lvlJc w:val="left"/>
      <w:pPr>
        <w:ind w:left="720" w:hanging="360"/>
      </w:pPr>
    </w:lvl>
    <w:lvl w:ilvl="1" w:tplc="9E409298">
      <w:start w:val="1"/>
      <w:numFmt w:val="lowerLetter"/>
      <w:lvlText w:val="%2."/>
      <w:lvlJc w:val="left"/>
      <w:pPr>
        <w:ind w:left="1440" w:hanging="360"/>
      </w:pPr>
    </w:lvl>
    <w:lvl w:ilvl="2" w:tplc="6E9CE752">
      <w:start w:val="1"/>
      <w:numFmt w:val="lowerRoman"/>
      <w:lvlText w:val="%3."/>
      <w:lvlJc w:val="right"/>
      <w:pPr>
        <w:ind w:left="2160" w:hanging="180"/>
      </w:pPr>
    </w:lvl>
    <w:lvl w:ilvl="3" w:tplc="CFE89178">
      <w:start w:val="1"/>
      <w:numFmt w:val="decimal"/>
      <w:lvlText w:val="%4."/>
      <w:lvlJc w:val="left"/>
      <w:pPr>
        <w:ind w:left="2880" w:hanging="360"/>
      </w:pPr>
    </w:lvl>
    <w:lvl w:ilvl="4" w:tplc="3460C692">
      <w:start w:val="1"/>
      <w:numFmt w:val="lowerLetter"/>
      <w:lvlText w:val="%5."/>
      <w:lvlJc w:val="left"/>
      <w:pPr>
        <w:ind w:left="3600" w:hanging="360"/>
      </w:pPr>
    </w:lvl>
    <w:lvl w:ilvl="5" w:tplc="7F3EDC68">
      <w:start w:val="1"/>
      <w:numFmt w:val="lowerRoman"/>
      <w:lvlText w:val="%6."/>
      <w:lvlJc w:val="right"/>
      <w:pPr>
        <w:ind w:left="4320" w:hanging="180"/>
      </w:pPr>
    </w:lvl>
    <w:lvl w:ilvl="6" w:tplc="0E8C773C">
      <w:start w:val="1"/>
      <w:numFmt w:val="decimal"/>
      <w:lvlText w:val="%7."/>
      <w:lvlJc w:val="left"/>
      <w:pPr>
        <w:ind w:left="5040" w:hanging="360"/>
      </w:pPr>
    </w:lvl>
    <w:lvl w:ilvl="7" w:tplc="C9E87D3A">
      <w:start w:val="1"/>
      <w:numFmt w:val="lowerLetter"/>
      <w:lvlText w:val="%8."/>
      <w:lvlJc w:val="left"/>
      <w:pPr>
        <w:ind w:left="5760" w:hanging="360"/>
      </w:pPr>
    </w:lvl>
    <w:lvl w:ilvl="8" w:tplc="B2F01550">
      <w:start w:val="1"/>
      <w:numFmt w:val="lowerRoman"/>
      <w:lvlText w:val="%9."/>
      <w:lvlJc w:val="right"/>
      <w:pPr>
        <w:ind w:left="6480" w:hanging="180"/>
      </w:pPr>
    </w:lvl>
  </w:abstractNum>
  <w:abstractNum w:abstractNumId="10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B211612"/>
    <w:multiLevelType w:val="hybridMultilevel"/>
    <w:tmpl w:val="BAF84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C1B1429"/>
    <w:multiLevelType w:val="hybridMultilevel"/>
    <w:tmpl w:val="B818FBDC"/>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1" w15:restartNumberingAfterBreak="0">
    <w:nsid w:val="3E480E5A"/>
    <w:multiLevelType w:val="hybridMultilevel"/>
    <w:tmpl w:val="7B12C4B4"/>
    <w:lvl w:ilvl="0" w:tplc="C3761530">
      <w:start w:val="1"/>
      <w:numFmt w:val="bullet"/>
      <w:lvlText w:val="·"/>
      <w:lvlJc w:val="left"/>
      <w:pPr>
        <w:ind w:left="720" w:hanging="360"/>
      </w:pPr>
      <w:rPr>
        <w:rFonts w:hint="default" w:ascii="Symbol" w:hAnsi="Symbol"/>
      </w:rPr>
    </w:lvl>
    <w:lvl w:ilvl="1" w:tplc="23B8D700">
      <w:start w:val="1"/>
      <w:numFmt w:val="decimal"/>
      <w:lvlText w:val="%2."/>
      <w:lvlJc w:val="left"/>
      <w:pPr>
        <w:ind w:left="1440" w:hanging="360"/>
      </w:pPr>
      <w:rPr>
        <w:rFonts w:hint="default"/>
      </w:rPr>
    </w:lvl>
    <w:lvl w:ilvl="2" w:tplc="C7602BD0">
      <w:start w:val="1"/>
      <w:numFmt w:val="bullet"/>
      <w:lvlText w:val=""/>
      <w:lvlJc w:val="left"/>
      <w:pPr>
        <w:ind w:left="2160" w:hanging="360"/>
      </w:pPr>
      <w:rPr>
        <w:rFonts w:hint="default" w:ascii="Wingdings" w:hAnsi="Wingdings"/>
      </w:rPr>
    </w:lvl>
    <w:lvl w:ilvl="3" w:tplc="293AFFD4">
      <w:start w:val="1"/>
      <w:numFmt w:val="bullet"/>
      <w:lvlText w:val=""/>
      <w:lvlJc w:val="left"/>
      <w:pPr>
        <w:ind w:left="2880" w:hanging="360"/>
      </w:pPr>
      <w:rPr>
        <w:rFonts w:hint="default" w:ascii="Symbol" w:hAnsi="Symbol"/>
      </w:rPr>
    </w:lvl>
    <w:lvl w:ilvl="4" w:tplc="FACAC054">
      <w:start w:val="1"/>
      <w:numFmt w:val="bullet"/>
      <w:lvlText w:val="o"/>
      <w:lvlJc w:val="left"/>
      <w:pPr>
        <w:ind w:left="3600" w:hanging="360"/>
      </w:pPr>
      <w:rPr>
        <w:rFonts w:hint="default" w:ascii="Courier New" w:hAnsi="Courier New"/>
      </w:rPr>
    </w:lvl>
    <w:lvl w:ilvl="5" w:tplc="E4AC43BE">
      <w:start w:val="1"/>
      <w:numFmt w:val="bullet"/>
      <w:lvlText w:val=""/>
      <w:lvlJc w:val="left"/>
      <w:pPr>
        <w:ind w:left="4320" w:hanging="360"/>
      </w:pPr>
      <w:rPr>
        <w:rFonts w:hint="default" w:ascii="Wingdings" w:hAnsi="Wingdings"/>
      </w:rPr>
    </w:lvl>
    <w:lvl w:ilvl="6" w:tplc="45BA7DDE">
      <w:start w:val="1"/>
      <w:numFmt w:val="bullet"/>
      <w:lvlText w:val=""/>
      <w:lvlJc w:val="left"/>
      <w:pPr>
        <w:ind w:left="5040" w:hanging="360"/>
      </w:pPr>
      <w:rPr>
        <w:rFonts w:hint="default" w:ascii="Symbol" w:hAnsi="Symbol"/>
      </w:rPr>
    </w:lvl>
    <w:lvl w:ilvl="7" w:tplc="49468E78">
      <w:start w:val="1"/>
      <w:numFmt w:val="bullet"/>
      <w:lvlText w:val="o"/>
      <w:lvlJc w:val="left"/>
      <w:pPr>
        <w:ind w:left="5760" w:hanging="360"/>
      </w:pPr>
      <w:rPr>
        <w:rFonts w:hint="default" w:ascii="Courier New" w:hAnsi="Courier New"/>
      </w:rPr>
    </w:lvl>
    <w:lvl w:ilvl="8" w:tplc="1DA6F43A">
      <w:start w:val="1"/>
      <w:numFmt w:val="bullet"/>
      <w:lvlText w:val=""/>
      <w:lvlJc w:val="left"/>
      <w:pPr>
        <w:ind w:left="6480" w:hanging="360"/>
      </w:pPr>
      <w:rPr>
        <w:rFonts w:hint="default" w:ascii="Wingdings" w:hAnsi="Wingdings"/>
      </w:rPr>
    </w:lvl>
  </w:abstractNum>
  <w:abstractNum w:abstractNumId="112" w15:restartNumberingAfterBreak="0">
    <w:nsid w:val="3EA048E2"/>
    <w:multiLevelType w:val="hybridMultilevel"/>
    <w:tmpl w:val="FFFFFFFF"/>
    <w:lvl w:ilvl="0" w:tplc="A0AEDBE4">
      <w:start w:val="1"/>
      <w:numFmt w:val="bullet"/>
      <w:lvlText w:val="·"/>
      <w:lvlJc w:val="left"/>
      <w:pPr>
        <w:ind w:left="720" w:hanging="360"/>
      </w:pPr>
      <w:rPr>
        <w:rFonts w:hint="default" w:ascii="Symbol" w:hAnsi="Symbol"/>
      </w:rPr>
    </w:lvl>
    <w:lvl w:ilvl="1" w:tplc="3D8EF6CC">
      <w:start w:val="1"/>
      <w:numFmt w:val="bullet"/>
      <w:lvlText w:val="o"/>
      <w:lvlJc w:val="left"/>
      <w:pPr>
        <w:ind w:left="1440" w:hanging="360"/>
      </w:pPr>
      <w:rPr>
        <w:rFonts w:hint="default" w:ascii="Courier New" w:hAnsi="Courier New"/>
      </w:rPr>
    </w:lvl>
    <w:lvl w:ilvl="2" w:tplc="786AE30E">
      <w:start w:val="1"/>
      <w:numFmt w:val="bullet"/>
      <w:lvlText w:val=""/>
      <w:lvlJc w:val="left"/>
      <w:pPr>
        <w:ind w:left="2160" w:hanging="360"/>
      </w:pPr>
      <w:rPr>
        <w:rFonts w:hint="default" w:ascii="Wingdings" w:hAnsi="Wingdings"/>
      </w:rPr>
    </w:lvl>
    <w:lvl w:ilvl="3" w:tplc="33EAEC3C">
      <w:start w:val="1"/>
      <w:numFmt w:val="bullet"/>
      <w:lvlText w:val=""/>
      <w:lvlJc w:val="left"/>
      <w:pPr>
        <w:ind w:left="2880" w:hanging="360"/>
      </w:pPr>
      <w:rPr>
        <w:rFonts w:hint="default" w:ascii="Symbol" w:hAnsi="Symbol"/>
      </w:rPr>
    </w:lvl>
    <w:lvl w:ilvl="4" w:tplc="3946B71A">
      <w:start w:val="1"/>
      <w:numFmt w:val="bullet"/>
      <w:lvlText w:val="o"/>
      <w:lvlJc w:val="left"/>
      <w:pPr>
        <w:ind w:left="3600" w:hanging="360"/>
      </w:pPr>
      <w:rPr>
        <w:rFonts w:hint="default" w:ascii="Courier New" w:hAnsi="Courier New"/>
      </w:rPr>
    </w:lvl>
    <w:lvl w:ilvl="5" w:tplc="03B48594">
      <w:start w:val="1"/>
      <w:numFmt w:val="bullet"/>
      <w:lvlText w:val=""/>
      <w:lvlJc w:val="left"/>
      <w:pPr>
        <w:ind w:left="4320" w:hanging="360"/>
      </w:pPr>
      <w:rPr>
        <w:rFonts w:hint="default" w:ascii="Wingdings" w:hAnsi="Wingdings"/>
      </w:rPr>
    </w:lvl>
    <w:lvl w:ilvl="6" w:tplc="11DA5030">
      <w:start w:val="1"/>
      <w:numFmt w:val="bullet"/>
      <w:lvlText w:val=""/>
      <w:lvlJc w:val="left"/>
      <w:pPr>
        <w:ind w:left="5040" w:hanging="360"/>
      </w:pPr>
      <w:rPr>
        <w:rFonts w:hint="default" w:ascii="Symbol" w:hAnsi="Symbol"/>
      </w:rPr>
    </w:lvl>
    <w:lvl w:ilvl="7" w:tplc="B4D85D64">
      <w:start w:val="1"/>
      <w:numFmt w:val="bullet"/>
      <w:lvlText w:val="o"/>
      <w:lvlJc w:val="left"/>
      <w:pPr>
        <w:ind w:left="5760" w:hanging="360"/>
      </w:pPr>
      <w:rPr>
        <w:rFonts w:hint="default" w:ascii="Courier New" w:hAnsi="Courier New"/>
      </w:rPr>
    </w:lvl>
    <w:lvl w:ilvl="8" w:tplc="31DE5E48">
      <w:start w:val="1"/>
      <w:numFmt w:val="bullet"/>
      <w:lvlText w:val=""/>
      <w:lvlJc w:val="left"/>
      <w:pPr>
        <w:ind w:left="6480" w:hanging="360"/>
      </w:pPr>
      <w:rPr>
        <w:rFonts w:hint="default" w:ascii="Wingdings" w:hAnsi="Wingdings"/>
      </w:rPr>
    </w:lvl>
  </w:abstractNum>
  <w:abstractNum w:abstractNumId="113" w15:restartNumberingAfterBreak="0">
    <w:nsid w:val="3F16627B"/>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4" w15:restartNumberingAfterBreak="0">
    <w:nsid w:val="3FE45865"/>
    <w:multiLevelType w:val="hybridMultilevel"/>
    <w:tmpl w:val="FE84C4A0"/>
    <w:lvl w:ilvl="0" w:tplc="C6148992">
      <w:start w:val="1"/>
      <w:numFmt w:val="bullet"/>
      <w:pStyle w:val="numbered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5" w15:restartNumberingAfterBreak="0">
    <w:nsid w:val="40037F04"/>
    <w:multiLevelType w:val="hybridMultilevel"/>
    <w:tmpl w:val="FF2CD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6" w15:restartNumberingAfterBreak="0">
    <w:nsid w:val="41285243"/>
    <w:multiLevelType w:val="hybridMultilevel"/>
    <w:tmpl w:val="AAF2915A"/>
    <w:lvl w:ilvl="0" w:tplc="97EA7E1E">
      <w:start w:val="50"/>
      <w:numFmt w:val="bullet"/>
      <w:lvlText w:val="-"/>
      <w:lvlJc w:val="left"/>
      <w:pPr>
        <w:ind w:left="445" w:hanging="360"/>
      </w:pPr>
      <w:rPr>
        <w:rFonts w:hint="default" w:ascii="Times New Roman" w:hAnsi="Times New Roman" w:eastAsia="Times New Roman" w:cs="Times New Roman"/>
      </w:rPr>
    </w:lvl>
    <w:lvl w:ilvl="1" w:tplc="08090003" w:tentative="1">
      <w:start w:val="1"/>
      <w:numFmt w:val="bullet"/>
      <w:lvlText w:val="o"/>
      <w:lvlJc w:val="left"/>
      <w:pPr>
        <w:ind w:left="1165" w:hanging="360"/>
      </w:pPr>
      <w:rPr>
        <w:rFonts w:hint="default" w:ascii="Courier New" w:hAnsi="Courier New" w:cs="Courier New"/>
      </w:rPr>
    </w:lvl>
    <w:lvl w:ilvl="2" w:tplc="08090005" w:tentative="1">
      <w:start w:val="1"/>
      <w:numFmt w:val="bullet"/>
      <w:lvlText w:val=""/>
      <w:lvlJc w:val="left"/>
      <w:pPr>
        <w:ind w:left="1885" w:hanging="360"/>
      </w:pPr>
      <w:rPr>
        <w:rFonts w:hint="default" w:ascii="Wingdings" w:hAnsi="Wingdings"/>
      </w:rPr>
    </w:lvl>
    <w:lvl w:ilvl="3" w:tplc="08090001" w:tentative="1">
      <w:start w:val="1"/>
      <w:numFmt w:val="bullet"/>
      <w:lvlText w:val=""/>
      <w:lvlJc w:val="left"/>
      <w:pPr>
        <w:ind w:left="2605" w:hanging="360"/>
      </w:pPr>
      <w:rPr>
        <w:rFonts w:hint="default" w:ascii="Symbol" w:hAnsi="Symbol"/>
      </w:rPr>
    </w:lvl>
    <w:lvl w:ilvl="4" w:tplc="08090003" w:tentative="1">
      <w:start w:val="1"/>
      <w:numFmt w:val="bullet"/>
      <w:lvlText w:val="o"/>
      <w:lvlJc w:val="left"/>
      <w:pPr>
        <w:ind w:left="3325" w:hanging="360"/>
      </w:pPr>
      <w:rPr>
        <w:rFonts w:hint="default" w:ascii="Courier New" w:hAnsi="Courier New" w:cs="Courier New"/>
      </w:rPr>
    </w:lvl>
    <w:lvl w:ilvl="5" w:tplc="08090005" w:tentative="1">
      <w:start w:val="1"/>
      <w:numFmt w:val="bullet"/>
      <w:lvlText w:val=""/>
      <w:lvlJc w:val="left"/>
      <w:pPr>
        <w:ind w:left="4045" w:hanging="360"/>
      </w:pPr>
      <w:rPr>
        <w:rFonts w:hint="default" w:ascii="Wingdings" w:hAnsi="Wingdings"/>
      </w:rPr>
    </w:lvl>
    <w:lvl w:ilvl="6" w:tplc="08090001" w:tentative="1">
      <w:start w:val="1"/>
      <w:numFmt w:val="bullet"/>
      <w:lvlText w:val=""/>
      <w:lvlJc w:val="left"/>
      <w:pPr>
        <w:ind w:left="4765" w:hanging="360"/>
      </w:pPr>
      <w:rPr>
        <w:rFonts w:hint="default" w:ascii="Symbol" w:hAnsi="Symbol"/>
      </w:rPr>
    </w:lvl>
    <w:lvl w:ilvl="7" w:tplc="08090003" w:tentative="1">
      <w:start w:val="1"/>
      <w:numFmt w:val="bullet"/>
      <w:lvlText w:val="o"/>
      <w:lvlJc w:val="left"/>
      <w:pPr>
        <w:ind w:left="5485" w:hanging="360"/>
      </w:pPr>
      <w:rPr>
        <w:rFonts w:hint="default" w:ascii="Courier New" w:hAnsi="Courier New" w:cs="Courier New"/>
      </w:rPr>
    </w:lvl>
    <w:lvl w:ilvl="8" w:tplc="08090005" w:tentative="1">
      <w:start w:val="1"/>
      <w:numFmt w:val="bullet"/>
      <w:lvlText w:val=""/>
      <w:lvlJc w:val="left"/>
      <w:pPr>
        <w:ind w:left="6205" w:hanging="360"/>
      </w:pPr>
      <w:rPr>
        <w:rFonts w:hint="default" w:ascii="Wingdings" w:hAnsi="Wingdings"/>
      </w:rPr>
    </w:lvl>
  </w:abstractNum>
  <w:abstractNum w:abstractNumId="117" w15:restartNumberingAfterBreak="0">
    <w:nsid w:val="41910805"/>
    <w:multiLevelType w:val="hybridMultilevel"/>
    <w:tmpl w:val="DB2269C6"/>
    <w:lvl w:ilvl="0" w:tplc="7BBAF134">
      <w:start w:val="3"/>
      <w:numFmt w:val="bullet"/>
      <w:lvlText w:val="-"/>
      <w:lvlJc w:val="left"/>
      <w:pPr>
        <w:ind w:left="720" w:hanging="360"/>
      </w:pPr>
      <w:rPr>
        <w:rFonts w:hint="default" w:ascii="Calibri" w:hAnsi="Calibri" w:cs="Calibri" w:eastAsiaTheme="minorEastAsia"/>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118" w15:restartNumberingAfterBreak="0">
    <w:nsid w:val="41910F6D"/>
    <w:multiLevelType w:val="hybridMultilevel"/>
    <w:tmpl w:val="F4669CC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9" w15:restartNumberingAfterBreak="0">
    <w:nsid w:val="41F800E5"/>
    <w:multiLevelType w:val="hybridMultilevel"/>
    <w:tmpl w:val="F8B82BF0"/>
    <w:lvl w:ilvl="0" w:tplc="805CBA54">
      <w:start w:val="45"/>
      <w:numFmt w:val="decimal"/>
      <w:lvlText w:val="%1)"/>
      <w:lvlJc w:val="left"/>
      <w:pPr>
        <w:ind w:left="2694" w:hanging="360"/>
      </w:pPr>
      <w:rPr>
        <w:rFonts w:hint="default" w:eastAsia="MS Mincho"/>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266117F"/>
    <w:multiLevelType w:val="hybridMultilevel"/>
    <w:tmpl w:val="DE10C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1" w15:restartNumberingAfterBreak="0">
    <w:nsid w:val="427553C3"/>
    <w:multiLevelType w:val="hybridMultilevel"/>
    <w:tmpl w:val="625E3582"/>
    <w:lvl w:ilvl="0" w:tplc="0CDE26CA">
      <w:start w:val="1"/>
      <w:numFmt w:val="bullet"/>
      <w:lvlText w:val="·"/>
      <w:lvlJc w:val="left"/>
      <w:pPr>
        <w:ind w:left="720" w:hanging="360"/>
      </w:pPr>
      <w:rPr>
        <w:rFonts w:hint="default" w:ascii="Symbol" w:hAnsi="Symbol"/>
      </w:rPr>
    </w:lvl>
    <w:lvl w:ilvl="1" w:tplc="6E66BED4">
      <w:start w:val="1"/>
      <w:numFmt w:val="bullet"/>
      <w:lvlText w:val="o"/>
      <w:lvlJc w:val="left"/>
      <w:pPr>
        <w:ind w:left="1440" w:hanging="360"/>
      </w:pPr>
      <w:rPr>
        <w:rFonts w:hint="default" w:ascii="Courier New" w:hAnsi="Courier New"/>
      </w:rPr>
    </w:lvl>
    <w:lvl w:ilvl="2" w:tplc="6136DC70">
      <w:start w:val="1"/>
      <w:numFmt w:val="bullet"/>
      <w:lvlText w:val=""/>
      <w:lvlJc w:val="left"/>
      <w:pPr>
        <w:ind w:left="2160" w:hanging="360"/>
      </w:pPr>
      <w:rPr>
        <w:rFonts w:hint="default" w:ascii="Wingdings" w:hAnsi="Wingdings"/>
      </w:rPr>
    </w:lvl>
    <w:lvl w:ilvl="3" w:tplc="56BCDBBC">
      <w:start w:val="1"/>
      <w:numFmt w:val="bullet"/>
      <w:lvlText w:val=""/>
      <w:lvlJc w:val="left"/>
      <w:pPr>
        <w:ind w:left="2880" w:hanging="360"/>
      </w:pPr>
      <w:rPr>
        <w:rFonts w:hint="default" w:ascii="Symbol" w:hAnsi="Symbol"/>
      </w:rPr>
    </w:lvl>
    <w:lvl w:ilvl="4" w:tplc="5726A0C8">
      <w:start w:val="1"/>
      <w:numFmt w:val="bullet"/>
      <w:lvlText w:val="o"/>
      <w:lvlJc w:val="left"/>
      <w:pPr>
        <w:ind w:left="3600" w:hanging="360"/>
      </w:pPr>
      <w:rPr>
        <w:rFonts w:hint="default" w:ascii="Courier New" w:hAnsi="Courier New"/>
      </w:rPr>
    </w:lvl>
    <w:lvl w:ilvl="5" w:tplc="AB124752">
      <w:start w:val="1"/>
      <w:numFmt w:val="bullet"/>
      <w:lvlText w:val=""/>
      <w:lvlJc w:val="left"/>
      <w:pPr>
        <w:ind w:left="4320" w:hanging="360"/>
      </w:pPr>
      <w:rPr>
        <w:rFonts w:hint="default" w:ascii="Wingdings" w:hAnsi="Wingdings"/>
      </w:rPr>
    </w:lvl>
    <w:lvl w:ilvl="6" w:tplc="935C97FC">
      <w:start w:val="1"/>
      <w:numFmt w:val="bullet"/>
      <w:lvlText w:val=""/>
      <w:lvlJc w:val="left"/>
      <w:pPr>
        <w:ind w:left="5040" w:hanging="360"/>
      </w:pPr>
      <w:rPr>
        <w:rFonts w:hint="default" w:ascii="Symbol" w:hAnsi="Symbol"/>
      </w:rPr>
    </w:lvl>
    <w:lvl w:ilvl="7" w:tplc="24A2BA28">
      <w:start w:val="1"/>
      <w:numFmt w:val="bullet"/>
      <w:lvlText w:val="o"/>
      <w:lvlJc w:val="left"/>
      <w:pPr>
        <w:ind w:left="5760" w:hanging="360"/>
      </w:pPr>
      <w:rPr>
        <w:rFonts w:hint="default" w:ascii="Courier New" w:hAnsi="Courier New"/>
      </w:rPr>
    </w:lvl>
    <w:lvl w:ilvl="8" w:tplc="3F24B7EA">
      <w:start w:val="1"/>
      <w:numFmt w:val="bullet"/>
      <w:lvlText w:val=""/>
      <w:lvlJc w:val="left"/>
      <w:pPr>
        <w:ind w:left="6480" w:hanging="360"/>
      </w:pPr>
      <w:rPr>
        <w:rFonts w:hint="default" w:ascii="Wingdings" w:hAnsi="Wingdings"/>
      </w:rPr>
    </w:lvl>
  </w:abstractNum>
  <w:abstractNum w:abstractNumId="122" w15:restartNumberingAfterBreak="0">
    <w:nsid w:val="42957DBD"/>
    <w:multiLevelType w:val="hybridMultilevel"/>
    <w:tmpl w:val="42E26CD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3" w15:restartNumberingAfterBreak="0">
    <w:nsid w:val="42DB0852"/>
    <w:multiLevelType w:val="hybridMultilevel"/>
    <w:tmpl w:val="FFFFFFFF"/>
    <w:lvl w:ilvl="0" w:tplc="DCB81600">
      <w:start w:val="1"/>
      <w:numFmt w:val="decimal"/>
      <w:lvlText w:val="%1."/>
      <w:lvlJc w:val="left"/>
      <w:pPr>
        <w:ind w:left="720" w:hanging="360"/>
      </w:pPr>
    </w:lvl>
    <w:lvl w:ilvl="1" w:tplc="709C6A3A">
      <w:start w:val="1"/>
      <w:numFmt w:val="lowerLetter"/>
      <w:lvlText w:val="%2."/>
      <w:lvlJc w:val="left"/>
      <w:pPr>
        <w:ind w:left="1440" w:hanging="360"/>
      </w:pPr>
    </w:lvl>
    <w:lvl w:ilvl="2" w:tplc="A14A22E0">
      <w:start w:val="1"/>
      <w:numFmt w:val="lowerRoman"/>
      <w:lvlText w:val="%3."/>
      <w:lvlJc w:val="right"/>
      <w:pPr>
        <w:ind w:left="2160" w:hanging="180"/>
      </w:pPr>
    </w:lvl>
    <w:lvl w:ilvl="3" w:tplc="37A2BA48">
      <w:start w:val="1"/>
      <w:numFmt w:val="decimal"/>
      <w:lvlText w:val="%4."/>
      <w:lvlJc w:val="left"/>
      <w:pPr>
        <w:ind w:left="2880" w:hanging="360"/>
      </w:pPr>
    </w:lvl>
    <w:lvl w:ilvl="4" w:tplc="0158D936">
      <w:start w:val="1"/>
      <w:numFmt w:val="lowerLetter"/>
      <w:lvlText w:val="%5."/>
      <w:lvlJc w:val="left"/>
      <w:pPr>
        <w:ind w:left="3600" w:hanging="360"/>
      </w:pPr>
    </w:lvl>
    <w:lvl w:ilvl="5" w:tplc="7DCEB506">
      <w:start w:val="1"/>
      <w:numFmt w:val="lowerRoman"/>
      <w:lvlText w:val="%6."/>
      <w:lvlJc w:val="right"/>
      <w:pPr>
        <w:ind w:left="4320" w:hanging="180"/>
      </w:pPr>
    </w:lvl>
    <w:lvl w:ilvl="6" w:tplc="19DC56C0">
      <w:start w:val="1"/>
      <w:numFmt w:val="decimal"/>
      <w:lvlText w:val="%7."/>
      <w:lvlJc w:val="left"/>
      <w:pPr>
        <w:ind w:left="5040" w:hanging="360"/>
      </w:pPr>
    </w:lvl>
    <w:lvl w:ilvl="7" w:tplc="5A90A1E8">
      <w:start w:val="1"/>
      <w:numFmt w:val="lowerLetter"/>
      <w:lvlText w:val="%8."/>
      <w:lvlJc w:val="left"/>
      <w:pPr>
        <w:ind w:left="5760" w:hanging="360"/>
      </w:pPr>
    </w:lvl>
    <w:lvl w:ilvl="8" w:tplc="E2EE7886">
      <w:start w:val="1"/>
      <w:numFmt w:val="lowerRoman"/>
      <w:lvlText w:val="%9."/>
      <w:lvlJc w:val="right"/>
      <w:pPr>
        <w:ind w:left="6480" w:hanging="180"/>
      </w:pPr>
    </w:lvl>
  </w:abstractNum>
  <w:abstractNum w:abstractNumId="124" w15:restartNumberingAfterBreak="0">
    <w:nsid w:val="435E3A14"/>
    <w:multiLevelType w:val="hybridMultilevel"/>
    <w:tmpl w:val="FFFFFFFF"/>
    <w:lvl w:ilvl="0" w:tplc="90ACABF0">
      <w:start w:val="1"/>
      <w:numFmt w:val="decimal"/>
      <w:lvlText w:val="%1."/>
      <w:lvlJc w:val="left"/>
      <w:pPr>
        <w:ind w:left="720" w:hanging="360"/>
      </w:pPr>
    </w:lvl>
    <w:lvl w:ilvl="1" w:tplc="A4C6AD9C">
      <w:start w:val="1"/>
      <w:numFmt w:val="lowerLetter"/>
      <w:lvlText w:val="%2."/>
      <w:lvlJc w:val="left"/>
      <w:pPr>
        <w:ind w:left="1440" w:hanging="360"/>
      </w:pPr>
    </w:lvl>
    <w:lvl w:ilvl="2" w:tplc="A88217C0">
      <w:start w:val="1"/>
      <w:numFmt w:val="lowerRoman"/>
      <w:lvlText w:val="%3."/>
      <w:lvlJc w:val="right"/>
      <w:pPr>
        <w:ind w:left="2160" w:hanging="180"/>
      </w:pPr>
    </w:lvl>
    <w:lvl w:ilvl="3" w:tplc="A83A2AD8">
      <w:start w:val="1"/>
      <w:numFmt w:val="decimal"/>
      <w:lvlText w:val="%4."/>
      <w:lvlJc w:val="left"/>
      <w:pPr>
        <w:ind w:left="2880" w:hanging="360"/>
      </w:pPr>
    </w:lvl>
    <w:lvl w:ilvl="4" w:tplc="1432078E">
      <w:start w:val="1"/>
      <w:numFmt w:val="lowerLetter"/>
      <w:lvlText w:val="%5."/>
      <w:lvlJc w:val="left"/>
      <w:pPr>
        <w:ind w:left="3600" w:hanging="360"/>
      </w:pPr>
    </w:lvl>
    <w:lvl w:ilvl="5" w:tplc="4B42B678">
      <w:start w:val="1"/>
      <w:numFmt w:val="lowerRoman"/>
      <w:lvlText w:val="%6."/>
      <w:lvlJc w:val="right"/>
      <w:pPr>
        <w:ind w:left="4320" w:hanging="180"/>
      </w:pPr>
    </w:lvl>
    <w:lvl w:ilvl="6" w:tplc="B3DEEFF0">
      <w:start w:val="1"/>
      <w:numFmt w:val="decimal"/>
      <w:lvlText w:val="%7."/>
      <w:lvlJc w:val="left"/>
      <w:pPr>
        <w:ind w:left="5040" w:hanging="360"/>
      </w:pPr>
    </w:lvl>
    <w:lvl w:ilvl="7" w:tplc="5A362826">
      <w:start w:val="1"/>
      <w:numFmt w:val="lowerLetter"/>
      <w:lvlText w:val="%8."/>
      <w:lvlJc w:val="left"/>
      <w:pPr>
        <w:ind w:left="5760" w:hanging="360"/>
      </w:pPr>
    </w:lvl>
    <w:lvl w:ilvl="8" w:tplc="BC6E4078">
      <w:start w:val="1"/>
      <w:numFmt w:val="lowerRoman"/>
      <w:lvlText w:val="%9."/>
      <w:lvlJc w:val="right"/>
      <w:pPr>
        <w:ind w:left="6480" w:hanging="180"/>
      </w:pPr>
    </w:lvl>
  </w:abstractNum>
  <w:abstractNum w:abstractNumId="125" w15:restartNumberingAfterBreak="0">
    <w:nsid w:val="436C5B11"/>
    <w:multiLevelType w:val="hybridMultilevel"/>
    <w:tmpl w:val="FFFFFFFF"/>
    <w:lvl w:ilvl="0" w:tplc="BA0AACFA">
      <w:start w:val="1"/>
      <w:numFmt w:val="bullet"/>
      <w:lvlText w:val="·"/>
      <w:lvlJc w:val="left"/>
      <w:pPr>
        <w:ind w:left="720" w:hanging="360"/>
      </w:pPr>
      <w:rPr>
        <w:rFonts w:hint="default" w:ascii="Symbol" w:hAnsi="Symbol"/>
      </w:rPr>
    </w:lvl>
    <w:lvl w:ilvl="1" w:tplc="73C8394E">
      <w:start w:val="1"/>
      <w:numFmt w:val="bullet"/>
      <w:lvlText w:val="o"/>
      <w:lvlJc w:val="left"/>
      <w:pPr>
        <w:ind w:left="1440" w:hanging="360"/>
      </w:pPr>
      <w:rPr>
        <w:rFonts w:hint="default" w:ascii="Courier New" w:hAnsi="Courier New"/>
      </w:rPr>
    </w:lvl>
    <w:lvl w:ilvl="2" w:tplc="DD1E4EEC">
      <w:start w:val="1"/>
      <w:numFmt w:val="bullet"/>
      <w:lvlText w:val=""/>
      <w:lvlJc w:val="left"/>
      <w:pPr>
        <w:ind w:left="2160" w:hanging="360"/>
      </w:pPr>
      <w:rPr>
        <w:rFonts w:hint="default" w:ascii="Wingdings" w:hAnsi="Wingdings"/>
      </w:rPr>
    </w:lvl>
    <w:lvl w:ilvl="3" w:tplc="04ACAC0E">
      <w:start w:val="1"/>
      <w:numFmt w:val="bullet"/>
      <w:lvlText w:val=""/>
      <w:lvlJc w:val="left"/>
      <w:pPr>
        <w:ind w:left="2880" w:hanging="360"/>
      </w:pPr>
      <w:rPr>
        <w:rFonts w:hint="default" w:ascii="Symbol" w:hAnsi="Symbol"/>
      </w:rPr>
    </w:lvl>
    <w:lvl w:ilvl="4" w:tplc="1674D12E">
      <w:start w:val="1"/>
      <w:numFmt w:val="bullet"/>
      <w:lvlText w:val="o"/>
      <w:lvlJc w:val="left"/>
      <w:pPr>
        <w:ind w:left="3600" w:hanging="360"/>
      </w:pPr>
      <w:rPr>
        <w:rFonts w:hint="default" w:ascii="Courier New" w:hAnsi="Courier New"/>
      </w:rPr>
    </w:lvl>
    <w:lvl w:ilvl="5" w:tplc="724AF508">
      <w:start w:val="1"/>
      <w:numFmt w:val="bullet"/>
      <w:lvlText w:val=""/>
      <w:lvlJc w:val="left"/>
      <w:pPr>
        <w:ind w:left="4320" w:hanging="360"/>
      </w:pPr>
      <w:rPr>
        <w:rFonts w:hint="default" w:ascii="Wingdings" w:hAnsi="Wingdings"/>
      </w:rPr>
    </w:lvl>
    <w:lvl w:ilvl="6" w:tplc="F066FAB4">
      <w:start w:val="1"/>
      <w:numFmt w:val="bullet"/>
      <w:lvlText w:val=""/>
      <w:lvlJc w:val="left"/>
      <w:pPr>
        <w:ind w:left="5040" w:hanging="360"/>
      </w:pPr>
      <w:rPr>
        <w:rFonts w:hint="default" w:ascii="Symbol" w:hAnsi="Symbol"/>
      </w:rPr>
    </w:lvl>
    <w:lvl w:ilvl="7" w:tplc="5ED811E8">
      <w:start w:val="1"/>
      <w:numFmt w:val="bullet"/>
      <w:lvlText w:val="o"/>
      <w:lvlJc w:val="left"/>
      <w:pPr>
        <w:ind w:left="5760" w:hanging="360"/>
      </w:pPr>
      <w:rPr>
        <w:rFonts w:hint="default" w:ascii="Courier New" w:hAnsi="Courier New"/>
      </w:rPr>
    </w:lvl>
    <w:lvl w:ilvl="8" w:tplc="391068F6">
      <w:start w:val="1"/>
      <w:numFmt w:val="bullet"/>
      <w:lvlText w:val=""/>
      <w:lvlJc w:val="left"/>
      <w:pPr>
        <w:ind w:left="6480" w:hanging="360"/>
      </w:pPr>
      <w:rPr>
        <w:rFonts w:hint="default" w:ascii="Wingdings" w:hAnsi="Wingdings"/>
      </w:rPr>
    </w:lvl>
  </w:abstractNum>
  <w:abstractNum w:abstractNumId="126" w15:restartNumberingAfterBreak="0">
    <w:nsid w:val="43D91D16"/>
    <w:multiLevelType w:val="hybridMultilevel"/>
    <w:tmpl w:val="F496AE26"/>
    <w:lvl w:ilvl="0" w:tplc="08090001">
      <w:start w:val="1"/>
      <w:numFmt w:val="bullet"/>
      <w:lvlText w:val=""/>
      <w:lvlJc w:val="left"/>
      <w:pPr>
        <w:ind w:left="805" w:hanging="360"/>
      </w:pPr>
      <w:rPr>
        <w:rFonts w:hint="default" w:ascii="Symbol" w:hAnsi="Symbol"/>
      </w:rPr>
    </w:lvl>
    <w:lvl w:ilvl="1" w:tplc="08090003" w:tentative="1">
      <w:start w:val="1"/>
      <w:numFmt w:val="bullet"/>
      <w:lvlText w:val="o"/>
      <w:lvlJc w:val="left"/>
      <w:pPr>
        <w:ind w:left="1525" w:hanging="360"/>
      </w:pPr>
      <w:rPr>
        <w:rFonts w:hint="default" w:ascii="Courier New" w:hAnsi="Courier New" w:cs="Courier New"/>
      </w:rPr>
    </w:lvl>
    <w:lvl w:ilvl="2" w:tplc="08090005" w:tentative="1">
      <w:start w:val="1"/>
      <w:numFmt w:val="bullet"/>
      <w:lvlText w:val=""/>
      <w:lvlJc w:val="left"/>
      <w:pPr>
        <w:ind w:left="2245" w:hanging="360"/>
      </w:pPr>
      <w:rPr>
        <w:rFonts w:hint="default" w:ascii="Wingdings" w:hAnsi="Wingdings"/>
      </w:rPr>
    </w:lvl>
    <w:lvl w:ilvl="3" w:tplc="08090001" w:tentative="1">
      <w:start w:val="1"/>
      <w:numFmt w:val="bullet"/>
      <w:lvlText w:val=""/>
      <w:lvlJc w:val="left"/>
      <w:pPr>
        <w:ind w:left="2965" w:hanging="360"/>
      </w:pPr>
      <w:rPr>
        <w:rFonts w:hint="default" w:ascii="Symbol" w:hAnsi="Symbol"/>
      </w:rPr>
    </w:lvl>
    <w:lvl w:ilvl="4" w:tplc="08090003" w:tentative="1">
      <w:start w:val="1"/>
      <w:numFmt w:val="bullet"/>
      <w:lvlText w:val="o"/>
      <w:lvlJc w:val="left"/>
      <w:pPr>
        <w:ind w:left="3685" w:hanging="360"/>
      </w:pPr>
      <w:rPr>
        <w:rFonts w:hint="default" w:ascii="Courier New" w:hAnsi="Courier New" w:cs="Courier New"/>
      </w:rPr>
    </w:lvl>
    <w:lvl w:ilvl="5" w:tplc="08090005" w:tentative="1">
      <w:start w:val="1"/>
      <w:numFmt w:val="bullet"/>
      <w:lvlText w:val=""/>
      <w:lvlJc w:val="left"/>
      <w:pPr>
        <w:ind w:left="4405" w:hanging="360"/>
      </w:pPr>
      <w:rPr>
        <w:rFonts w:hint="default" w:ascii="Wingdings" w:hAnsi="Wingdings"/>
      </w:rPr>
    </w:lvl>
    <w:lvl w:ilvl="6" w:tplc="08090001" w:tentative="1">
      <w:start w:val="1"/>
      <w:numFmt w:val="bullet"/>
      <w:lvlText w:val=""/>
      <w:lvlJc w:val="left"/>
      <w:pPr>
        <w:ind w:left="5125" w:hanging="360"/>
      </w:pPr>
      <w:rPr>
        <w:rFonts w:hint="default" w:ascii="Symbol" w:hAnsi="Symbol"/>
      </w:rPr>
    </w:lvl>
    <w:lvl w:ilvl="7" w:tplc="08090003" w:tentative="1">
      <w:start w:val="1"/>
      <w:numFmt w:val="bullet"/>
      <w:lvlText w:val="o"/>
      <w:lvlJc w:val="left"/>
      <w:pPr>
        <w:ind w:left="5845" w:hanging="360"/>
      </w:pPr>
      <w:rPr>
        <w:rFonts w:hint="default" w:ascii="Courier New" w:hAnsi="Courier New" w:cs="Courier New"/>
      </w:rPr>
    </w:lvl>
    <w:lvl w:ilvl="8" w:tplc="08090005" w:tentative="1">
      <w:start w:val="1"/>
      <w:numFmt w:val="bullet"/>
      <w:lvlText w:val=""/>
      <w:lvlJc w:val="left"/>
      <w:pPr>
        <w:ind w:left="6565" w:hanging="360"/>
      </w:pPr>
      <w:rPr>
        <w:rFonts w:hint="default" w:ascii="Wingdings" w:hAnsi="Wingdings"/>
      </w:rPr>
    </w:lvl>
  </w:abstractNum>
  <w:abstractNum w:abstractNumId="12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28" w15:restartNumberingAfterBreak="0">
    <w:nsid w:val="45756D35"/>
    <w:multiLevelType w:val="hybridMultilevel"/>
    <w:tmpl w:val="C17C3AE4"/>
    <w:lvl w:ilvl="0" w:tplc="B6928798">
      <w:start w:val="52"/>
      <w:numFmt w:val="decimal"/>
      <w:lvlText w:val="%1."/>
      <w:lvlJc w:val="left"/>
      <w:pPr>
        <w:ind w:left="720" w:hanging="360"/>
      </w:pPr>
    </w:lvl>
    <w:lvl w:ilvl="1" w:tplc="3F367B64">
      <w:start w:val="1"/>
      <w:numFmt w:val="lowerLetter"/>
      <w:lvlText w:val="%2."/>
      <w:lvlJc w:val="left"/>
      <w:pPr>
        <w:ind w:left="1440" w:hanging="360"/>
      </w:pPr>
    </w:lvl>
    <w:lvl w:ilvl="2" w:tplc="51D0F6AA">
      <w:start w:val="1"/>
      <w:numFmt w:val="lowerRoman"/>
      <w:lvlText w:val="%3."/>
      <w:lvlJc w:val="right"/>
      <w:pPr>
        <w:ind w:left="2160" w:hanging="180"/>
      </w:pPr>
    </w:lvl>
    <w:lvl w:ilvl="3" w:tplc="78E6ADE6">
      <w:start w:val="1"/>
      <w:numFmt w:val="decimal"/>
      <w:lvlText w:val="%4."/>
      <w:lvlJc w:val="left"/>
      <w:pPr>
        <w:ind w:left="2880" w:hanging="360"/>
      </w:pPr>
    </w:lvl>
    <w:lvl w:ilvl="4" w:tplc="E8EC4AD2">
      <w:start w:val="1"/>
      <w:numFmt w:val="lowerLetter"/>
      <w:lvlText w:val="%5."/>
      <w:lvlJc w:val="left"/>
      <w:pPr>
        <w:ind w:left="3600" w:hanging="360"/>
      </w:pPr>
    </w:lvl>
    <w:lvl w:ilvl="5" w:tplc="EA4C29B8">
      <w:start w:val="1"/>
      <w:numFmt w:val="lowerRoman"/>
      <w:lvlText w:val="%6."/>
      <w:lvlJc w:val="right"/>
      <w:pPr>
        <w:ind w:left="4320" w:hanging="180"/>
      </w:pPr>
    </w:lvl>
    <w:lvl w:ilvl="6" w:tplc="F412FF34">
      <w:start w:val="1"/>
      <w:numFmt w:val="decimal"/>
      <w:lvlText w:val="%7."/>
      <w:lvlJc w:val="left"/>
      <w:pPr>
        <w:ind w:left="5040" w:hanging="360"/>
      </w:pPr>
    </w:lvl>
    <w:lvl w:ilvl="7" w:tplc="17324140">
      <w:start w:val="1"/>
      <w:numFmt w:val="lowerLetter"/>
      <w:lvlText w:val="%8."/>
      <w:lvlJc w:val="left"/>
      <w:pPr>
        <w:ind w:left="5760" w:hanging="360"/>
      </w:pPr>
    </w:lvl>
    <w:lvl w:ilvl="8" w:tplc="8DC65FEA">
      <w:start w:val="1"/>
      <w:numFmt w:val="lowerRoman"/>
      <w:lvlText w:val="%9."/>
      <w:lvlJc w:val="right"/>
      <w:pPr>
        <w:ind w:left="6480" w:hanging="180"/>
      </w:pPr>
    </w:lvl>
  </w:abstractNum>
  <w:abstractNum w:abstractNumId="129" w15:restartNumberingAfterBreak="0">
    <w:nsid w:val="45F3484C"/>
    <w:multiLevelType w:val="hybridMultilevel"/>
    <w:tmpl w:val="CDDC159E"/>
    <w:lvl w:ilvl="0" w:tplc="0972CC78">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0" w15:restartNumberingAfterBreak="0">
    <w:nsid w:val="45F75F11"/>
    <w:multiLevelType w:val="hybridMultilevel"/>
    <w:tmpl w:val="FFFFFFFF"/>
    <w:lvl w:ilvl="0" w:tplc="9D88E720">
      <w:start w:val="1"/>
      <w:numFmt w:val="bullet"/>
      <w:lvlText w:val="·"/>
      <w:lvlJc w:val="left"/>
      <w:pPr>
        <w:ind w:left="720" w:hanging="360"/>
      </w:pPr>
      <w:rPr>
        <w:rFonts w:hint="default" w:ascii="Symbol" w:hAnsi="Symbol"/>
      </w:rPr>
    </w:lvl>
    <w:lvl w:ilvl="1" w:tplc="51884D46">
      <w:start w:val="1"/>
      <w:numFmt w:val="bullet"/>
      <w:lvlText w:val="o"/>
      <w:lvlJc w:val="left"/>
      <w:pPr>
        <w:ind w:left="1440" w:hanging="360"/>
      </w:pPr>
      <w:rPr>
        <w:rFonts w:hint="default" w:ascii="Courier New" w:hAnsi="Courier New"/>
      </w:rPr>
    </w:lvl>
    <w:lvl w:ilvl="2" w:tplc="CFB61AB4">
      <w:start w:val="1"/>
      <w:numFmt w:val="bullet"/>
      <w:lvlText w:val=""/>
      <w:lvlJc w:val="left"/>
      <w:pPr>
        <w:ind w:left="2160" w:hanging="360"/>
      </w:pPr>
      <w:rPr>
        <w:rFonts w:hint="default" w:ascii="Wingdings" w:hAnsi="Wingdings"/>
      </w:rPr>
    </w:lvl>
    <w:lvl w:ilvl="3" w:tplc="ADFE8606">
      <w:start w:val="1"/>
      <w:numFmt w:val="bullet"/>
      <w:lvlText w:val=""/>
      <w:lvlJc w:val="left"/>
      <w:pPr>
        <w:ind w:left="2880" w:hanging="360"/>
      </w:pPr>
      <w:rPr>
        <w:rFonts w:hint="default" w:ascii="Symbol" w:hAnsi="Symbol"/>
      </w:rPr>
    </w:lvl>
    <w:lvl w:ilvl="4" w:tplc="F73EC1CA">
      <w:start w:val="1"/>
      <w:numFmt w:val="bullet"/>
      <w:lvlText w:val="o"/>
      <w:lvlJc w:val="left"/>
      <w:pPr>
        <w:ind w:left="3600" w:hanging="360"/>
      </w:pPr>
      <w:rPr>
        <w:rFonts w:hint="default" w:ascii="Courier New" w:hAnsi="Courier New"/>
      </w:rPr>
    </w:lvl>
    <w:lvl w:ilvl="5" w:tplc="EE24A45E">
      <w:start w:val="1"/>
      <w:numFmt w:val="bullet"/>
      <w:lvlText w:val=""/>
      <w:lvlJc w:val="left"/>
      <w:pPr>
        <w:ind w:left="4320" w:hanging="360"/>
      </w:pPr>
      <w:rPr>
        <w:rFonts w:hint="default" w:ascii="Wingdings" w:hAnsi="Wingdings"/>
      </w:rPr>
    </w:lvl>
    <w:lvl w:ilvl="6" w:tplc="18F4A210">
      <w:start w:val="1"/>
      <w:numFmt w:val="bullet"/>
      <w:lvlText w:val=""/>
      <w:lvlJc w:val="left"/>
      <w:pPr>
        <w:ind w:left="5040" w:hanging="360"/>
      </w:pPr>
      <w:rPr>
        <w:rFonts w:hint="default" w:ascii="Symbol" w:hAnsi="Symbol"/>
      </w:rPr>
    </w:lvl>
    <w:lvl w:ilvl="7" w:tplc="EC60BC66">
      <w:start w:val="1"/>
      <w:numFmt w:val="bullet"/>
      <w:lvlText w:val="o"/>
      <w:lvlJc w:val="left"/>
      <w:pPr>
        <w:ind w:left="5760" w:hanging="360"/>
      </w:pPr>
      <w:rPr>
        <w:rFonts w:hint="default" w:ascii="Courier New" w:hAnsi="Courier New"/>
      </w:rPr>
    </w:lvl>
    <w:lvl w:ilvl="8" w:tplc="062C43C2">
      <w:start w:val="1"/>
      <w:numFmt w:val="bullet"/>
      <w:lvlText w:val=""/>
      <w:lvlJc w:val="left"/>
      <w:pPr>
        <w:ind w:left="6480" w:hanging="360"/>
      </w:pPr>
      <w:rPr>
        <w:rFonts w:hint="default" w:ascii="Wingdings" w:hAnsi="Wingdings"/>
      </w:rPr>
    </w:lvl>
  </w:abstractNum>
  <w:abstractNum w:abstractNumId="131" w15:restartNumberingAfterBreak="0">
    <w:nsid w:val="46F32E4A"/>
    <w:multiLevelType w:val="hybridMultilevel"/>
    <w:tmpl w:val="DB781246"/>
    <w:lvl w:ilvl="0" w:tplc="4BEACA78">
      <w:numFmt w:val="none"/>
      <w:lvlText w:val=""/>
      <w:lvlJc w:val="left"/>
      <w:pPr>
        <w:tabs>
          <w:tab w:val="num" w:pos="360"/>
        </w:tabs>
      </w:pPr>
    </w:lvl>
    <w:lvl w:ilvl="1" w:tplc="A5A06C28">
      <w:start w:val="1"/>
      <w:numFmt w:val="decimal"/>
      <w:lvlText w:val="%2)"/>
      <w:lvlJc w:val="left"/>
      <w:pPr>
        <w:ind w:left="1080" w:hanging="360"/>
      </w:pPr>
      <w:rPr>
        <w:rFonts w:hint="default"/>
      </w:rPr>
    </w:lvl>
    <w:lvl w:ilvl="2" w:tplc="62F0F12A">
      <w:start w:val="1"/>
      <w:numFmt w:val="lowerRoman"/>
      <w:lvlText w:val="%3."/>
      <w:lvlJc w:val="right"/>
      <w:pPr>
        <w:ind w:left="1800" w:hanging="180"/>
      </w:pPr>
    </w:lvl>
    <w:lvl w:ilvl="3" w:tplc="71BE027E" w:tentative="1">
      <w:start w:val="1"/>
      <w:numFmt w:val="decimal"/>
      <w:lvlText w:val="%4."/>
      <w:lvlJc w:val="left"/>
      <w:pPr>
        <w:ind w:left="2520" w:hanging="360"/>
      </w:pPr>
    </w:lvl>
    <w:lvl w:ilvl="4" w:tplc="03427AE2" w:tentative="1">
      <w:start w:val="1"/>
      <w:numFmt w:val="lowerLetter"/>
      <w:lvlText w:val="%5."/>
      <w:lvlJc w:val="left"/>
      <w:pPr>
        <w:ind w:left="3240" w:hanging="360"/>
      </w:pPr>
    </w:lvl>
    <w:lvl w:ilvl="5" w:tplc="B79A3FB4" w:tentative="1">
      <w:start w:val="1"/>
      <w:numFmt w:val="lowerRoman"/>
      <w:lvlText w:val="%6."/>
      <w:lvlJc w:val="right"/>
      <w:pPr>
        <w:ind w:left="3960" w:hanging="180"/>
      </w:pPr>
    </w:lvl>
    <w:lvl w:ilvl="6" w:tplc="505673C4" w:tentative="1">
      <w:start w:val="1"/>
      <w:numFmt w:val="decimal"/>
      <w:lvlText w:val="%7."/>
      <w:lvlJc w:val="left"/>
      <w:pPr>
        <w:ind w:left="4680" w:hanging="360"/>
      </w:pPr>
    </w:lvl>
    <w:lvl w:ilvl="7" w:tplc="A5EE0B1E" w:tentative="1">
      <w:start w:val="1"/>
      <w:numFmt w:val="lowerLetter"/>
      <w:lvlText w:val="%8."/>
      <w:lvlJc w:val="left"/>
      <w:pPr>
        <w:ind w:left="5400" w:hanging="360"/>
      </w:pPr>
    </w:lvl>
    <w:lvl w:ilvl="8" w:tplc="CA1C1D5A" w:tentative="1">
      <w:start w:val="1"/>
      <w:numFmt w:val="lowerRoman"/>
      <w:lvlText w:val="%9."/>
      <w:lvlJc w:val="right"/>
      <w:pPr>
        <w:ind w:left="6120" w:hanging="180"/>
      </w:pPr>
    </w:lvl>
  </w:abstractNum>
  <w:abstractNum w:abstractNumId="132" w15:restartNumberingAfterBreak="0">
    <w:nsid w:val="476C32E1"/>
    <w:multiLevelType w:val="hybridMultilevel"/>
    <w:tmpl w:val="1E9224A8"/>
    <w:lvl w:ilvl="0" w:tplc="CE4831C8">
      <w:start w:val="1"/>
      <w:numFmt w:val="bullet"/>
      <w:lvlText w:val="·"/>
      <w:lvlJc w:val="left"/>
      <w:pPr>
        <w:ind w:left="720" w:hanging="360"/>
      </w:pPr>
      <w:rPr>
        <w:rFonts w:hint="default" w:ascii="Symbol" w:hAnsi="Symbol"/>
      </w:rPr>
    </w:lvl>
    <w:lvl w:ilvl="1" w:tplc="3B24329A">
      <w:start w:val="1"/>
      <w:numFmt w:val="bullet"/>
      <w:lvlText w:val="o"/>
      <w:lvlJc w:val="left"/>
      <w:pPr>
        <w:ind w:left="1440" w:hanging="360"/>
      </w:pPr>
      <w:rPr>
        <w:rFonts w:hint="default" w:ascii="Courier New" w:hAnsi="Courier New"/>
      </w:rPr>
    </w:lvl>
    <w:lvl w:ilvl="2" w:tplc="83A84D84">
      <w:start w:val="1"/>
      <w:numFmt w:val="bullet"/>
      <w:lvlText w:val=""/>
      <w:lvlJc w:val="left"/>
      <w:pPr>
        <w:ind w:left="2160" w:hanging="360"/>
      </w:pPr>
      <w:rPr>
        <w:rFonts w:hint="default" w:ascii="Wingdings" w:hAnsi="Wingdings"/>
      </w:rPr>
    </w:lvl>
    <w:lvl w:ilvl="3" w:tplc="197606B2">
      <w:start w:val="1"/>
      <w:numFmt w:val="bullet"/>
      <w:lvlText w:val=""/>
      <w:lvlJc w:val="left"/>
      <w:pPr>
        <w:ind w:left="2880" w:hanging="360"/>
      </w:pPr>
      <w:rPr>
        <w:rFonts w:hint="default" w:ascii="Symbol" w:hAnsi="Symbol"/>
      </w:rPr>
    </w:lvl>
    <w:lvl w:ilvl="4" w:tplc="1414A106">
      <w:start w:val="1"/>
      <w:numFmt w:val="bullet"/>
      <w:lvlText w:val="o"/>
      <w:lvlJc w:val="left"/>
      <w:pPr>
        <w:ind w:left="3600" w:hanging="360"/>
      </w:pPr>
      <w:rPr>
        <w:rFonts w:hint="default" w:ascii="Courier New" w:hAnsi="Courier New"/>
      </w:rPr>
    </w:lvl>
    <w:lvl w:ilvl="5" w:tplc="CB0AF864">
      <w:start w:val="1"/>
      <w:numFmt w:val="bullet"/>
      <w:lvlText w:val=""/>
      <w:lvlJc w:val="left"/>
      <w:pPr>
        <w:ind w:left="4320" w:hanging="360"/>
      </w:pPr>
      <w:rPr>
        <w:rFonts w:hint="default" w:ascii="Wingdings" w:hAnsi="Wingdings"/>
      </w:rPr>
    </w:lvl>
    <w:lvl w:ilvl="6" w:tplc="AD285DB6">
      <w:start w:val="1"/>
      <w:numFmt w:val="bullet"/>
      <w:lvlText w:val=""/>
      <w:lvlJc w:val="left"/>
      <w:pPr>
        <w:ind w:left="5040" w:hanging="360"/>
      </w:pPr>
      <w:rPr>
        <w:rFonts w:hint="default" w:ascii="Symbol" w:hAnsi="Symbol"/>
      </w:rPr>
    </w:lvl>
    <w:lvl w:ilvl="7" w:tplc="77C40BAA">
      <w:start w:val="1"/>
      <w:numFmt w:val="bullet"/>
      <w:lvlText w:val="o"/>
      <w:lvlJc w:val="left"/>
      <w:pPr>
        <w:ind w:left="5760" w:hanging="360"/>
      </w:pPr>
      <w:rPr>
        <w:rFonts w:hint="default" w:ascii="Courier New" w:hAnsi="Courier New"/>
      </w:rPr>
    </w:lvl>
    <w:lvl w:ilvl="8" w:tplc="D25CA5B8">
      <w:start w:val="1"/>
      <w:numFmt w:val="bullet"/>
      <w:lvlText w:val=""/>
      <w:lvlJc w:val="left"/>
      <w:pPr>
        <w:ind w:left="6480" w:hanging="360"/>
      </w:pPr>
      <w:rPr>
        <w:rFonts w:hint="default" w:ascii="Wingdings" w:hAnsi="Wingdings"/>
      </w:rPr>
    </w:lvl>
  </w:abstractNum>
  <w:abstractNum w:abstractNumId="133" w15:restartNumberingAfterBreak="0">
    <w:nsid w:val="486F0A09"/>
    <w:multiLevelType w:val="hybridMultilevel"/>
    <w:tmpl w:val="72D260BC"/>
    <w:lvl w:ilvl="0" w:tplc="08090001">
      <w:start w:val="1"/>
      <w:numFmt w:val="bullet"/>
      <w:lvlText w:val=""/>
      <w:lvlJc w:val="left"/>
      <w:pPr>
        <w:ind w:left="805" w:hanging="360"/>
      </w:pPr>
      <w:rPr>
        <w:rFonts w:hint="default" w:ascii="Symbol" w:hAnsi="Symbol"/>
      </w:rPr>
    </w:lvl>
    <w:lvl w:ilvl="1" w:tplc="08090003" w:tentative="1">
      <w:start w:val="1"/>
      <w:numFmt w:val="bullet"/>
      <w:lvlText w:val="o"/>
      <w:lvlJc w:val="left"/>
      <w:pPr>
        <w:ind w:left="1525" w:hanging="360"/>
      </w:pPr>
      <w:rPr>
        <w:rFonts w:hint="default" w:ascii="Courier New" w:hAnsi="Courier New" w:cs="Courier New"/>
      </w:rPr>
    </w:lvl>
    <w:lvl w:ilvl="2" w:tplc="08090005" w:tentative="1">
      <w:start w:val="1"/>
      <w:numFmt w:val="bullet"/>
      <w:lvlText w:val=""/>
      <w:lvlJc w:val="left"/>
      <w:pPr>
        <w:ind w:left="2245" w:hanging="360"/>
      </w:pPr>
      <w:rPr>
        <w:rFonts w:hint="default" w:ascii="Wingdings" w:hAnsi="Wingdings"/>
      </w:rPr>
    </w:lvl>
    <w:lvl w:ilvl="3" w:tplc="08090001" w:tentative="1">
      <w:start w:val="1"/>
      <w:numFmt w:val="bullet"/>
      <w:lvlText w:val=""/>
      <w:lvlJc w:val="left"/>
      <w:pPr>
        <w:ind w:left="2965" w:hanging="360"/>
      </w:pPr>
      <w:rPr>
        <w:rFonts w:hint="default" w:ascii="Symbol" w:hAnsi="Symbol"/>
      </w:rPr>
    </w:lvl>
    <w:lvl w:ilvl="4" w:tplc="08090003" w:tentative="1">
      <w:start w:val="1"/>
      <w:numFmt w:val="bullet"/>
      <w:lvlText w:val="o"/>
      <w:lvlJc w:val="left"/>
      <w:pPr>
        <w:ind w:left="3685" w:hanging="360"/>
      </w:pPr>
      <w:rPr>
        <w:rFonts w:hint="default" w:ascii="Courier New" w:hAnsi="Courier New" w:cs="Courier New"/>
      </w:rPr>
    </w:lvl>
    <w:lvl w:ilvl="5" w:tplc="08090005" w:tentative="1">
      <w:start w:val="1"/>
      <w:numFmt w:val="bullet"/>
      <w:lvlText w:val=""/>
      <w:lvlJc w:val="left"/>
      <w:pPr>
        <w:ind w:left="4405" w:hanging="360"/>
      </w:pPr>
      <w:rPr>
        <w:rFonts w:hint="default" w:ascii="Wingdings" w:hAnsi="Wingdings"/>
      </w:rPr>
    </w:lvl>
    <w:lvl w:ilvl="6" w:tplc="08090001" w:tentative="1">
      <w:start w:val="1"/>
      <w:numFmt w:val="bullet"/>
      <w:lvlText w:val=""/>
      <w:lvlJc w:val="left"/>
      <w:pPr>
        <w:ind w:left="5125" w:hanging="360"/>
      </w:pPr>
      <w:rPr>
        <w:rFonts w:hint="default" w:ascii="Symbol" w:hAnsi="Symbol"/>
      </w:rPr>
    </w:lvl>
    <w:lvl w:ilvl="7" w:tplc="08090003" w:tentative="1">
      <w:start w:val="1"/>
      <w:numFmt w:val="bullet"/>
      <w:lvlText w:val="o"/>
      <w:lvlJc w:val="left"/>
      <w:pPr>
        <w:ind w:left="5845" w:hanging="360"/>
      </w:pPr>
      <w:rPr>
        <w:rFonts w:hint="default" w:ascii="Courier New" w:hAnsi="Courier New" w:cs="Courier New"/>
      </w:rPr>
    </w:lvl>
    <w:lvl w:ilvl="8" w:tplc="08090005" w:tentative="1">
      <w:start w:val="1"/>
      <w:numFmt w:val="bullet"/>
      <w:lvlText w:val=""/>
      <w:lvlJc w:val="left"/>
      <w:pPr>
        <w:ind w:left="6565" w:hanging="360"/>
      </w:pPr>
      <w:rPr>
        <w:rFonts w:hint="default" w:ascii="Wingdings" w:hAnsi="Wingdings"/>
      </w:rPr>
    </w:lvl>
  </w:abstractNum>
  <w:abstractNum w:abstractNumId="134" w15:restartNumberingAfterBreak="0">
    <w:nsid w:val="489010CE"/>
    <w:multiLevelType w:val="hybridMultilevel"/>
    <w:tmpl w:val="AD785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5" w15:restartNumberingAfterBreak="0">
    <w:nsid w:val="48DA2401"/>
    <w:multiLevelType w:val="hybridMultilevel"/>
    <w:tmpl w:val="A3BC0C96"/>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B60A0A72">
      <w:start w:val="51"/>
      <w:numFmt w:val="decimal"/>
      <w:lvlText w:val="%3)"/>
      <w:lvlJc w:val="left"/>
      <w:pPr>
        <w:ind w:left="2694" w:hanging="360"/>
      </w:pPr>
      <w:rPr>
        <w:rFonts w:hint="default"/>
      </w:r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6" w15:restartNumberingAfterBreak="0">
    <w:nsid w:val="492269F1"/>
    <w:multiLevelType w:val="hybridMultilevel"/>
    <w:tmpl w:val="04B4E452"/>
    <w:lvl w:ilvl="0" w:tplc="CCD23C1A">
      <w:start w:val="1"/>
      <w:numFmt w:val="bullet"/>
      <w:lvlText w:val="-"/>
      <w:lvlJc w:val="left"/>
      <w:pPr>
        <w:ind w:left="445" w:hanging="360"/>
      </w:pPr>
      <w:rPr>
        <w:rFonts w:hint="default" w:ascii="Cambria" w:hAnsi="Cambria" w:eastAsia="Cambria" w:cs="Cambria"/>
      </w:rPr>
    </w:lvl>
    <w:lvl w:ilvl="1" w:tplc="08090003" w:tentative="1">
      <w:start w:val="1"/>
      <w:numFmt w:val="bullet"/>
      <w:lvlText w:val="o"/>
      <w:lvlJc w:val="left"/>
      <w:pPr>
        <w:ind w:left="1165" w:hanging="360"/>
      </w:pPr>
      <w:rPr>
        <w:rFonts w:hint="default" w:ascii="Courier New" w:hAnsi="Courier New" w:cs="Courier New"/>
      </w:rPr>
    </w:lvl>
    <w:lvl w:ilvl="2" w:tplc="08090005" w:tentative="1">
      <w:start w:val="1"/>
      <w:numFmt w:val="bullet"/>
      <w:lvlText w:val=""/>
      <w:lvlJc w:val="left"/>
      <w:pPr>
        <w:ind w:left="1885" w:hanging="360"/>
      </w:pPr>
      <w:rPr>
        <w:rFonts w:hint="default" w:ascii="Wingdings" w:hAnsi="Wingdings"/>
      </w:rPr>
    </w:lvl>
    <w:lvl w:ilvl="3" w:tplc="08090001" w:tentative="1">
      <w:start w:val="1"/>
      <w:numFmt w:val="bullet"/>
      <w:lvlText w:val=""/>
      <w:lvlJc w:val="left"/>
      <w:pPr>
        <w:ind w:left="2605" w:hanging="360"/>
      </w:pPr>
      <w:rPr>
        <w:rFonts w:hint="default" w:ascii="Symbol" w:hAnsi="Symbol"/>
      </w:rPr>
    </w:lvl>
    <w:lvl w:ilvl="4" w:tplc="08090003" w:tentative="1">
      <w:start w:val="1"/>
      <w:numFmt w:val="bullet"/>
      <w:lvlText w:val="o"/>
      <w:lvlJc w:val="left"/>
      <w:pPr>
        <w:ind w:left="3325" w:hanging="360"/>
      </w:pPr>
      <w:rPr>
        <w:rFonts w:hint="default" w:ascii="Courier New" w:hAnsi="Courier New" w:cs="Courier New"/>
      </w:rPr>
    </w:lvl>
    <w:lvl w:ilvl="5" w:tplc="08090005" w:tentative="1">
      <w:start w:val="1"/>
      <w:numFmt w:val="bullet"/>
      <w:lvlText w:val=""/>
      <w:lvlJc w:val="left"/>
      <w:pPr>
        <w:ind w:left="4045" w:hanging="360"/>
      </w:pPr>
      <w:rPr>
        <w:rFonts w:hint="default" w:ascii="Wingdings" w:hAnsi="Wingdings"/>
      </w:rPr>
    </w:lvl>
    <w:lvl w:ilvl="6" w:tplc="08090001" w:tentative="1">
      <w:start w:val="1"/>
      <w:numFmt w:val="bullet"/>
      <w:lvlText w:val=""/>
      <w:lvlJc w:val="left"/>
      <w:pPr>
        <w:ind w:left="4765" w:hanging="360"/>
      </w:pPr>
      <w:rPr>
        <w:rFonts w:hint="default" w:ascii="Symbol" w:hAnsi="Symbol"/>
      </w:rPr>
    </w:lvl>
    <w:lvl w:ilvl="7" w:tplc="08090003" w:tentative="1">
      <w:start w:val="1"/>
      <w:numFmt w:val="bullet"/>
      <w:lvlText w:val="o"/>
      <w:lvlJc w:val="left"/>
      <w:pPr>
        <w:ind w:left="5485" w:hanging="360"/>
      </w:pPr>
      <w:rPr>
        <w:rFonts w:hint="default" w:ascii="Courier New" w:hAnsi="Courier New" w:cs="Courier New"/>
      </w:rPr>
    </w:lvl>
    <w:lvl w:ilvl="8" w:tplc="08090005" w:tentative="1">
      <w:start w:val="1"/>
      <w:numFmt w:val="bullet"/>
      <w:lvlText w:val=""/>
      <w:lvlJc w:val="left"/>
      <w:pPr>
        <w:ind w:left="6205" w:hanging="360"/>
      </w:pPr>
      <w:rPr>
        <w:rFonts w:hint="default" w:ascii="Wingdings" w:hAnsi="Wingdings"/>
      </w:rPr>
    </w:lvl>
  </w:abstractNum>
  <w:abstractNum w:abstractNumId="137" w15:restartNumberingAfterBreak="0">
    <w:nsid w:val="49D36EAE"/>
    <w:multiLevelType w:val="hybridMultilevel"/>
    <w:tmpl w:val="93C0B8DA"/>
    <w:lvl w:ilvl="0" w:tplc="08090001">
      <w:start w:val="1"/>
      <w:numFmt w:val="bullet"/>
      <w:lvlText w:val=""/>
      <w:lvlJc w:val="left"/>
      <w:pPr>
        <w:ind w:left="805" w:hanging="360"/>
      </w:pPr>
      <w:rPr>
        <w:rFonts w:hint="default" w:ascii="Symbol" w:hAnsi="Symbol"/>
      </w:rPr>
    </w:lvl>
    <w:lvl w:ilvl="1" w:tplc="08090003">
      <w:start w:val="1"/>
      <w:numFmt w:val="bullet"/>
      <w:lvlText w:val="o"/>
      <w:lvlJc w:val="left"/>
      <w:pPr>
        <w:ind w:left="1525" w:hanging="360"/>
      </w:pPr>
      <w:rPr>
        <w:rFonts w:hint="default" w:ascii="Courier New" w:hAnsi="Courier New" w:cs="Courier New"/>
      </w:rPr>
    </w:lvl>
    <w:lvl w:ilvl="2" w:tplc="08090005" w:tentative="1">
      <w:start w:val="1"/>
      <w:numFmt w:val="bullet"/>
      <w:lvlText w:val=""/>
      <w:lvlJc w:val="left"/>
      <w:pPr>
        <w:ind w:left="2245" w:hanging="360"/>
      </w:pPr>
      <w:rPr>
        <w:rFonts w:hint="default" w:ascii="Wingdings" w:hAnsi="Wingdings"/>
      </w:rPr>
    </w:lvl>
    <w:lvl w:ilvl="3" w:tplc="08090001" w:tentative="1">
      <w:start w:val="1"/>
      <w:numFmt w:val="bullet"/>
      <w:lvlText w:val=""/>
      <w:lvlJc w:val="left"/>
      <w:pPr>
        <w:ind w:left="2965" w:hanging="360"/>
      </w:pPr>
      <w:rPr>
        <w:rFonts w:hint="default" w:ascii="Symbol" w:hAnsi="Symbol"/>
      </w:rPr>
    </w:lvl>
    <w:lvl w:ilvl="4" w:tplc="08090003" w:tentative="1">
      <w:start w:val="1"/>
      <w:numFmt w:val="bullet"/>
      <w:lvlText w:val="o"/>
      <w:lvlJc w:val="left"/>
      <w:pPr>
        <w:ind w:left="3685" w:hanging="360"/>
      </w:pPr>
      <w:rPr>
        <w:rFonts w:hint="default" w:ascii="Courier New" w:hAnsi="Courier New" w:cs="Courier New"/>
      </w:rPr>
    </w:lvl>
    <w:lvl w:ilvl="5" w:tplc="08090005" w:tentative="1">
      <w:start w:val="1"/>
      <w:numFmt w:val="bullet"/>
      <w:lvlText w:val=""/>
      <w:lvlJc w:val="left"/>
      <w:pPr>
        <w:ind w:left="4405" w:hanging="360"/>
      </w:pPr>
      <w:rPr>
        <w:rFonts w:hint="default" w:ascii="Wingdings" w:hAnsi="Wingdings"/>
      </w:rPr>
    </w:lvl>
    <w:lvl w:ilvl="6" w:tplc="08090001" w:tentative="1">
      <w:start w:val="1"/>
      <w:numFmt w:val="bullet"/>
      <w:lvlText w:val=""/>
      <w:lvlJc w:val="left"/>
      <w:pPr>
        <w:ind w:left="5125" w:hanging="360"/>
      </w:pPr>
      <w:rPr>
        <w:rFonts w:hint="default" w:ascii="Symbol" w:hAnsi="Symbol"/>
      </w:rPr>
    </w:lvl>
    <w:lvl w:ilvl="7" w:tplc="08090003" w:tentative="1">
      <w:start w:val="1"/>
      <w:numFmt w:val="bullet"/>
      <w:lvlText w:val="o"/>
      <w:lvlJc w:val="left"/>
      <w:pPr>
        <w:ind w:left="5845" w:hanging="360"/>
      </w:pPr>
      <w:rPr>
        <w:rFonts w:hint="default" w:ascii="Courier New" w:hAnsi="Courier New" w:cs="Courier New"/>
      </w:rPr>
    </w:lvl>
    <w:lvl w:ilvl="8" w:tplc="08090005" w:tentative="1">
      <w:start w:val="1"/>
      <w:numFmt w:val="bullet"/>
      <w:lvlText w:val=""/>
      <w:lvlJc w:val="left"/>
      <w:pPr>
        <w:ind w:left="6565" w:hanging="360"/>
      </w:pPr>
      <w:rPr>
        <w:rFonts w:hint="default" w:ascii="Wingdings" w:hAnsi="Wingdings"/>
      </w:rPr>
    </w:lvl>
  </w:abstractNum>
  <w:abstractNum w:abstractNumId="138" w15:restartNumberingAfterBreak="0">
    <w:nsid w:val="49F74A04"/>
    <w:multiLevelType w:val="hybridMultilevel"/>
    <w:tmpl w:val="763EAF08"/>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139" w15:restartNumberingAfterBreak="0">
    <w:nsid w:val="4A183C4D"/>
    <w:multiLevelType w:val="hybridMultilevel"/>
    <w:tmpl w:val="CD585B18"/>
    <w:lvl w:ilvl="0" w:tplc="FE3C0D54">
      <w:start w:val="55"/>
      <w:numFmt w:val="bullet"/>
      <w:lvlText w:val="-"/>
      <w:lvlJc w:val="left"/>
      <w:pPr>
        <w:ind w:left="720" w:hanging="360"/>
      </w:pPr>
      <w:rPr>
        <w:rFonts w:hint="default" w:ascii="Verdana" w:hAnsi="Verdana"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0" w15:restartNumberingAfterBreak="0">
    <w:nsid w:val="4A282FC8"/>
    <w:multiLevelType w:val="hybridMultilevel"/>
    <w:tmpl w:val="9FBC9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1" w15:restartNumberingAfterBreak="0">
    <w:nsid w:val="4A9C7E8A"/>
    <w:multiLevelType w:val="hybridMultilevel"/>
    <w:tmpl w:val="8D428572"/>
    <w:lvl w:ilvl="0" w:tplc="0BF2BB52">
      <w:start w:val="1"/>
      <w:numFmt w:val="decimal"/>
      <w:lvlText w:val="%1."/>
      <w:lvlJc w:val="left"/>
      <w:pPr>
        <w:ind w:left="720" w:hanging="360"/>
      </w:pPr>
    </w:lvl>
    <w:lvl w:ilvl="1" w:tplc="C5329D6A">
      <w:start w:val="1"/>
      <w:numFmt w:val="lowerLetter"/>
      <w:lvlText w:val="%2."/>
      <w:lvlJc w:val="left"/>
      <w:pPr>
        <w:ind w:left="1440" w:hanging="360"/>
      </w:pPr>
    </w:lvl>
    <w:lvl w:ilvl="2" w:tplc="7C7C1D38">
      <w:start w:val="1"/>
      <w:numFmt w:val="lowerRoman"/>
      <w:lvlText w:val="%3."/>
      <w:lvlJc w:val="right"/>
      <w:pPr>
        <w:ind w:left="2160" w:hanging="180"/>
      </w:pPr>
    </w:lvl>
    <w:lvl w:ilvl="3" w:tplc="54163190">
      <w:start w:val="1"/>
      <w:numFmt w:val="decimal"/>
      <w:lvlText w:val="%4."/>
      <w:lvlJc w:val="left"/>
      <w:pPr>
        <w:ind w:left="2880" w:hanging="360"/>
      </w:pPr>
    </w:lvl>
    <w:lvl w:ilvl="4" w:tplc="CE1EE69E">
      <w:start w:val="1"/>
      <w:numFmt w:val="lowerLetter"/>
      <w:lvlText w:val="%5."/>
      <w:lvlJc w:val="left"/>
      <w:pPr>
        <w:ind w:left="3600" w:hanging="360"/>
      </w:pPr>
    </w:lvl>
    <w:lvl w:ilvl="5" w:tplc="BECC24AA">
      <w:start w:val="1"/>
      <w:numFmt w:val="lowerRoman"/>
      <w:lvlText w:val="%6."/>
      <w:lvlJc w:val="right"/>
      <w:pPr>
        <w:ind w:left="4320" w:hanging="180"/>
      </w:pPr>
    </w:lvl>
    <w:lvl w:ilvl="6" w:tplc="DA8E3506">
      <w:start w:val="1"/>
      <w:numFmt w:val="decimal"/>
      <w:lvlText w:val="%7."/>
      <w:lvlJc w:val="left"/>
      <w:pPr>
        <w:ind w:left="5040" w:hanging="360"/>
      </w:pPr>
    </w:lvl>
    <w:lvl w:ilvl="7" w:tplc="94AAC4CE">
      <w:start w:val="1"/>
      <w:numFmt w:val="lowerLetter"/>
      <w:lvlText w:val="%8."/>
      <w:lvlJc w:val="left"/>
      <w:pPr>
        <w:ind w:left="5760" w:hanging="360"/>
      </w:pPr>
    </w:lvl>
    <w:lvl w:ilvl="8" w:tplc="92AA1CF6">
      <w:start w:val="1"/>
      <w:numFmt w:val="lowerRoman"/>
      <w:lvlText w:val="%9."/>
      <w:lvlJc w:val="right"/>
      <w:pPr>
        <w:ind w:left="6480" w:hanging="180"/>
      </w:pPr>
    </w:lvl>
  </w:abstractNum>
  <w:abstractNum w:abstractNumId="142" w15:restartNumberingAfterBreak="0">
    <w:nsid w:val="4AF60CEE"/>
    <w:multiLevelType w:val="hybridMultilevel"/>
    <w:tmpl w:val="FFFFFFFF"/>
    <w:lvl w:ilvl="0" w:tplc="627236E0">
      <w:start w:val="1"/>
      <w:numFmt w:val="bullet"/>
      <w:lvlText w:val="-"/>
      <w:lvlJc w:val="left"/>
      <w:pPr>
        <w:ind w:left="720" w:hanging="360"/>
      </w:pPr>
      <w:rPr>
        <w:rFonts w:hint="default" w:ascii="&quot;Calibri&quot;,sans-serif" w:hAnsi="&quot;Calibri&quot;,sans-serif"/>
      </w:rPr>
    </w:lvl>
    <w:lvl w:ilvl="1" w:tplc="8856D2EA">
      <w:start w:val="1"/>
      <w:numFmt w:val="bullet"/>
      <w:lvlText w:val="o"/>
      <w:lvlJc w:val="left"/>
      <w:pPr>
        <w:ind w:left="1440" w:hanging="360"/>
      </w:pPr>
      <w:rPr>
        <w:rFonts w:hint="default" w:ascii="Courier New" w:hAnsi="Courier New"/>
      </w:rPr>
    </w:lvl>
    <w:lvl w:ilvl="2" w:tplc="18421B60">
      <w:start w:val="1"/>
      <w:numFmt w:val="bullet"/>
      <w:lvlText w:val=""/>
      <w:lvlJc w:val="left"/>
      <w:pPr>
        <w:ind w:left="2160" w:hanging="360"/>
      </w:pPr>
      <w:rPr>
        <w:rFonts w:hint="default" w:ascii="Wingdings" w:hAnsi="Wingdings"/>
      </w:rPr>
    </w:lvl>
    <w:lvl w:ilvl="3" w:tplc="BC0CCF9C">
      <w:start w:val="1"/>
      <w:numFmt w:val="bullet"/>
      <w:lvlText w:val=""/>
      <w:lvlJc w:val="left"/>
      <w:pPr>
        <w:ind w:left="2880" w:hanging="360"/>
      </w:pPr>
      <w:rPr>
        <w:rFonts w:hint="default" w:ascii="Symbol" w:hAnsi="Symbol"/>
      </w:rPr>
    </w:lvl>
    <w:lvl w:ilvl="4" w:tplc="21C4A204">
      <w:start w:val="1"/>
      <w:numFmt w:val="bullet"/>
      <w:lvlText w:val="o"/>
      <w:lvlJc w:val="left"/>
      <w:pPr>
        <w:ind w:left="3600" w:hanging="360"/>
      </w:pPr>
      <w:rPr>
        <w:rFonts w:hint="default" w:ascii="Courier New" w:hAnsi="Courier New"/>
      </w:rPr>
    </w:lvl>
    <w:lvl w:ilvl="5" w:tplc="F63291C6">
      <w:start w:val="1"/>
      <w:numFmt w:val="bullet"/>
      <w:lvlText w:val=""/>
      <w:lvlJc w:val="left"/>
      <w:pPr>
        <w:ind w:left="4320" w:hanging="360"/>
      </w:pPr>
      <w:rPr>
        <w:rFonts w:hint="default" w:ascii="Wingdings" w:hAnsi="Wingdings"/>
      </w:rPr>
    </w:lvl>
    <w:lvl w:ilvl="6" w:tplc="E3D4D0EE">
      <w:start w:val="1"/>
      <w:numFmt w:val="bullet"/>
      <w:lvlText w:val=""/>
      <w:lvlJc w:val="left"/>
      <w:pPr>
        <w:ind w:left="5040" w:hanging="360"/>
      </w:pPr>
      <w:rPr>
        <w:rFonts w:hint="default" w:ascii="Symbol" w:hAnsi="Symbol"/>
      </w:rPr>
    </w:lvl>
    <w:lvl w:ilvl="7" w:tplc="E5B00DF6">
      <w:start w:val="1"/>
      <w:numFmt w:val="bullet"/>
      <w:lvlText w:val="o"/>
      <w:lvlJc w:val="left"/>
      <w:pPr>
        <w:ind w:left="5760" w:hanging="360"/>
      </w:pPr>
      <w:rPr>
        <w:rFonts w:hint="default" w:ascii="Courier New" w:hAnsi="Courier New"/>
      </w:rPr>
    </w:lvl>
    <w:lvl w:ilvl="8" w:tplc="EAD0D474">
      <w:start w:val="1"/>
      <w:numFmt w:val="bullet"/>
      <w:lvlText w:val=""/>
      <w:lvlJc w:val="left"/>
      <w:pPr>
        <w:ind w:left="6480" w:hanging="360"/>
      </w:pPr>
      <w:rPr>
        <w:rFonts w:hint="default" w:ascii="Wingdings" w:hAnsi="Wingdings"/>
      </w:rPr>
    </w:lvl>
  </w:abstractNum>
  <w:abstractNum w:abstractNumId="143" w15:restartNumberingAfterBreak="0">
    <w:nsid w:val="4BF366C4"/>
    <w:multiLevelType w:val="hybridMultilevel"/>
    <w:tmpl w:val="FFFFFFFF"/>
    <w:lvl w:ilvl="0" w:tplc="7818B60E">
      <w:start w:val="1"/>
      <w:numFmt w:val="bullet"/>
      <w:lvlText w:val="·"/>
      <w:lvlJc w:val="left"/>
      <w:pPr>
        <w:ind w:left="720" w:hanging="360"/>
      </w:pPr>
      <w:rPr>
        <w:rFonts w:hint="default" w:ascii="Symbol" w:hAnsi="Symbol"/>
      </w:rPr>
    </w:lvl>
    <w:lvl w:ilvl="1" w:tplc="C23889DA">
      <w:start w:val="1"/>
      <w:numFmt w:val="decimal"/>
      <w:lvlText w:val="%2."/>
      <w:lvlJc w:val="left"/>
      <w:pPr>
        <w:ind w:left="1440" w:hanging="360"/>
      </w:pPr>
      <w:rPr>
        <w:rFonts w:hint="default"/>
      </w:rPr>
    </w:lvl>
    <w:lvl w:ilvl="2" w:tplc="05529188">
      <w:start w:val="1"/>
      <w:numFmt w:val="bullet"/>
      <w:lvlText w:val=""/>
      <w:lvlJc w:val="left"/>
      <w:pPr>
        <w:ind w:left="2160" w:hanging="360"/>
      </w:pPr>
      <w:rPr>
        <w:rFonts w:hint="default" w:ascii="Wingdings" w:hAnsi="Wingdings"/>
      </w:rPr>
    </w:lvl>
    <w:lvl w:ilvl="3" w:tplc="74A8D556">
      <w:start w:val="1"/>
      <w:numFmt w:val="bullet"/>
      <w:lvlText w:val=""/>
      <w:lvlJc w:val="left"/>
      <w:pPr>
        <w:ind w:left="2880" w:hanging="360"/>
      </w:pPr>
      <w:rPr>
        <w:rFonts w:hint="default" w:ascii="Symbol" w:hAnsi="Symbol"/>
      </w:rPr>
    </w:lvl>
    <w:lvl w:ilvl="4" w:tplc="D15C47FC">
      <w:start w:val="1"/>
      <w:numFmt w:val="bullet"/>
      <w:lvlText w:val="o"/>
      <w:lvlJc w:val="left"/>
      <w:pPr>
        <w:ind w:left="3600" w:hanging="360"/>
      </w:pPr>
      <w:rPr>
        <w:rFonts w:hint="default" w:ascii="Courier New" w:hAnsi="Courier New"/>
      </w:rPr>
    </w:lvl>
    <w:lvl w:ilvl="5" w:tplc="019ACE82">
      <w:start w:val="1"/>
      <w:numFmt w:val="bullet"/>
      <w:lvlText w:val=""/>
      <w:lvlJc w:val="left"/>
      <w:pPr>
        <w:ind w:left="4320" w:hanging="360"/>
      </w:pPr>
      <w:rPr>
        <w:rFonts w:hint="default" w:ascii="Wingdings" w:hAnsi="Wingdings"/>
      </w:rPr>
    </w:lvl>
    <w:lvl w:ilvl="6" w:tplc="04BCD96A">
      <w:start w:val="1"/>
      <w:numFmt w:val="bullet"/>
      <w:lvlText w:val=""/>
      <w:lvlJc w:val="left"/>
      <w:pPr>
        <w:ind w:left="5040" w:hanging="360"/>
      </w:pPr>
      <w:rPr>
        <w:rFonts w:hint="default" w:ascii="Symbol" w:hAnsi="Symbol"/>
      </w:rPr>
    </w:lvl>
    <w:lvl w:ilvl="7" w:tplc="76C4CCEC">
      <w:start w:val="1"/>
      <w:numFmt w:val="bullet"/>
      <w:lvlText w:val="o"/>
      <w:lvlJc w:val="left"/>
      <w:pPr>
        <w:ind w:left="5760" w:hanging="360"/>
      </w:pPr>
      <w:rPr>
        <w:rFonts w:hint="default" w:ascii="Courier New" w:hAnsi="Courier New"/>
      </w:rPr>
    </w:lvl>
    <w:lvl w:ilvl="8" w:tplc="05386F44">
      <w:start w:val="1"/>
      <w:numFmt w:val="bullet"/>
      <w:lvlText w:val=""/>
      <w:lvlJc w:val="left"/>
      <w:pPr>
        <w:ind w:left="6480" w:hanging="360"/>
      </w:pPr>
      <w:rPr>
        <w:rFonts w:hint="default" w:ascii="Wingdings" w:hAnsi="Wingdings"/>
      </w:rPr>
    </w:lvl>
  </w:abstractNum>
  <w:abstractNum w:abstractNumId="144" w15:restartNumberingAfterBreak="0">
    <w:nsid w:val="4C691602"/>
    <w:multiLevelType w:val="hybridMultilevel"/>
    <w:tmpl w:val="FFFFFFFF"/>
    <w:lvl w:ilvl="0" w:tplc="13B6A028">
      <w:start w:val="1"/>
      <w:numFmt w:val="decimal"/>
      <w:lvlText w:val="%1."/>
      <w:lvlJc w:val="left"/>
      <w:pPr>
        <w:ind w:left="720" w:hanging="360"/>
      </w:pPr>
    </w:lvl>
    <w:lvl w:ilvl="1" w:tplc="9D74E164">
      <w:start w:val="1"/>
      <w:numFmt w:val="lowerLetter"/>
      <w:lvlText w:val="%2."/>
      <w:lvlJc w:val="left"/>
      <w:pPr>
        <w:ind w:left="1440" w:hanging="360"/>
      </w:pPr>
    </w:lvl>
    <w:lvl w:ilvl="2" w:tplc="35D0B660">
      <w:start w:val="1"/>
      <w:numFmt w:val="lowerRoman"/>
      <w:lvlText w:val="%3."/>
      <w:lvlJc w:val="right"/>
      <w:pPr>
        <w:ind w:left="2160" w:hanging="180"/>
      </w:pPr>
    </w:lvl>
    <w:lvl w:ilvl="3" w:tplc="11568AEC">
      <w:start w:val="1"/>
      <w:numFmt w:val="decimal"/>
      <w:lvlText w:val="%4."/>
      <w:lvlJc w:val="left"/>
      <w:pPr>
        <w:ind w:left="2880" w:hanging="360"/>
      </w:pPr>
    </w:lvl>
    <w:lvl w:ilvl="4" w:tplc="F5C2A0E0">
      <w:start w:val="1"/>
      <w:numFmt w:val="lowerLetter"/>
      <w:lvlText w:val="%5."/>
      <w:lvlJc w:val="left"/>
      <w:pPr>
        <w:ind w:left="3600" w:hanging="360"/>
      </w:pPr>
    </w:lvl>
    <w:lvl w:ilvl="5" w:tplc="2EDAA962">
      <w:start w:val="1"/>
      <w:numFmt w:val="lowerRoman"/>
      <w:lvlText w:val="%6."/>
      <w:lvlJc w:val="right"/>
      <w:pPr>
        <w:ind w:left="4320" w:hanging="180"/>
      </w:pPr>
    </w:lvl>
    <w:lvl w:ilvl="6" w:tplc="BEC04A96">
      <w:start w:val="1"/>
      <w:numFmt w:val="decimal"/>
      <w:lvlText w:val="%7."/>
      <w:lvlJc w:val="left"/>
      <w:pPr>
        <w:ind w:left="5040" w:hanging="360"/>
      </w:pPr>
    </w:lvl>
    <w:lvl w:ilvl="7" w:tplc="CF5CAD9A">
      <w:start w:val="1"/>
      <w:numFmt w:val="lowerLetter"/>
      <w:lvlText w:val="%8."/>
      <w:lvlJc w:val="left"/>
      <w:pPr>
        <w:ind w:left="5760" w:hanging="360"/>
      </w:pPr>
    </w:lvl>
    <w:lvl w:ilvl="8" w:tplc="9A2611C8">
      <w:start w:val="1"/>
      <w:numFmt w:val="lowerRoman"/>
      <w:lvlText w:val="%9."/>
      <w:lvlJc w:val="right"/>
      <w:pPr>
        <w:ind w:left="6480" w:hanging="180"/>
      </w:pPr>
    </w:lvl>
  </w:abstractNum>
  <w:abstractNum w:abstractNumId="145" w15:restartNumberingAfterBreak="0">
    <w:nsid w:val="4CD8334A"/>
    <w:multiLevelType w:val="hybridMultilevel"/>
    <w:tmpl w:val="FFFFFFFF"/>
    <w:lvl w:ilvl="0" w:tplc="D640E50E">
      <w:start w:val="1"/>
      <w:numFmt w:val="decimal"/>
      <w:lvlText w:val="%1."/>
      <w:lvlJc w:val="left"/>
      <w:pPr>
        <w:ind w:left="720" w:hanging="360"/>
      </w:pPr>
    </w:lvl>
    <w:lvl w:ilvl="1" w:tplc="CF489950">
      <w:start w:val="1"/>
      <w:numFmt w:val="lowerLetter"/>
      <w:lvlText w:val="%2."/>
      <w:lvlJc w:val="left"/>
      <w:pPr>
        <w:ind w:left="1440" w:hanging="360"/>
      </w:pPr>
    </w:lvl>
    <w:lvl w:ilvl="2" w:tplc="08AABD10">
      <w:start w:val="1"/>
      <w:numFmt w:val="lowerRoman"/>
      <w:lvlText w:val="%3."/>
      <w:lvlJc w:val="right"/>
      <w:pPr>
        <w:ind w:left="2160" w:hanging="180"/>
      </w:pPr>
    </w:lvl>
    <w:lvl w:ilvl="3" w:tplc="BE64A6EE">
      <w:start w:val="1"/>
      <w:numFmt w:val="decimal"/>
      <w:lvlText w:val="%4."/>
      <w:lvlJc w:val="left"/>
      <w:pPr>
        <w:ind w:left="2880" w:hanging="360"/>
      </w:pPr>
    </w:lvl>
    <w:lvl w:ilvl="4" w:tplc="7B585AB6">
      <w:start w:val="1"/>
      <w:numFmt w:val="lowerLetter"/>
      <w:lvlText w:val="%5."/>
      <w:lvlJc w:val="left"/>
      <w:pPr>
        <w:ind w:left="3600" w:hanging="360"/>
      </w:pPr>
    </w:lvl>
    <w:lvl w:ilvl="5" w:tplc="81C62F1C">
      <w:start w:val="1"/>
      <w:numFmt w:val="lowerRoman"/>
      <w:lvlText w:val="%6."/>
      <w:lvlJc w:val="right"/>
      <w:pPr>
        <w:ind w:left="4320" w:hanging="180"/>
      </w:pPr>
    </w:lvl>
    <w:lvl w:ilvl="6" w:tplc="9D8A23F2">
      <w:start w:val="1"/>
      <w:numFmt w:val="decimal"/>
      <w:lvlText w:val="%7."/>
      <w:lvlJc w:val="left"/>
      <w:pPr>
        <w:ind w:left="5040" w:hanging="360"/>
      </w:pPr>
    </w:lvl>
    <w:lvl w:ilvl="7" w:tplc="6DBE8972">
      <w:start w:val="1"/>
      <w:numFmt w:val="lowerLetter"/>
      <w:lvlText w:val="%8."/>
      <w:lvlJc w:val="left"/>
      <w:pPr>
        <w:ind w:left="5760" w:hanging="360"/>
      </w:pPr>
    </w:lvl>
    <w:lvl w:ilvl="8" w:tplc="789A19A0">
      <w:start w:val="1"/>
      <w:numFmt w:val="lowerRoman"/>
      <w:lvlText w:val="%9."/>
      <w:lvlJc w:val="right"/>
      <w:pPr>
        <w:ind w:left="6480" w:hanging="180"/>
      </w:pPr>
    </w:lvl>
  </w:abstractNum>
  <w:abstractNum w:abstractNumId="146" w15:restartNumberingAfterBreak="0">
    <w:nsid w:val="4E682FAF"/>
    <w:multiLevelType w:val="hybridMultilevel"/>
    <w:tmpl w:val="18827CF4"/>
    <w:lvl w:ilvl="0" w:tplc="16E255B0">
      <w:start w:val="1"/>
      <w:numFmt w:val="decimal"/>
      <w:lvlText w:val="%1."/>
      <w:lvlJc w:val="left"/>
      <w:pPr>
        <w:ind w:left="720" w:hanging="360"/>
      </w:pPr>
    </w:lvl>
    <w:lvl w:ilvl="1" w:tplc="CA8CD326">
      <w:start w:val="1"/>
      <w:numFmt w:val="decimal"/>
      <w:lvlText w:val="%2."/>
      <w:lvlJc w:val="left"/>
      <w:pPr>
        <w:ind w:left="1440" w:hanging="360"/>
      </w:pPr>
    </w:lvl>
    <w:lvl w:ilvl="2" w:tplc="D2687AE6">
      <w:start w:val="1"/>
      <w:numFmt w:val="lowerRoman"/>
      <w:lvlText w:val="%3."/>
      <w:lvlJc w:val="right"/>
      <w:pPr>
        <w:ind w:left="2160" w:hanging="180"/>
      </w:pPr>
    </w:lvl>
    <w:lvl w:ilvl="3" w:tplc="68700AC8">
      <w:start w:val="1"/>
      <w:numFmt w:val="decimal"/>
      <w:lvlText w:val="%4."/>
      <w:lvlJc w:val="left"/>
      <w:pPr>
        <w:ind w:left="2880" w:hanging="360"/>
      </w:pPr>
    </w:lvl>
    <w:lvl w:ilvl="4" w:tplc="F0241D3C">
      <w:start w:val="1"/>
      <w:numFmt w:val="lowerLetter"/>
      <w:lvlText w:val="%5."/>
      <w:lvlJc w:val="left"/>
      <w:pPr>
        <w:ind w:left="3600" w:hanging="360"/>
      </w:pPr>
    </w:lvl>
    <w:lvl w:ilvl="5" w:tplc="E8861942">
      <w:start w:val="1"/>
      <w:numFmt w:val="lowerRoman"/>
      <w:lvlText w:val="%6."/>
      <w:lvlJc w:val="right"/>
      <w:pPr>
        <w:ind w:left="4320" w:hanging="180"/>
      </w:pPr>
    </w:lvl>
    <w:lvl w:ilvl="6" w:tplc="4C3871E4">
      <w:start w:val="1"/>
      <w:numFmt w:val="decimal"/>
      <w:lvlText w:val="%7."/>
      <w:lvlJc w:val="left"/>
      <w:pPr>
        <w:ind w:left="5040" w:hanging="360"/>
      </w:pPr>
    </w:lvl>
    <w:lvl w:ilvl="7" w:tplc="AC4C7490">
      <w:start w:val="1"/>
      <w:numFmt w:val="lowerLetter"/>
      <w:lvlText w:val="%8."/>
      <w:lvlJc w:val="left"/>
      <w:pPr>
        <w:ind w:left="5760" w:hanging="360"/>
      </w:pPr>
    </w:lvl>
    <w:lvl w:ilvl="8" w:tplc="437403A0">
      <w:start w:val="1"/>
      <w:numFmt w:val="lowerRoman"/>
      <w:lvlText w:val="%9."/>
      <w:lvlJc w:val="right"/>
      <w:pPr>
        <w:ind w:left="6480" w:hanging="180"/>
      </w:pPr>
    </w:lvl>
  </w:abstractNum>
  <w:abstractNum w:abstractNumId="147" w15:restartNumberingAfterBreak="0">
    <w:nsid w:val="50422B26"/>
    <w:multiLevelType w:val="hybridMultilevel"/>
    <w:tmpl w:val="F20404C2"/>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48" w15:restartNumberingAfterBreak="0">
    <w:nsid w:val="51863F82"/>
    <w:multiLevelType w:val="hybridMultilevel"/>
    <w:tmpl w:val="FFFFFFFF"/>
    <w:lvl w:ilvl="0" w:tplc="5886620E">
      <w:start w:val="1"/>
      <w:numFmt w:val="bullet"/>
      <w:lvlText w:val="·"/>
      <w:lvlJc w:val="left"/>
      <w:pPr>
        <w:ind w:left="720" w:hanging="360"/>
      </w:pPr>
      <w:rPr>
        <w:rFonts w:hint="default" w:ascii="Symbol" w:hAnsi="Symbol"/>
      </w:rPr>
    </w:lvl>
    <w:lvl w:ilvl="1" w:tplc="337A5E36">
      <w:start w:val="1"/>
      <w:numFmt w:val="decimal"/>
      <w:lvlText w:val="%2."/>
      <w:lvlJc w:val="left"/>
      <w:pPr>
        <w:ind w:left="1440" w:hanging="360"/>
      </w:pPr>
      <w:rPr>
        <w:rFonts w:hint="default"/>
      </w:rPr>
    </w:lvl>
    <w:lvl w:ilvl="2" w:tplc="A3BE1D6A">
      <w:start w:val="1"/>
      <w:numFmt w:val="bullet"/>
      <w:lvlText w:val=""/>
      <w:lvlJc w:val="left"/>
      <w:pPr>
        <w:ind w:left="2160" w:hanging="360"/>
      </w:pPr>
      <w:rPr>
        <w:rFonts w:hint="default" w:ascii="Wingdings" w:hAnsi="Wingdings"/>
      </w:rPr>
    </w:lvl>
    <w:lvl w:ilvl="3" w:tplc="E8A2134C">
      <w:start w:val="1"/>
      <w:numFmt w:val="bullet"/>
      <w:lvlText w:val=""/>
      <w:lvlJc w:val="left"/>
      <w:pPr>
        <w:ind w:left="2880" w:hanging="360"/>
      </w:pPr>
      <w:rPr>
        <w:rFonts w:hint="default" w:ascii="Symbol" w:hAnsi="Symbol"/>
      </w:rPr>
    </w:lvl>
    <w:lvl w:ilvl="4" w:tplc="C0261D4E">
      <w:start w:val="1"/>
      <w:numFmt w:val="bullet"/>
      <w:lvlText w:val="o"/>
      <w:lvlJc w:val="left"/>
      <w:pPr>
        <w:ind w:left="3600" w:hanging="360"/>
      </w:pPr>
      <w:rPr>
        <w:rFonts w:hint="default" w:ascii="Courier New" w:hAnsi="Courier New"/>
      </w:rPr>
    </w:lvl>
    <w:lvl w:ilvl="5" w:tplc="8D5814B6">
      <w:start w:val="1"/>
      <w:numFmt w:val="bullet"/>
      <w:lvlText w:val=""/>
      <w:lvlJc w:val="left"/>
      <w:pPr>
        <w:ind w:left="4320" w:hanging="360"/>
      </w:pPr>
      <w:rPr>
        <w:rFonts w:hint="default" w:ascii="Wingdings" w:hAnsi="Wingdings"/>
      </w:rPr>
    </w:lvl>
    <w:lvl w:ilvl="6" w:tplc="C860A228">
      <w:start w:val="1"/>
      <w:numFmt w:val="bullet"/>
      <w:lvlText w:val=""/>
      <w:lvlJc w:val="left"/>
      <w:pPr>
        <w:ind w:left="5040" w:hanging="360"/>
      </w:pPr>
      <w:rPr>
        <w:rFonts w:hint="default" w:ascii="Symbol" w:hAnsi="Symbol"/>
      </w:rPr>
    </w:lvl>
    <w:lvl w:ilvl="7" w:tplc="80C0C9B6">
      <w:start w:val="1"/>
      <w:numFmt w:val="bullet"/>
      <w:lvlText w:val="o"/>
      <w:lvlJc w:val="left"/>
      <w:pPr>
        <w:ind w:left="5760" w:hanging="360"/>
      </w:pPr>
      <w:rPr>
        <w:rFonts w:hint="default" w:ascii="Courier New" w:hAnsi="Courier New"/>
      </w:rPr>
    </w:lvl>
    <w:lvl w:ilvl="8" w:tplc="CDC20E0A">
      <w:start w:val="1"/>
      <w:numFmt w:val="bullet"/>
      <w:lvlText w:val=""/>
      <w:lvlJc w:val="left"/>
      <w:pPr>
        <w:ind w:left="6480" w:hanging="360"/>
      </w:pPr>
      <w:rPr>
        <w:rFonts w:hint="default" w:ascii="Wingdings" w:hAnsi="Wingdings"/>
      </w:rPr>
    </w:lvl>
  </w:abstractNum>
  <w:abstractNum w:abstractNumId="149" w15:restartNumberingAfterBreak="0">
    <w:nsid w:val="52B23B42"/>
    <w:multiLevelType w:val="hybridMultilevel"/>
    <w:tmpl w:val="30AA6C8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3F95047"/>
    <w:multiLevelType w:val="hybridMultilevel"/>
    <w:tmpl w:val="FFFFFFFF"/>
    <w:lvl w:ilvl="0" w:tplc="F8FEE626">
      <w:start w:val="1"/>
      <w:numFmt w:val="decimal"/>
      <w:lvlText w:val="%1."/>
      <w:lvlJc w:val="left"/>
      <w:pPr>
        <w:ind w:left="720" w:hanging="360"/>
      </w:pPr>
    </w:lvl>
    <w:lvl w:ilvl="1" w:tplc="DD9079C0">
      <w:start w:val="1"/>
      <w:numFmt w:val="decimal"/>
      <w:lvlText w:val="%2."/>
      <w:lvlJc w:val="left"/>
      <w:pPr>
        <w:ind w:left="1440" w:hanging="360"/>
      </w:pPr>
    </w:lvl>
    <w:lvl w:ilvl="2" w:tplc="2E9EDF62">
      <w:start w:val="1"/>
      <w:numFmt w:val="lowerRoman"/>
      <w:lvlText w:val="%3."/>
      <w:lvlJc w:val="right"/>
      <w:pPr>
        <w:ind w:left="2160" w:hanging="180"/>
      </w:pPr>
    </w:lvl>
    <w:lvl w:ilvl="3" w:tplc="4E1AB8CA">
      <w:start w:val="1"/>
      <w:numFmt w:val="decimal"/>
      <w:lvlText w:val="%4."/>
      <w:lvlJc w:val="left"/>
      <w:pPr>
        <w:ind w:left="2880" w:hanging="360"/>
      </w:pPr>
    </w:lvl>
    <w:lvl w:ilvl="4" w:tplc="A55C23E6">
      <w:start w:val="1"/>
      <w:numFmt w:val="lowerLetter"/>
      <w:lvlText w:val="%5."/>
      <w:lvlJc w:val="left"/>
      <w:pPr>
        <w:ind w:left="3600" w:hanging="360"/>
      </w:pPr>
    </w:lvl>
    <w:lvl w:ilvl="5" w:tplc="A9CA267C">
      <w:start w:val="1"/>
      <w:numFmt w:val="lowerRoman"/>
      <w:lvlText w:val="%6."/>
      <w:lvlJc w:val="right"/>
      <w:pPr>
        <w:ind w:left="4320" w:hanging="180"/>
      </w:pPr>
    </w:lvl>
    <w:lvl w:ilvl="6" w:tplc="B2829E66">
      <w:start w:val="1"/>
      <w:numFmt w:val="decimal"/>
      <w:lvlText w:val="%7."/>
      <w:lvlJc w:val="left"/>
      <w:pPr>
        <w:ind w:left="5040" w:hanging="360"/>
      </w:pPr>
    </w:lvl>
    <w:lvl w:ilvl="7" w:tplc="2A10226A">
      <w:start w:val="1"/>
      <w:numFmt w:val="lowerLetter"/>
      <w:lvlText w:val="%8."/>
      <w:lvlJc w:val="left"/>
      <w:pPr>
        <w:ind w:left="5760" w:hanging="360"/>
      </w:pPr>
    </w:lvl>
    <w:lvl w:ilvl="8" w:tplc="B90C711A">
      <w:start w:val="1"/>
      <w:numFmt w:val="lowerRoman"/>
      <w:lvlText w:val="%9."/>
      <w:lvlJc w:val="right"/>
      <w:pPr>
        <w:ind w:left="6480" w:hanging="180"/>
      </w:pPr>
    </w:lvl>
  </w:abstractNum>
  <w:abstractNum w:abstractNumId="151" w15:restartNumberingAfterBreak="0">
    <w:nsid w:val="54656358"/>
    <w:multiLevelType w:val="multilevel"/>
    <w:tmpl w:val="D2C692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2" w15:restartNumberingAfterBreak="0">
    <w:nsid w:val="55B70622"/>
    <w:multiLevelType w:val="hybridMultilevel"/>
    <w:tmpl w:val="F00CB8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3" w15:restartNumberingAfterBreak="0">
    <w:nsid w:val="56985AE2"/>
    <w:multiLevelType w:val="hybridMultilevel"/>
    <w:tmpl w:val="917CA5EE"/>
    <w:lvl w:ilvl="0" w:tplc="2B329774">
      <w:start w:val="1"/>
      <w:numFmt w:val="bullet"/>
      <w:lvlText w:val=""/>
      <w:lvlJc w:val="left"/>
      <w:pPr>
        <w:ind w:left="720" w:hanging="360"/>
      </w:pPr>
      <w:rPr>
        <w:rFonts w:hint="default" w:ascii="Symbol" w:hAnsi="Symbol"/>
      </w:rPr>
    </w:lvl>
    <w:lvl w:ilvl="1" w:tplc="E522C776">
      <w:start w:val="1"/>
      <w:numFmt w:val="bullet"/>
      <w:lvlText w:val="o"/>
      <w:lvlJc w:val="left"/>
      <w:pPr>
        <w:ind w:left="1440" w:hanging="360"/>
      </w:pPr>
      <w:rPr>
        <w:rFonts w:hint="default" w:ascii="Courier New" w:hAnsi="Courier New"/>
      </w:rPr>
    </w:lvl>
    <w:lvl w:ilvl="2" w:tplc="779035AC">
      <w:start w:val="1"/>
      <w:numFmt w:val="bullet"/>
      <w:lvlText w:val=""/>
      <w:lvlJc w:val="left"/>
      <w:pPr>
        <w:ind w:left="2160" w:hanging="360"/>
      </w:pPr>
      <w:rPr>
        <w:rFonts w:hint="default" w:ascii="Wingdings" w:hAnsi="Wingdings"/>
      </w:rPr>
    </w:lvl>
    <w:lvl w:ilvl="3" w:tplc="646AB0FA">
      <w:start w:val="1"/>
      <w:numFmt w:val="bullet"/>
      <w:lvlText w:val=""/>
      <w:lvlJc w:val="left"/>
      <w:pPr>
        <w:ind w:left="2880" w:hanging="360"/>
      </w:pPr>
      <w:rPr>
        <w:rFonts w:hint="default" w:ascii="Symbol" w:hAnsi="Symbol"/>
      </w:rPr>
    </w:lvl>
    <w:lvl w:ilvl="4" w:tplc="19D20F94">
      <w:start w:val="1"/>
      <w:numFmt w:val="bullet"/>
      <w:lvlText w:val="o"/>
      <w:lvlJc w:val="left"/>
      <w:pPr>
        <w:ind w:left="3600" w:hanging="360"/>
      </w:pPr>
      <w:rPr>
        <w:rFonts w:hint="default" w:ascii="Courier New" w:hAnsi="Courier New"/>
      </w:rPr>
    </w:lvl>
    <w:lvl w:ilvl="5" w:tplc="1CD2EE2A">
      <w:start w:val="1"/>
      <w:numFmt w:val="bullet"/>
      <w:lvlText w:val=""/>
      <w:lvlJc w:val="left"/>
      <w:pPr>
        <w:ind w:left="4320" w:hanging="360"/>
      </w:pPr>
      <w:rPr>
        <w:rFonts w:hint="default" w:ascii="Wingdings" w:hAnsi="Wingdings"/>
      </w:rPr>
    </w:lvl>
    <w:lvl w:ilvl="6" w:tplc="85BCF010">
      <w:start w:val="1"/>
      <w:numFmt w:val="bullet"/>
      <w:lvlText w:val=""/>
      <w:lvlJc w:val="left"/>
      <w:pPr>
        <w:ind w:left="5040" w:hanging="360"/>
      </w:pPr>
      <w:rPr>
        <w:rFonts w:hint="default" w:ascii="Symbol" w:hAnsi="Symbol"/>
      </w:rPr>
    </w:lvl>
    <w:lvl w:ilvl="7" w:tplc="4F142666">
      <w:start w:val="1"/>
      <w:numFmt w:val="bullet"/>
      <w:lvlText w:val="o"/>
      <w:lvlJc w:val="left"/>
      <w:pPr>
        <w:ind w:left="5760" w:hanging="360"/>
      </w:pPr>
      <w:rPr>
        <w:rFonts w:hint="default" w:ascii="Courier New" w:hAnsi="Courier New"/>
      </w:rPr>
    </w:lvl>
    <w:lvl w:ilvl="8" w:tplc="7BC49D68">
      <w:start w:val="1"/>
      <w:numFmt w:val="bullet"/>
      <w:lvlText w:val=""/>
      <w:lvlJc w:val="left"/>
      <w:pPr>
        <w:ind w:left="6480" w:hanging="360"/>
      </w:pPr>
      <w:rPr>
        <w:rFonts w:hint="default" w:ascii="Wingdings" w:hAnsi="Wingdings"/>
      </w:rPr>
    </w:lvl>
  </w:abstractNum>
  <w:abstractNum w:abstractNumId="154" w15:restartNumberingAfterBreak="0">
    <w:nsid w:val="582F3CBD"/>
    <w:multiLevelType w:val="hybridMultilevel"/>
    <w:tmpl w:val="E2F8FEC4"/>
    <w:lvl w:ilvl="0" w:tplc="08090001">
      <w:start w:val="1"/>
      <w:numFmt w:val="bullet"/>
      <w:lvlText w:val=""/>
      <w:lvlJc w:val="left"/>
      <w:pPr>
        <w:ind w:left="360" w:hanging="360"/>
      </w:pPr>
      <w:rPr>
        <w:rFonts w:hint="default" w:ascii="Symbol" w:hAnsi="Symbol"/>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5" w15:restartNumberingAfterBreak="0">
    <w:nsid w:val="59235E79"/>
    <w:multiLevelType w:val="hybridMultilevel"/>
    <w:tmpl w:val="2E96878E"/>
    <w:lvl w:ilvl="0" w:tplc="08160001">
      <w:start w:val="1"/>
      <w:numFmt w:val="bullet"/>
      <w:lvlText w:val=""/>
      <w:lvlJc w:val="left"/>
      <w:pPr>
        <w:ind w:left="805" w:hanging="360"/>
      </w:pPr>
      <w:rPr>
        <w:rFonts w:hint="default" w:ascii="Symbol" w:hAnsi="Symbol"/>
      </w:rPr>
    </w:lvl>
    <w:lvl w:ilvl="1" w:tplc="08160003" w:tentative="1">
      <w:start w:val="1"/>
      <w:numFmt w:val="bullet"/>
      <w:lvlText w:val="o"/>
      <w:lvlJc w:val="left"/>
      <w:pPr>
        <w:ind w:left="1525" w:hanging="360"/>
      </w:pPr>
      <w:rPr>
        <w:rFonts w:hint="default" w:ascii="Courier New" w:hAnsi="Courier New" w:cs="Courier New"/>
      </w:rPr>
    </w:lvl>
    <w:lvl w:ilvl="2" w:tplc="08160005" w:tentative="1">
      <w:start w:val="1"/>
      <w:numFmt w:val="bullet"/>
      <w:lvlText w:val=""/>
      <w:lvlJc w:val="left"/>
      <w:pPr>
        <w:ind w:left="2245" w:hanging="360"/>
      </w:pPr>
      <w:rPr>
        <w:rFonts w:hint="default" w:ascii="Wingdings" w:hAnsi="Wingdings"/>
      </w:rPr>
    </w:lvl>
    <w:lvl w:ilvl="3" w:tplc="08160001" w:tentative="1">
      <w:start w:val="1"/>
      <w:numFmt w:val="bullet"/>
      <w:lvlText w:val=""/>
      <w:lvlJc w:val="left"/>
      <w:pPr>
        <w:ind w:left="2965" w:hanging="360"/>
      </w:pPr>
      <w:rPr>
        <w:rFonts w:hint="default" w:ascii="Symbol" w:hAnsi="Symbol"/>
      </w:rPr>
    </w:lvl>
    <w:lvl w:ilvl="4" w:tplc="08160003" w:tentative="1">
      <w:start w:val="1"/>
      <w:numFmt w:val="bullet"/>
      <w:lvlText w:val="o"/>
      <w:lvlJc w:val="left"/>
      <w:pPr>
        <w:ind w:left="3685" w:hanging="360"/>
      </w:pPr>
      <w:rPr>
        <w:rFonts w:hint="default" w:ascii="Courier New" w:hAnsi="Courier New" w:cs="Courier New"/>
      </w:rPr>
    </w:lvl>
    <w:lvl w:ilvl="5" w:tplc="08160005" w:tentative="1">
      <w:start w:val="1"/>
      <w:numFmt w:val="bullet"/>
      <w:lvlText w:val=""/>
      <w:lvlJc w:val="left"/>
      <w:pPr>
        <w:ind w:left="4405" w:hanging="360"/>
      </w:pPr>
      <w:rPr>
        <w:rFonts w:hint="default" w:ascii="Wingdings" w:hAnsi="Wingdings"/>
      </w:rPr>
    </w:lvl>
    <w:lvl w:ilvl="6" w:tplc="08160001" w:tentative="1">
      <w:start w:val="1"/>
      <w:numFmt w:val="bullet"/>
      <w:lvlText w:val=""/>
      <w:lvlJc w:val="left"/>
      <w:pPr>
        <w:ind w:left="5125" w:hanging="360"/>
      </w:pPr>
      <w:rPr>
        <w:rFonts w:hint="default" w:ascii="Symbol" w:hAnsi="Symbol"/>
      </w:rPr>
    </w:lvl>
    <w:lvl w:ilvl="7" w:tplc="08160003" w:tentative="1">
      <w:start w:val="1"/>
      <w:numFmt w:val="bullet"/>
      <w:lvlText w:val="o"/>
      <w:lvlJc w:val="left"/>
      <w:pPr>
        <w:ind w:left="5845" w:hanging="360"/>
      </w:pPr>
      <w:rPr>
        <w:rFonts w:hint="default" w:ascii="Courier New" w:hAnsi="Courier New" w:cs="Courier New"/>
      </w:rPr>
    </w:lvl>
    <w:lvl w:ilvl="8" w:tplc="08160005" w:tentative="1">
      <w:start w:val="1"/>
      <w:numFmt w:val="bullet"/>
      <w:lvlText w:val=""/>
      <w:lvlJc w:val="left"/>
      <w:pPr>
        <w:ind w:left="6565" w:hanging="360"/>
      </w:pPr>
      <w:rPr>
        <w:rFonts w:hint="default" w:ascii="Wingdings" w:hAnsi="Wingdings"/>
      </w:rPr>
    </w:lvl>
  </w:abstractNum>
  <w:abstractNum w:abstractNumId="156" w15:restartNumberingAfterBreak="0">
    <w:nsid w:val="59525D42"/>
    <w:multiLevelType w:val="hybridMultilevel"/>
    <w:tmpl w:val="FFFFFFFF"/>
    <w:lvl w:ilvl="0" w:tplc="E20096AA">
      <w:start w:val="1"/>
      <w:numFmt w:val="bullet"/>
      <w:lvlText w:val="-"/>
      <w:lvlJc w:val="left"/>
      <w:pPr>
        <w:ind w:left="720" w:hanging="360"/>
      </w:pPr>
      <w:rPr>
        <w:rFonts w:hint="default" w:ascii="Calibri" w:hAnsi="Calibri"/>
      </w:rPr>
    </w:lvl>
    <w:lvl w:ilvl="1" w:tplc="9BFCB794">
      <w:start w:val="1"/>
      <w:numFmt w:val="bullet"/>
      <w:lvlText w:val="o"/>
      <w:lvlJc w:val="left"/>
      <w:pPr>
        <w:ind w:left="1440" w:hanging="360"/>
      </w:pPr>
      <w:rPr>
        <w:rFonts w:hint="default" w:ascii="Courier New" w:hAnsi="Courier New"/>
      </w:rPr>
    </w:lvl>
    <w:lvl w:ilvl="2" w:tplc="50F8D120">
      <w:start w:val="1"/>
      <w:numFmt w:val="bullet"/>
      <w:lvlText w:val=""/>
      <w:lvlJc w:val="left"/>
      <w:pPr>
        <w:ind w:left="2160" w:hanging="360"/>
      </w:pPr>
      <w:rPr>
        <w:rFonts w:hint="default" w:ascii="Wingdings" w:hAnsi="Wingdings"/>
      </w:rPr>
    </w:lvl>
    <w:lvl w:ilvl="3" w:tplc="3D08CF90">
      <w:start w:val="1"/>
      <w:numFmt w:val="bullet"/>
      <w:lvlText w:val=""/>
      <w:lvlJc w:val="left"/>
      <w:pPr>
        <w:ind w:left="2880" w:hanging="360"/>
      </w:pPr>
      <w:rPr>
        <w:rFonts w:hint="default" w:ascii="Symbol" w:hAnsi="Symbol"/>
      </w:rPr>
    </w:lvl>
    <w:lvl w:ilvl="4" w:tplc="500A0032">
      <w:start w:val="1"/>
      <w:numFmt w:val="bullet"/>
      <w:lvlText w:val="o"/>
      <w:lvlJc w:val="left"/>
      <w:pPr>
        <w:ind w:left="3600" w:hanging="360"/>
      </w:pPr>
      <w:rPr>
        <w:rFonts w:hint="default" w:ascii="Courier New" w:hAnsi="Courier New"/>
      </w:rPr>
    </w:lvl>
    <w:lvl w:ilvl="5" w:tplc="D494BF2A">
      <w:start w:val="1"/>
      <w:numFmt w:val="bullet"/>
      <w:lvlText w:val=""/>
      <w:lvlJc w:val="left"/>
      <w:pPr>
        <w:ind w:left="4320" w:hanging="360"/>
      </w:pPr>
      <w:rPr>
        <w:rFonts w:hint="default" w:ascii="Wingdings" w:hAnsi="Wingdings"/>
      </w:rPr>
    </w:lvl>
    <w:lvl w:ilvl="6" w:tplc="2BE41F68">
      <w:start w:val="1"/>
      <w:numFmt w:val="bullet"/>
      <w:lvlText w:val=""/>
      <w:lvlJc w:val="left"/>
      <w:pPr>
        <w:ind w:left="5040" w:hanging="360"/>
      </w:pPr>
      <w:rPr>
        <w:rFonts w:hint="default" w:ascii="Symbol" w:hAnsi="Symbol"/>
      </w:rPr>
    </w:lvl>
    <w:lvl w:ilvl="7" w:tplc="43F0D1B4">
      <w:start w:val="1"/>
      <w:numFmt w:val="bullet"/>
      <w:lvlText w:val="o"/>
      <w:lvlJc w:val="left"/>
      <w:pPr>
        <w:ind w:left="5760" w:hanging="360"/>
      </w:pPr>
      <w:rPr>
        <w:rFonts w:hint="default" w:ascii="Courier New" w:hAnsi="Courier New"/>
      </w:rPr>
    </w:lvl>
    <w:lvl w:ilvl="8" w:tplc="86E8DE92">
      <w:start w:val="1"/>
      <w:numFmt w:val="bullet"/>
      <w:lvlText w:val=""/>
      <w:lvlJc w:val="left"/>
      <w:pPr>
        <w:ind w:left="6480" w:hanging="360"/>
      </w:pPr>
      <w:rPr>
        <w:rFonts w:hint="default" w:ascii="Wingdings" w:hAnsi="Wingdings"/>
      </w:rPr>
    </w:lvl>
  </w:abstractNum>
  <w:abstractNum w:abstractNumId="157" w15:restartNumberingAfterBreak="0">
    <w:nsid w:val="5A10544D"/>
    <w:multiLevelType w:val="hybridMultilevel"/>
    <w:tmpl w:val="AEF0A6A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8" w15:restartNumberingAfterBreak="0">
    <w:nsid w:val="5ADD1127"/>
    <w:multiLevelType w:val="hybridMultilevel"/>
    <w:tmpl w:val="44722EE6"/>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59" w15:restartNumberingAfterBreak="0">
    <w:nsid w:val="5B9E0146"/>
    <w:multiLevelType w:val="hybridMultilevel"/>
    <w:tmpl w:val="3564CFFE"/>
    <w:lvl w:ilvl="0" w:tplc="08090001">
      <w:start w:val="1"/>
      <w:numFmt w:val="bullet"/>
      <w:lvlText w:val=""/>
      <w:lvlJc w:val="left"/>
      <w:pPr>
        <w:ind w:left="805" w:hanging="360"/>
      </w:pPr>
      <w:rPr>
        <w:rFonts w:hint="default" w:ascii="Symbol" w:hAnsi="Symbol"/>
      </w:rPr>
    </w:lvl>
    <w:lvl w:ilvl="1" w:tplc="08090003" w:tentative="1">
      <w:start w:val="1"/>
      <w:numFmt w:val="bullet"/>
      <w:lvlText w:val="o"/>
      <w:lvlJc w:val="left"/>
      <w:pPr>
        <w:ind w:left="1525" w:hanging="360"/>
      </w:pPr>
      <w:rPr>
        <w:rFonts w:hint="default" w:ascii="Courier New" w:hAnsi="Courier New" w:cs="Courier New"/>
      </w:rPr>
    </w:lvl>
    <w:lvl w:ilvl="2" w:tplc="08090005" w:tentative="1">
      <w:start w:val="1"/>
      <w:numFmt w:val="bullet"/>
      <w:lvlText w:val=""/>
      <w:lvlJc w:val="left"/>
      <w:pPr>
        <w:ind w:left="2245" w:hanging="360"/>
      </w:pPr>
      <w:rPr>
        <w:rFonts w:hint="default" w:ascii="Wingdings" w:hAnsi="Wingdings"/>
      </w:rPr>
    </w:lvl>
    <w:lvl w:ilvl="3" w:tplc="08090001" w:tentative="1">
      <w:start w:val="1"/>
      <w:numFmt w:val="bullet"/>
      <w:lvlText w:val=""/>
      <w:lvlJc w:val="left"/>
      <w:pPr>
        <w:ind w:left="2965" w:hanging="360"/>
      </w:pPr>
      <w:rPr>
        <w:rFonts w:hint="default" w:ascii="Symbol" w:hAnsi="Symbol"/>
      </w:rPr>
    </w:lvl>
    <w:lvl w:ilvl="4" w:tplc="08090003" w:tentative="1">
      <w:start w:val="1"/>
      <w:numFmt w:val="bullet"/>
      <w:lvlText w:val="o"/>
      <w:lvlJc w:val="left"/>
      <w:pPr>
        <w:ind w:left="3685" w:hanging="360"/>
      </w:pPr>
      <w:rPr>
        <w:rFonts w:hint="default" w:ascii="Courier New" w:hAnsi="Courier New" w:cs="Courier New"/>
      </w:rPr>
    </w:lvl>
    <w:lvl w:ilvl="5" w:tplc="08090005" w:tentative="1">
      <w:start w:val="1"/>
      <w:numFmt w:val="bullet"/>
      <w:lvlText w:val=""/>
      <w:lvlJc w:val="left"/>
      <w:pPr>
        <w:ind w:left="4405" w:hanging="360"/>
      </w:pPr>
      <w:rPr>
        <w:rFonts w:hint="default" w:ascii="Wingdings" w:hAnsi="Wingdings"/>
      </w:rPr>
    </w:lvl>
    <w:lvl w:ilvl="6" w:tplc="08090001" w:tentative="1">
      <w:start w:val="1"/>
      <w:numFmt w:val="bullet"/>
      <w:lvlText w:val=""/>
      <w:lvlJc w:val="left"/>
      <w:pPr>
        <w:ind w:left="5125" w:hanging="360"/>
      </w:pPr>
      <w:rPr>
        <w:rFonts w:hint="default" w:ascii="Symbol" w:hAnsi="Symbol"/>
      </w:rPr>
    </w:lvl>
    <w:lvl w:ilvl="7" w:tplc="08090003" w:tentative="1">
      <w:start w:val="1"/>
      <w:numFmt w:val="bullet"/>
      <w:lvlText w:val="o"/>
      <w:lvlJc w:val="left"/>
      <w:pPr>
        <w:ind w:left="5845" w:hanging="360"/>
      </w:pPr>
      <w:rPr>
        <w:rFonts w:hint="default" w:ascii="Courier New" w:hAnsi="Courier New" w:cs="Courier New"/>
      </w:rPr>
    </w:lvl>
    <w:lvl w:ilvl="8" w:tplc="08090005" w:tentative="1">
      <w:start w:val="1"/>
      <w:numFmt w:val="bullet"/>
      <w:lvlText w:val=""/>
      <w:lvlJc w:val="left"/>
      <w:pPr>
        <w:ind w:left="6565" w:hanging="360"/>
      </w:pPr>
      <w:rPr>
        <w:rFonts w:hint="default" w:ascii="Wingdings" w:hAnsi="Wingdings"/>
      </w:rPr>
    </w:lvl>
  </w:abstractNum>
  <w:abstractNum w:abstractNumId="160" w15:restartNumberingAfterBreak="0">
    <w:nsid w:val="5BB44229"/>
    <w:multiLevelType w:val="hybridMultilevel"/>
    <w:tmpl w:val="CBBEE3D4"/>
    <w:lvl w:ilvl="0" w:tplc="CCD23C1A">
      <w:start w:val="1"/>
      <w:numFmt w:val="bullet"/>
      <w:lvlText w:val="-"/>
      <w:lvlJc w:val="left"/>
      <w:pPr>
        <w:ind w:left="890" w:hanging="360"/>
      </w:pPr>
      <w:rPr>
        <w:rFonts w:hint="default" w:ascii="Cambria" w:hAnsi="Cambria" w:eastAsia="Cambria" w:cs="Cambria"/>
      </w:rPr>
    </w:lvl>
    <w:lvl w:ilvl="1" w:tplc="08090003" w:tentative="1">
      <w:start w:val="1"/>
      <w:numFmt w:val="bullet"/>
      <w:lvlText w:val="o"/>
      <w:lvlJc w:val="left"/>
      <w:pPr>
        <w:ind w:left="1525" w:hanging="360"/>
      </w:pPr>
      <w:rPr>
        <w:rFonts w:hint="default" w:ascii="Courier New" w:hAnsi="Courier New" w:cs="Courier New"/>
      </w:rPr>
    </w:lvl>
    <w:lvl w:ilvl="2" w:tplc="08090005" w:tentative="1">
      <w:start w:val="1"/>
      <w:numFmt w:val="bullet"/>
      <w:lvlText w:val=""/>
      <w:lvlJc w:val="left"/>
      <w:pPr>
        <w:ind w:left="2245" w:hanging="360"/>
      </w:pPr>
      <w:rPr>
        <w:rFonts w:hint="default" w:ascii="Wingdings" w:hAnsi="Wingdings"/>
      </w:rPr>
    </w:lvl>
    <w:lvl w:ilvl="3" w:tplc="08090001" w:tentative="1">
      <w:start w:val="1"/>
      <w:numFmt w:val="bullet"/>
      <w:lvlText w:val=""/>
      <w:lvlJc w:val="left"/>
      <w:pPr>
        <w:ind w:left="2965" w:hanging="360"/>
      </w:pPr>
      <w:rPr>
        <w:rFonts w:hint="default" w:ascii="Symbol" w:hAnsi="Symbol"/>
      </w:rPr>
    </w:lvl>
    <w:lvl w:ilvl="4" w:tplc="08090003" w:tentative="1">
      <w:start w:val="1"/>
      <w:numFmt w:val="bullet"/>
      <w:lvlText w:val="o"/>
      <w:lvlJc w:val="left"/>
      <w:pPr>
        <w:ind w:left="3685" w:hanging="360"/>
      </w:pPr>
      <w:rPr>
        <w:rFonts w:hint="default" w:ascii="Courier New" w:hAnsi="Courier New" w:cs="Courier New"/>
      </w:rPr>
    </w:lvl>
    <w:lvl w:ilvl="5" w:tplc="08090005" w:tentative="1">
      <w:start w:val="1"/>
      <w:numFmt w:val="bullet"/>
      <w:lvlText w:val=""/>
      <w:lvlJc w:val="left"/>
      <w:pPr>
        <w:ind w:left="4405" w:hanging="360"/>
      </w:pPr>
      <w:rPr>
        <w:rFonts w:hint="default" w:ascii="Wingdings" w:hAnsi="Wingdings"/>
      </w:rPr>
    </w:lvl>
    <w:lvl w:ilvl="6" w:tplc="08090001" w:tentative="1">
      <w:start w:val="1"/>
      <w:numFmt w:val="bullet"/>
      <w:lvlText w:val=""/>
      <w:lvlJc w:val="left"/>
      <w:pPr>
        <w:ind w:left="5125" w:hanging="360"/>
      </w:pPr>
      <w:rPr>
        <w:rFonts w:hint="default" w:ascii="Symbol" w:hAnsi="Symbol"/>
      </w:rPr>
    </w:lvl>
    <w:lvl w:ilvl="7" w:tplc="08090003" w:tentative="1">
      <w:start w:val="1"/>
      <w:numFmt w:val="bullet"/>
      <w:lvlText w:val="o"/>
      <w:lvlJc w:val="left"/>
      <w:pPr>
        <w:ind w:left="5845" w:hanging="360"/>
      </w:pPr>
      <w:rPr>
        <w:rFonts w:hint="default" w:ascii="Courier New" w:hAnsi="Courier New" w:cs="Courier New"/>
      </w:rPr>
    </w:lvl>
    <w:lvl w:ilvl="8" w:tplc="08090005" w:tentative="1">
      <w:start w:val="1"/>
      <w:numFmt w:val="bullet"/>
      <w:lvlText w:val=""/>
      <w:lvlJc w:val="left"/>
      <w:pPr>
        <w:ind w:left="6565" w:hanging="360"/>
      </w:pPr>
      <w:rPr>
        <w:rFonts w:hint="default" w:ascii="Wingdings" w:hAnsi="Wingdings"/>
      </w:rPr>
    </w:lvl>
  </w:abstractNum>
  <w:abstractNum w:abstractNumId="161" w15:restartNumberingAfterBreak="0">
    <w:nsid w:val="5C851747"/>
    <w:multiLevelType w:val="hybridMultilevel"/>
    <w:tmpl w:val="FFFFFFFF"/>
    <w:lvl w:ilvl="0" w:tplc="5302F9D4">
      <w:start w:val="1"/>
      <w:numFmt w:val="bullet"/>
      <w:lvlText w:val=""/>
      <w:lvlJc w:val="left"/>
      <w:pPr>
        <w:ind w:left="720" w:hanging="360"/>
      </w:pPr>
      <w:rPr>
        <w:rFonts w:hint="default" w:ascii="Symbol" w:hAnsi="Symbol"/>
      </w:rPr>
    </w:lvl>
    <w:lvl w:ilvl="1" w:tplc="DD4659C2">
      <w:start w:val="1"/>
      <w:numFmt w:val="bullet"/>
      <w:lvlText w:val="o"/>
      <w:lvlJc w:val="left"/>
      <w:pPr>
        <w:ind w:left="1440" w:hanging="360"/>
      </w:pPr>
      <w:rPr>
        <w:rFonts w:hint="default" w:ascii="Courier New" w:hAnsi="Courier New"/>
      </w:rPr>
    </w:lvl>
    <w:lvl w:ilvl="2" w:tplc="D9BA3428">
      <w:start w:val="1"/>
      <w:numFmt w:val="bullet"/>
      <w:lvlText w:val=""/>
      <w:lvlJc w:val="left"/>
      <w:pPr>
        <w:ind w:left="2160" w:hanging="360"/>
      </w:pPr>
      <w:rPr>
        <w:rFonts w:hint="default" w:ascii="Wingdings" w:hAnsi="Wingdings"/>
      </w:rPr>
    </w:lvl>
    <w:lvl w:ilvl="3" w:tplc="67049B74">
      <w:start w:val="1"/>
      <w:numFmt w:val="bullet"/>
      <w:lvlText w:val=""/>
      <w:lvlJc w:val="left"/>
      <w:pPr>
        <w:ind w:left="2880" w:hanging="360"/>
      </w:pPr>
      <w:rPr>
        <w:rFonts w:hint="default" w:ascii="Symbol" w:hAnsi="Symbol"/>
      </w:rPr>
    </w:lvl>
    <w:lvl w:ilvl="4" w:tplc="5C00F5D2">
      <w:start w:val="1"/>
      <w:numFmt w:val="bullet"/>
      <w:lvlText w:val="o"/>
      <w:lvlJc w:val="left"/>
      <w:pPr>
        <w:ind w:left="3600" w:hanging="360"/>
      </w:pPr>
      <w:rPr>
        <w:rFonts w:hint="default" w:ascii="Courier New" w:hAnsi="Courier New"/>
      </w:rPr>
    </w:lvl>
    <w:lvl w:ilvl="5" w:tplc="20E4343C">
      <w:start w:val="1"/>
      <w:numFmt w:val="bullet"/>
      <w:lvlText w:val=""/>
      <w:lvlJc w:val="left"/>
      <w:pPr>
        <w:ind w:left="4320" w:hanging="360"/>
      </w:pPr>
      <w:rPr>
        <w:rFonts w:hint="default" w:ascii="Wingdings" w:hAnsi="Wingdings"/>
      </w:rPr>
    </w:lvl>
    <w:lvl w:ilvl="6" w:tplc="4D8680CA">
      <w:start w:val="1"/>
      <w:numFmt w:val="bullet"/>
      <w:lvlText w:val=""/>
      <w:lvlJc w:val="left"/>
      <w:pPr>
        <w:ind w:left="5040" w:hanging="360"/>
      </w:pPr>
      <w:rPr>
        <w:rFonts w:hint="default" w:ascii="Symbol" w:hAnsi="Symbol"/>
      </w:rPr>
    </w:lvl>
    <w:lvl w:ilvl="7" w:tplc="2C16C8AA">
      <w:start w:val="1"/>
      <w:numFmt w:val="bullet"/>
      <w:lvlText w:val="o"/>
      <w:lvlJc w:val="left"/>
      <w:pPr>
        <w:ind w:left="5760" w:hanging="360"/>
      </w:pPr>
      <w:rPr>
        <w:rFonts w:hint="default" w:ascii="Courier New" w:hAnsi="Courier New"/>
      </w:rPr>
    </w:lvl>
    <w:lvl w:ilvl="8" w:tplc="9C6673B4">
      <w:start w:val="1"/>
      <w:numFmt w:val="bullet"/>
      <w:lvlText w:val=""/>
      <w:lvlJc w:val="left"/>
      <w:pPr>
        <w:ind w:left="6480" w:hanging="360"/>
      </w:pPr>
      <w:rPr>
        <w:rFonts w:hint="default" w:ascii="Wingdings" w:hAnsi="Wingdings"/>
      </w:rPr>
    </w:lvl>
  </w:abstractNum>
  <w:abstractNum w:abstractNumId="162" w15:restartNumberingAfterBreak="0">
    <w:nsid w:val="5D106B02"/>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D332643"/>
    <w:multiLevelType w:val="hybridMultilevel"/>
    <w:tmpl w:val="4A46D1D8"/>
    <w:lvl w:ilvl="0" w:tplc="08160001">
      <w:start w:val="1"/>
      <w:numFmt w:val="bullet"/>
      <w:lvlText w:val=""/>
      <w:lvlJc w:val="left"/>
      <w:pPr>
        <w:ind w:left="753" w:hanging="360"/>
      </w:pPr>
      <w:rPr>
        <w:rFonts w:hint="default" w:ascii="Symbol" w:hAnsi="Symbol"/>
      </w:rPr>
    </w:lvl>
    <w:lvl w:ilvl="1" w:tplc="08160003" w:tentative="1">
      <w:start w:val="1"/>
      <w:numFmt w:val="bullet"/>
      <w:lvlText w:val="o"/>
      <w:lvlJc w:val="left"/>
      <w:pPr>
        <w:ind w:left="1473" w:hanging="360"/>
      </w:pPr>
      <w:rPr>
        <w:rFonts w:hint="default" w:ascii="Courier New" w:hAnsi="Courier New" w:cs="Courier New"/>
      </w:rPr>
    </w:lvl>
    <w:lvl w:ilvl="2" w:tplc="08160005" w:tentative="1">
      <w:start w:val="1"/>
      <w:numFmt w:val="bullet"/>
      <w:lvlText w:val=""/>
      <w:lvlJc w:val="left"/>
      <w:pPr>
        <w:ind w:left="2193" w:hanging="360"/>
      </w:pPr>
      <w:rPr>
        <w:rFonts w:hint="default" w:ascii="Wingdings" w:hAnsi="Wingdings"/>
      </w:rPr>
    </w:lvl>
    <w:lvl w:ilvl="3" w:tplc="08160001" w:tentative="1">
      <w:start w:val="1"/>
      <w:numFmt w:val="bullet"/>
      <w:lvlText w:val=""/>
      <w:lvlJc w:val="left"/>
      <w:pPr>
        <w:ind w:left="2913" w:hanging="360"/>
      </w:pPr>
      <w:rPr>
        <w:rFonts w:hint="default" w:ascii="Symbol" w:hAnsi="Symbol"/>
      </w:rPr>
    </w:lvl>
    <w:lvl w:ilvl="4" w:tplc="08160003" w:tentative="1">
      <w:start w:val="1"/>
      <w:numFmt w:val="bullet"/>
      <w:lvlText w:val="o"/>
      <w:lvlJc w:val="left"/>
      <w:pPr>
        <w:ind w:left="3633" w:hanging="360"/>
      </w:pPr>
      <w:rPr>
        <w:rFonts w:hint="default" w:ascii="Courier New" w:hAnsi="Courier New" w:cs="Courier New"/>
      </w:rPr>
    </w:lvl>
    <w:lvl w:ilvl="5" w:tplc="08160005" w:tentative="1">
      <w:start w:val="1"/>
      <w:numFmt w:val="bullet"/>
      <w:lvlText w:val=""/>
      <w:lvlJc w:val="left"/>
      <w:pPr>
        <w:ind w:left="4353" w:hanging="360"/>
      </w:pPr>
      <w:rPr>
        <w:rFonts w:hint="default" w:ascii="Wingdings" w:hAnsi="Wingdings"/>
      </w:rPr>
    </w:lvl>
    <w:lvl w:ilvl="6" w:tplc="08160001" w:tentative="1">
      <w:start w:val="1"/>
      <w:numFmt w:val="bullet"/>
      <w:lvlText w:val=""/>
      <w:lvlJc w:val="left"/>
      <w:pPr>
        <w:ind w:left="5073" w:hanging="360"/>
      </w:pPr>
      <w:rPr>
        <w:rFonts w:hint="default" w:ascii="Symbol" w:hAnsi="Symbol"/>
      </w:rPr>
    </w:lvl>
    <w:lvl w:ilvl="7" w:tplc="08160003" w:tentative="1">
      <w:start w:val="1"/>
      <w:numFmt w:val="bullet"/>
      <w:lvlText w:val="o"/>
      <w:lvlJc w:val="left"/>
      <w:pPr>
        <w:ind w:left="5793" w:hanging="360"/>
      </w:pPr>
      <w:rPr>
        <w:rFonts w:hint="default" w:ascii="Courier New" w:hAnsi="Courier New" w:cs="Courier New"/>
      </w:rPr>
    </w:lvl>
    <w:lvl w:ilvl="8" w:tplc="08160005" w:tentative="1">
      <w:start w:val="1"/>
      <w:numFmt w:val="bullet"/>
      <w:lvlText w:val=""/>
      <w:lvlJc w:val="left"/>
      <w:pPr>
        <w:ind w:left="6513" w:hanging="360"/>
      </w:pPr>
      <w:rPr>
        <w:rFonts w:hint="default" w:ascii="Wingdings" w:hAnsi="Wingdings"/>
      </w:rPr>
    </w:lvl>
  </w:abstractNum>
  <w:abstractNum w:abstractNumId="164" w15:restartNumberingAfterBreak="0">
    <w:nsid w:val="5D387742"/>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E3F52BA"/>
    <w:multiLevelType w:val="hybridMultilevel"/>
    <w:tmpl w:val="2462250C"/>
    <w:lvl w:ilvl="0" w:tplc="895E822A">
      <w:start w:val="1"/>
      <w:numFmt w:val="decimal"/>
      <w:lvlText w:val="%1."/>
      <w:lvlJc w:val="left"/>
      <w:pPr>
        <w:ind w:left="530" w:hanging="445"/>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166" w15:restartNumberingAfterBreak="0">
    <w:nsid w:val="5EEF3CC7"/>
    <w:multiLevelType w:val="hybridMultilevel"/>
    <w:tmpl w:val="D3001D84"/>
    <w:lvl w:ilvl="0" w:tplc="BE2C372A">
      <w:start w:val="1"/>
      <w:numFmt w:val="bullet"/>
      <w:lvlText w:val="-"/>
      <w:lvlJc w:val="left"/>
      <w:pPr>
        <w:ind w:left="720" w:hanging="360"/>
      </w:pPr>
      <w:rPr>
        <w:rFonts w:hint="default" w:ascii="&quot;Calibri&quot;,sans-serif" w:hAnsi="&quot;Calibri&quot;,sans-serif"/>
      </w:rPr>
    </w:lvl>
    <w:lvl w:ilvl="1" w:tplc="BE7C4842">
      <w:start w:val="1"/>
      <w:numFmt w:val="bullet"/>
      <w:lvlText w:val="o"/>
      <w:lvlJc w:val="left"/>
      <w:pPr>
        <w:ind w:left="1440" w:hanging="360"/>
      </w:pPr>
      <w:rPr>
        <w:rFonts w:hint="default" w:ascii="Courier New" w:hAnsi="Courier New"/>
      </w:rPr>
    </w:lvl>
    <w:lvl w:ilvl="2" w:tplc="A0BE2BDA">
      <w:start w:val="1"/>
      <w:numFmt w:val="bullet"/>
      <w:lvlText w:val=""/>
      <w:lvlJc w:val="left"/>
      <w:pPr>
        <w:ind w:left="2160" w:hanging="360"/>
      </w:pPr>
      <w:rPr>
        <w:rFonts w:hint="default" w:ascii="Wingdings" w:hAnsi="Wingdings"/>
      </w:rPr>
    </w:lvl>
    <w:lvl w:ilvl="3" w:tplc="A7EECF48">
      <w:start w:val="1"/>
      <w:numFmt w:val="bullet"/>
      <w:lvlText w:val=""/>
      <w:lvlJc w:val="left"/>
      <w:pPr>
        <w:ind w:left="2880" w:hanging="360"/>
      </w:pPr>
      <w:rPr>
        <w:rFonts w:hint="default" w:ascii="Symbol" w:hAnsi="Symbol"/>
      </w:rPr>
    </w:lvl>
    <w:lvl w:ilvl="4" w:tplc="B8C041BE">
      <w:start w:val="1"/>
      <w:numFmt w:val="bullet"/>
      <w:lvlText w:val="o"/>
      <w:lvlJc w:val="left"/>
      <w:pPr>
        <w:ind w:left="3600" w:hanging="360"/>
      </w:pPr>
      <w:rPr>
        <w:rFonts w:hint="default" w:ascii="Courier New" w:hAnsi="Courier New"/>
      </w:rPr>
    </w:lvl>
    <w:lvl w:ilvl="5" w:tplc="6D688C50">
      <w:start w:val="1"/>
      <w:numFmt w:val="bullet"/>
      <w:lvlText w:val=""/>
      <w:lvlJc w:val="left"/>
      <w:pPr>
        <w:ind w:left="4320" w:hanging="360"/>
      </w:pPr>
      <w:rPr>
        <w:rFonts w:hint="default" w:ascii="Wingdings" w:hAnsi="Wingdings"/>
      </w:rPr>
    </w:lvl>
    <w:lvl w:ilvl="6" w:tplc="64602E00">
      <w:start w:val="1"/>
      <w:numFmt w:val="bullet"/>
      <w:lvlText w:val=""/>
      <w:lvlJc w:val="left"/>
      <w:pPr>
        <w:ind w:left="5040" w:hanging="360"/>
      </w:pPr>
      <w:rPr>
        <w:rFonts w:hint="default" w:ascii="Symbol" w:hAnsi="Symbol"/>
      </w:rPr>
    </w:lvl>
    <w:lvl w:ilvl="7" w:tplc="19B0B4E2">
      <w:start w:val="1"/>
      <w:numFmt w:val="bullet"/>
      <w:lvlText w:val="o"/>
      <w:lvlJc w:val="left"/>
      <w:pPr>
        <w:ind w:left="5760" w:hanging="360"/>
      </w:pPr>
      <w:rPr>
        <w:rFonts w:hint="default" w:ascii="Courier New" w:hAnsi="Courier New"/>
      </w:rPr>
    </w:lvl>
    <w:lvl w:ilvl="8" w:tplc="B8286664">
      <w:start w:val="1"/>
      <w:numFmt w:val="bullet"/>
      <w:lvlText w:val=""/>
      <w:lvlJc w:val="left"/>
      <w:pPr>
        <w:ind w:left="6480" w:hanging="360"/>
      </w:pPr>
      <w:rPr>
        <w:rFonts w:hint="default" w:ascii="Wingdings" w:hAnsi="Wingdings"/>
      </w:rPr>
    </w:lvl>
  </w:abstractNum>
  <w:abstractNum w:abstractNumId="167" w15:restartNumberingAfterBreak="0">
    <w:nsid w:val="5F406C4C"/>
    <w:multiLevelType w:val="hybridMultilevel"/>
    <w:tmpl w:val="DF5C70F0"/>
    <w:lvl w:ilvl="0" w:tplc="42900518">
      <w:start w:val="1"/>
      <w:numFmt w:val="bullet"/>
      <w:lvlText w:val="·"/>
      <w:lvlJc w:val="left"/>
      <w:pPr>
        <w:ind w:left="720" w:hanging="360"/>
      </w:pPr>
      <w:rPr>
        <w:rFonts w:hint="default" w:ascii="Symbol" w:hAnsi="Symbol"/>
      </w:rPr>
    </w:lvl>
    <w:lvl w:ilvl="1" w:tplc="CC5A2C74">
      <w:start w:val="1"/>
      <w:numFmt w:val="bullet"/>
      <w:lvlText w:val="o"/>
      <w:lvlJc w:val="left"/>
      <w:pPr>
        <w:ind w:left="1440" w:hanging="360"/>
      </w:pPr>
      <w:rPr>
        <w:rFonts w:hint="default" w:ascii="Courier New" w:hAnsi="Courier New"/>
      </w:rPr>
    </w:lvl>
    <w:lvl w:ilvl="2" w:tplc="C0F0541E">
      <w:start w:val="1"/>
      <w:numFmt w:val="bullet"/>
      <w:lvlText w:val=""/>
      <w:lvlJc w:val="left"/>
      <w:pPr>
        <w:ind w:left="2160" w:hanging="360"/>
      </w:pPr>
      <w:rPr>
        <w:rFonts w:hint="default" w:ascii="Wingdings" w:hAnsi="Wingdings"/>
      </w:rPr>
    </w:lvl>
    <w:lvl w:ilvl="3" w:tplc="5FC6AD28">
      <w:start w:val="1"/>
      <w:numFmt w:val="bullet"/>
      <w:lvlText w:val=""/>
      <w:lvlJc w:val="left"/>
      <w:pPr>
        <w:ind w:left="2880" w:hanging="360"/>
      </w:pPr>
      <w:rPr>
        <w:rFonts w:hint="default" w:ascii="Symbol" w:hAnsi="Symbol"/>
      </w:rPr>
    </w:lvl>
    <w:lvl w:ilvl="4" w:tplc="6D92DB8C">
      <w:start w:val="1"/>
      <w:numFmt w:val="bullet"/>
      <w:lvlText w:val="o"/>
      <w:lvlJc w:val="left"/>
      <w:pPr>
        <w:ind w:left="3600" w:hanging="360"/>
      </w:pPr>
      <w:rPr>
        <w:rFonts w:hint="default" w:ascii="Courier New" w:hAnsi="Courier New"/>
      </w:rPr>
    </w:lvl>
    <w:lvl w:ilvl="5" w:tplc="360499D4">
      <w:start w:val="1"/>
      <w:numFmt w:val="bullet"/>
      <w:lvlText w:val=""/>
      <w:lvlJc w:val="left"/>
      <w:pPr>
        <w:ind w:left="4320" w:hanging="360"/>
      </w:pPr>
      <w:rPr>
        <w:rFonts w:hint="default" w:ascii="Wingdings" w:hAnsi="Wingdings"/>
      </w:rPr>
    </w:lvl>
    <w:lvl w:ilvl="6" w:tplc="DB087B5A">
      <w:start w:val="1"/>
      <w:numFmt w:val="bullet"/>
      <w:lvlText w:val=""/>
      <w:lvlJc w:val="left"/>
      <w:pPr>
        <w:ind w:left="5040" w:hanging="360"/>
      </w:pPr>
      <w:rPr>
        <w:rFonts w:hint="default" w:ascii="Symbol" w:hAnsi="Symbol"/>
      </w:rPr>
    </w:lvl>
    <w:lvl w:ilvl="7" w:tplc="9894D160">
      <w:start w:val="1"/>
      <w:numFmt w:val="bullet"/>
      <w:lvlText w:val="o"/>
      <w:lvlJc w:val="left"/>
      <w:pPr>
        <w:ind w:left="5760" w:hanging="360"/>
      </w:pPr>
      <w:rPr>
        <w:rFonts w:hint="default" w:ascii="Courier New" w:hAnsi="Courier New"/>
      </w:rPr>
    </w:lvl>
    <w:lvl w:ilvl="8" w:tplc="D1264484">
      <w:start w:val="1"/>
      <w:numFmt w:val="bullet"/>
      <w:lvlText w:val=""/>
      <w:lvlJc w:val="left"/>
      <w:pPr>
        <w:ind w:left="6480" w:hanging="360"/>
      </w:pPr>
      <w:rPr>
        <w:rFonts w:hint="default" w:ascii="Wingdings" w:hAnsi="Wingdings"/>
      </w:rPr>
    </w:lvl>
  </w:abstractNum>
  <w:abstractNum w:abstractNumId="168" w15:restartNumberingAfterBreak="0">
    <w:nsid w:val="5FAD3D08"/>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9" w15:restartNumberingAfterBreak="0">
    <w:nsid w:val="605147A2"/>
    <w:multiLevelType w:val="hybridMultilevel"/>
    <w:tmpl w:val="AFF86D02"/>
    <w:lvl w:ilvl="0" w:tplc="41D287EE">
      <w:start w:val="1"/>
      <w:numFmt w:val="decimal"/>
      <w:lvlText w:val="%1."/>
      <w:lvlJc w:val="left"/>
      <w:pPr>
        <w:ind w:left="720" w:hanging="360"/>
      </w:pPr>
    </w:lvl>
    <w:lvl w:ilvl="1" w:tplc="40C64530">
      <w:start w:val="1"/>
      <w:numFmt w:val="decimal"/>
      <w:lvlText w:val="%2."/>
      <w:lvlJc w:val="left"/>
      <w:pPr>
        <w:ind w:left="1440" w:hanging="360"/>
      </w:pPr>
    </w:lvl>
    <w:lvl w:ilvl="2" w:tplc="A0206DEE">
      <w:start w:val="1"/>
      <w:numFmt w:val="lowerRoman"/>
      <w:lvlText w:val="%3."/>
      <w:lvlJc w:val="right"/>
      <w:pPr>
        <w:ind w:left="2160" w:hanging="180"/>
      </w:pPr>
    </w:lvl>
    <w:lvl w:ilvl="3" w:tplc="D2301244">
      <w:start w:val="1"/>
      <w:numFmt w:val="decimal"/>
      <w:lvlText w:val="%4."/>
      <w:lvlJc w:val="left"/>
      <w:pPr>
        <w:ind w:left="2880" w:hanging="360"/>
      </w:pPr>
    </w:lvl>
    <w:lvl w:ilvl="4" w:tplc="0D4679E8">
      <w:start w:val="1"/>
      <w:numFmt w:val="lowerLetter"/>
      <w:lvlText w:val="%5."/>
      <w:lvlJc w:val="left"/>
      <w:pPr>
        <w:ind w:left="3600" w:hanging="360"/>
      </w:pPr>
    </w:lvl>
    <w:lvl w:ilvl="5" w:tplc="485ED0D8">
      <w:start w:val="1"/>
      <w:numFmt w:val="lowerRoman"/>
      <w:lvlText w:val="%6."/>
      <w:lvlJc w:val="right"/>
      <w:pPr>
        <w:ind w:left="4320" w:hanging="180"/>
      </w:pPr>
    </w:lvl>
    <w:lvl w:ilvl="6" w:tplc="9CE0A61C">
      <w:start w:val="1"/>
      <w:numFmt w:val="decimal"/>
      <w:lvlText w:val="%7."/>
      <w:lvlJc w:val="left"/>
      <w:pPr>
        <w:ind w:left="5040" w:hanging="360"/>
      </w:pPr>
    </w:lvl>
    <w:lvl w:ilvl="7" w:tplc="EF92423A">
      <w:start w:val="1"/>
      <w:numFmt w:val="lowerLetter"/>
      <w:lvlText w:val="%8."/>
      <w:lvlJc w:val="left"/>
      <w:pPr>
        <w:ind w:left="5760" w:hanging="360"/>
      </w:pPr>
    </w:lvl>
    <w:lvl w:ilvl="8" w:tplc="1F0EAEDC">
      <w:start w:val="1"/>
      <w:numFmt w:val="lowerRoman"/>
      <w:lvlText w:val="%9."/>
      <w:lvlJc w:val="right"/>
      <w:pPr>
        <w:ind w:left="6480" w:hanging="180"/>
      </w:pPr>
    </w:lvl>
  </w:abstractNum>
  <w:abstractNum w:abstractNumId="170" w15:restartNumberingAfterBreak="0">
    <w:nsid w:val="606D78C4"/>
    <w:multiLevelType w:val="hybridMultilevel"/>
    <w:tmpl w:val="FFFFFFFF"/>
    <w:lvl w:ilvl="0" w:tplc="84762456">
      <w:start w:val="1"/>
      <w:numFmt w:val="decimal"/>
      <w:lvlText w:val="%1."/>
      <w:lvlJc w:val="left"/>
      <w:pPr>
        <w:ind w:left="720" w:hanging="360"/>
      </w:pPr>
    </w:lvl>
    <w:lvl w:ilvl="1" w:tplc="499E7F82">
      <w:start w:val="1"/>
      <w:numFmt w:val="lowerLetter"/>
      <w:lvlText w:val="%2."/>
      <w:lvlJc w:val="left"/>
      <w:pPr>
        <w:ind w:left="1440" w:hanging="360"/>
      </w:pPr>
    </w:lvl>
    <w:lvl w:ilvl="2" w:tplc="3B5E071A">
      <w:start w:val="1"/>
      <w:numFmt w:val="lowerRoman"/>
      <w:lvlText w:val="%3."/>
      <w:lvlJc w:val="right"/>
      <w:pPr>
        <w:ind w:left="2160" w:hanging="180"/>
      </w:pPr>
    </w:lvl>
    <w:lvl w:ilvl="3" w:tplc="B0763120">
      <w:start w:val="1"/>
      <w:numFmt w:val="decimal"/>
      <w:lvlText w:val="%4."/>
      <w:lvlJc w:val="left"/>
      <w:pPr>
        <w:ind w:left="2880" w:hanging="360"/>
      </w:pPr>
    </w:lvl>
    <w:lvl w:ilvl="4" w:tplc="EB9EABC2">
      <w:start w:val="1"/>
      <w:numFmt w:val="lowerLetter"/>
      <w:lvlText w:val="%5."/>
      <w:lvlJc w:val="left"/>
      <w:pPr>
        <w:ind w:left="3600" w:hanging="360"/>
      </w:pPr>
    </w:lvl>
    <w:lvl w:ilvl="5" w:tplc="D228C230">
      <w:start w:val="1"/>
      <w:numFmt w:val="lowerRoman"/>
      <w:lvlText w:val="%6."/>
      <w:lvlJc w:val="right"/>
      <w:pPr>
        <w:ind w:left="4320" w:hanging="180"/>
      </w:pPr>
    </w:lvl>
    <w:lvl w:ilvl="6" w:tplc="599ABA50">
      <w:start w:val="1"/>
      <w:numFmt w:val="decimal"/>
      <w:lvlText w:val="%7."/>
      <w:lvlJc w:val="left"/>
      <w:pPr>
        <w:ind w:left="5040" w:hanging="360"/>
      </w:pPr>
    </w:lvl>
    <w:lvl w:ilvl="7" w:tplc="1DA6DAC0">
      <w:start w:val="1"/>
      <w:numFmt w:val="lowerLetter"/>
      <w:lvlText w:val="%8."/>
      <w:lvlJc w:val="left"/>
      <w:pPr>
        <w:ind w:left="5760" w:hanging="360"/>
      </w:pPr>
    </w:lvl>
    <w:lvl w:ilvl="8" w:tplc="ACCEC848">
      <w:start w:val="1"/>
      <w:numFmt w:val="lowerRoman"/>
      <w:lvlText w:val="%9."/>
      <w:lvlJc w:val="right"/>
      <w:pPr>
        <w:ind w:left="6480" w:hanging="180"/>
      </w:pPr>
    </w:lvl>
  </w:abstractNum>
  <w:abstractNum w:abstractNumId="171" w15:restartNumberingAfterBreak="0">
    <w:nsid w:val="607415E9"/>
    <w:multiLevelType w:val="hybridMultilevel"/>
    <w:tmpl w:val="5E4E3CA0"/>
    <w:lvl w:ilvl="0" w:tplc="A7D4F840">
      <w:start w:val="40"/>
      <w:numFmt w:val="bullet"/>
      <w:lvlText w:val="-"/>
      <w:lvlJc w:val="left"/>
      <w:pPr>
        <w:ind w:left="720" w:hanging="360"/>
      </w:pPr>
      <w:rPr>
        <w:rFonts w:hint="default" w:ascii="Verdana" w:hAnsi="Verdana"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2" w15:restartNumberingAfterBreak="0">
    <w:nsid w:val="60AE4036"/>
    <w:multiLevelType w:val="hybridMultilevel"/>
    <w:tmpl w:val="24AEA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3" w15:restartNumberingAfterBreak="0">
    <w:nsid w:val="624A7553"/>
    <w:multiLevelType w:val="hybridMultilevel"/>
    <w:tmpl w:val="7B54DAD4"/>
    <w:lvl w:ilvl="0" w:tplc="0972CC78">
      <w:start w:val="1"/>
      <w:numFmt w:val="lowerRoman"/>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74" w15:restartNumberingAfterBreak="0">
    <w:nsid w:val="62DE286D"/>
    <w:multiLevelType w:val="hybridMultilevel"/>
    <w:tmpl w:val="389AC0F2"/>
    <w:lvl w:ilvl="0" w:tplc="7BBAF134">
      <w:start w:val="3"/>
      <w:numFmt w:val="bullet"/>
      <w:lvlText w:val="-"/>
      <w:lvlJc w:val="left"/>
      <w:pPr>
        <w:ind w:left="717" w:hanging="360"/>
      </w:pPr>
      <w:rPr>
        <w:rFonts w:hint="default" w:ascii="Calibri" w:hAnsi="Calibri" w:cs="Calibri" w:eastAsiaTheme="minorEastAsia"/>
        <w:spacing w:val="0"/>
      </w:rPr>
    </w:lvl>
    <w:lvl w:ilvl="1" w:tplc="04090001">
      <w:start w:val="1"/>
      <w:numFmt w:val="bullet"/>
      <w:lvlText w:val=""/>
      <w:lvlJc w:val="left"/>
      <w:pPr>
        <w:ind w:left="1437" w:hanging="360"/>
      </w:pPr>
      <w:rPr>
        <w:rFonts w:hint="default" w:ascii="Symbol" w:hAnsi="Symbol"/>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5" w15:restartNumberingAfterBreak="0">
    <w:nsid w:val="62FB77AD"/>
    <w:multiLevelType w:val="hybridMultilevel"/>
    <w:tmpl w:val="6E2C0A1C"/>
    <w:lvl w:ilvl="0" w:tplc="71A2B31C">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6" w15:restartNumberingAfterBreak="0">
    <w:nsid w:val="639A5964"/>
    <w:multiLevelType w:val="hybridMultilevel"/>
    <w:tmpl w:val="FFFFFFFF"/>
    <w:lvl w:ilvl="0" w:tplc="35D0D0A0">
      <w:start w:val="1"/>
      <w:numFmt w:val="decimal"/>
      <w:lvlText w:val="%1."/>
      <w:lvlJc w:val="left"/>
      <w:pPr>
        <w:ind w:left="720" w:hanging="360"/>
      </w:pPr>
    </w:lvl>
    <w:lvl w:ilvl="1" w:tplc="0340239E">
      <w:start w:val="1"/>
      <w:numFmt w:val="decimal"/>
      <w:lvlText w:val="%2."/>
      <w:lvlJc w:val="left"/>
      <w:pPr>
        <w:ind w:left="1440" w:hanging="360"/>
      </w:pPr>
    </w:lvl>
    <w:lvl w:ilvl="2" w:tplc="ADBCB3D6">
      <w:start w:val="1"/>
      <w:numFmt w:val="lowerRoman"/>
      <w:lvlText w:val="%3."/>
      <w:lvlJc w:val="right"/>
      <w:pPr>
        <w:ind w:left="2160" w:hanging="180"/>
      </w:pPr>
    </w:lvl>
    <w:lvl w:ilvl="3" w:tplc="CF2EB4F8">
      <w:start w:val="1"/>
      <w:numFmt w:val="decimal"/>
      <w:lvlText w:val="%4."/>
      <w:lvlJc w:val="left"/>
      <w:pPr>
        <w:ind w:left="2880" w:hanging="360"/>
      </w:pPr>
    </w:lvl>
    <w:lvl w:ilvl="4" w:tplc="FD20740A">
      <w:start w:val="1"/>
      <w:numFmt w:val="lowerLetter"/>
      <w:lvlText w:val="%5."/>
      <w:lvlJc w:val="left"/>
      <w:pPr>
        <w:ind w:left="3600" w:hanging="360"/>
      </w:pPr>
    </w:lvl>
    <w:lvl w:ilvl="5" w:tplc="3F143DEE">
      <w:start w:val="1"/>
      <w:numFmt w:val="lowerRoman"/>
      <w:lvlText w:val="%6."/>
      <w:lvlJc w:val="right"/>
      <w:pPr>
        <w:ind w:left="4320" w:hanging="180"/>
      </w:pPr>
    </w:lvl>
    <w:lvl w:ilvl="6" w:tplc="4F1C5B8C">
      <w:start w:val="1"/>
      <w:numFmt w:val="decimal"/>
      <w:lvlText w:val="%7."/>
      <w:lvlJc w:val="left"/>
      <w:pPr>
        <w:ind w:left="5040" w:hanging="360"/>
      </w:pPr>
    </w:lvl>
    <w:lvl w:ilvl="7" w:tplc="81AC4C5C">
      <w:start w:val="1"/>
      <w:numFmt w:val="lowerLetter"/>
      <w:lvlText w:val="%8."/>
      <w:lvlJc w:val="left"/>
      <w:pPr>
        <w:ind w:left="5760" w:hanging="360"/>
      </w:pPr>
    </w:lvl>
    <w:lvl w:ilvl="8" w:tplc="E3328D54">
      <w:start w:val="1"/>
      <w:numFmt w:val="lowerRoman"/>
      <w:lvlText w:val="%9."/>
      <w:lvlJc w:val="right"/>
      <w:pPr>
        <w:ind w:left="6480" w:hanging="180"/>
      </w:pPr>
    </w:lvl>
  </w:abstractNum>
  <w:abstractNum w:abstractNumId="177" w15:restartNumberingAfterBreak="0">
    <w:nsid w:val="63C9723A"/>
    <w:multiLevelType w:val="hybridMultilevel"/>
    <w:tmpl w:val="E7289BFA"/>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8" w15:restartNumberingAfterBreak="0">
    <w:nsid w:val="65D310CE"/>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9" w15:restartNumberingAfterBreak="0">
    <w:nsid w:val="65DF7145"/>
    <w:multiLevelType w:val="hybridMultilevel"/>
    <w:tmpl w:val="51B886C4"/>
    <w:lvl w:ilvl="0" w:tplc="A7BA0830">
      <w:start w:val="1"/>
      <w:numFmt w:val="bullet"/>
      <w:lvlText w:val="·"/>
      <w:lvlJc w:val="left"/>
      <w:pPr>
        <w:ind w:left="720" w:hanging="360"/>
      </w:pPr>
      <w:rPr>
        <w:rFonts w:hint="default" w:ascii="Symbol" w:hAnsi="Symbol"/>
      </w:rPr>
    </w:lvl>
    <w:lvl w:ilvl="1" w:tplc="841A7C6C">
      <w:start w:val="1"/>
      <w:numFmt w:val="bullet"/>
      <w:lvlText w:val="o"/>
      <w:lvlJc w:val="left"/>
      <w:pPr>
        <w:ind w:left="1440" w:hanging="360"/>
      </w:pPr>
      <w:rPr>
        <w:rFonts w:hint="default" w:ascii="Courier New" w:hAnsi="Courier New"/>
      </w:rPr>
    </w:lvl>
    <w:lvl w:ilvl="2" w:tplc="C1485DFA">
      <w:start w:val="1"/>
      <w:numFmt w:val="bullet"/>
      <w:lvlText w:val=""/>
      <w:lvlJc w:val="left"/>
      <w:pPr>
        <w:ind w:left="2160" w:hanging="360"/>
      </w:pPr>
      <w:rPr>
        <w:rFonts w:hint="default" w:ascii="Wingdings" w:hAnsi="Wingdings"/>
      </w:rPr>
    </w:lvl>
    <w:lvl w:ilvl="3" w:tplc="CFD016BC">
      <w:start w:val="1"/>
      <w:numFmt w:val="bullet"/>
      <w:lvlText w:val=""/>
      <w:lvlJc w:val="left"/>
      <w:pPr>
        <w:ind w:left="2880" w:hanging="360"/>
      </w:pPr>
      <w:rPr>
        <w:rFonts w:hint="default" w:ascii="Symbol" w:hAnsi="Symbol"/>
      </w:rPr>
    </w:lvl>
    <w:lvl w:ilvl="4" w:tplc="7452F5DE">
      <w:start w:val="1"/>
      <w:numFmt w:val="bullet"/>
      <w:lvlText w:val="o"/>
      <w:lvlJc w:val="left"/>
      <w:pPr>
        <w:ind w:left="3600" w:hanging="360"/>
      </w:pPr>
      <w:rPr>
        <w:rFonts w:hint="default" w:ascii="Courier New" w:hAnsi="Courier New"/>
      </w:rPr>
    </w:lvl>
    <w:lvl w:ilvl="5" w:tplc="D090D416">
      <w:start w:val="1"/>
      <w:numFmt w:val="bullet"/>
      <w:lvlText w:val=""/>
      <w:lvlJc w:val="left"/>
      <w:pPr>
        <w:ind w:left="4320" w:hanging="360"/>
      </w:pPr>
      <w:rPr>
        <w:rFonts w:hint="default" w:ascii="Wingdings" w:hAnsi="Wingdings"/>
      </w:rPr>
    </w:lvl>
    <w:lvl w:ilvl="6" w:tplc="C6F64E60">
      <w:start w:val="1"/>
      <w:numFmt w:val="bullet"/>
      <w:lvlText w:val=""/>
      <w:lvlJc w:val="left"/>
      <w:pPr>
        <w:ind w:left="5040" w:hanging="360"/>
      </w:pPr>
      <w:rPr>
        <w:rFonts w:hint="default" w:ascii="Symbol" w:hAnsi="Symbol"/>
      </w:rPr>
    </w:lvl>
    <w:lvl w:ilvl="7" w:tplc="40F66C10">
      <w:start w:val="1"/>
      <w:numFmt w:val="bullet"/>
      <w:lvlText w:val="o"/>
      <w:lvlJc w:val="left"/>
      <w:pPr>
        <w:ind w:left="5760" w:hanging="360"/>
      </w:pPr>
      <w:rPr>
        <w:rFonts w:hint="default" w:ascii="Courier New" w:hAnsi="Courier New"/>
      </w:rPr>
    </w:lvl>
    <w:lvl w:ilvl="8" w:tplc="3EB05E98">
      <w:start w:val="1"/>
      <w:numFmt w:val="bullet"/>
      <w:lvlText w:val=""/>
      <w:lvlJc w:val="left"/>
      <w:pPr>
        <w:ind w:left="6480" w:hanging="360"/>
      </w:pPr>
      <w:rPr>
        <w:rFonts w:hint="default" w:ascii="Wingdings" w:hAnsi="Wingdings"/>
      </w:rPr>
    </w:lvl>
  </w:abstractNum>
  <w:abstractNum w:abstractNumId="180" w15:restartNumberingAfterBreak="0">
    <w:nsid w:val="67045AA4"/>
    <w:multiLevelType w:val="hybridMultilevel"/>
    <w:tmpl w:val="FE3265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67A85384"/>
    <w:multiLevelType w:val="hybridMultilevel"/>
    <w:tmpl w:val="FFFFFFFF"/>
    <w:lvl w:ilvl="0" w:tplc="7F426448">
      <w:start w:val="1"/>
      <w:numFmt w:val="bullet"/>
      <w:lvlText w:val="·"/>
      <w:lvlJc w:val="left"/>
      <w:pPr>
        <w:ind w:left="720" w:hanging="360"/>
      </w:pPr>
      <w:rPr>
        <w:rFonts w:hint="default" w:ascii="Symbol" w:hAnsi="Symbol"/>
      </w:rPr>
    </w:lvl>
    <w:lvl w:ilvl="1" w:tplc="ABE06104">
      <w:start w:val="1"/>
      <w:numFmt w:val="bullet"/>
      <w:lvlText w:val="o"/>
      <w:lvlJc w:val="left"/>
      <w:pPr>
        <w:ind w:left="1440" w:hanging="360"/>
      </w:pPr>
      <w:rPr>
        <w:rFonts w:hint="default" w:ascii="Courier New" w:hAnsi="Courier New"/>
      </w:rPr>
    </w:lvl>
    <w:lvl w:ilvl="2" w:tplc="2E9A1BB2">
      <w:start w:val="1"/>
      <w:numFmt w:val="bullet"/>
      <w:lvlText w:val=""/>
      <w:lvlJc w:val="left"/>
      <w:pPr>
        <w:ind w:left="2160" w:hanging="360"/>
      </w:pPr>
      <w:rPr>
        <w:rFonts w:hint="default" w:ascii="Wingdings" w:hAnsi="Wingdings"/>
      </w:rPr>
    </w:lvl>
    <w:lvl w:ilvl="3" w:tplc="D674A232">
      <w:start w:val="1"/>
      <w:numFmt w:val="bullet"/>
      <w:lvlText w:val=""/>
      <w:lvlJc w:val="left"/>
      <w:pPr>
        <w:ind w:left="2880" w:hanging="360"/>
      </w:pPr>
      <w:rPr>
        <w:rFonts w:hint="default" w:ascii="Symbol" w:hAnsi="Symbol"/>
      </w:rPr>
    </w:lvl>
    <w:lvl w:ilvl="4" w:tplc="C832CA3A">
      <w:start w:val="1"/>
      <w:numFmt w:val="bullet"/>
      <w:lvlText w:val="o"/>
      <w:lvlJc w:val="left"/>
      <w:pPr>
        <w:ind w:left="3600" w:hanging="360"/>
      </w:pPr>
      <w:rPr>
        <w:rFonts w:hint="default" w:ascii="Courier New" w:hAnsi="Courier New"/>
      </w:rPr>
    </w:lvl>
    <w:lvl w:ilvl="5" w:tplc="C6842834">
      <w:start w:val="1"/>
      <w:numFmt w:val="bullet"/>
      <w:lvlText w:val=""/>
      <w:lvlJc w:val="left"/>
      <w:pPr>
        <w:ind w:left="4320" w:hanging="360"/>
      </w:pPr>
      <w:rPr>
        <w:rFonts w:hint="default" w:ascii="Wingdings" w:hAnsi="Wingdings"/>
      </w:rPr>
    </w:lvl>
    <w:lvl w:ilvl="6" w:tplc="CD54CCD4">
      <w:start w:val="1"/>
      <w:numFmt w:val="bullet"/>
      <w:lvlText w:val=""/>
      <w:lvlJc w:val="left"/>
      <w:pPr>
        <w:ind w:left="5040" w:hanging="360"/>
      </w:pPr>
      <w:rPr>
        <w:rFonts w:hint="default" w:ascii="Symbol" w:hAnsi="Symbol"/>
      </w:rPr>
    </w:lvl>
    <w:lvl w:ilvl="7" w:tplc="8D44EEBE">
      <w:start w:val="1"/>
      <w:numFmt w:val="bullet"/>
      <w:lvlText w:val="o"/>
      <w:lvlJc w:val="left"/>
      <w:pPr>
        <w:ind w:left="5760" w:hanging="360"/>
      </w:pPr>
      <w:rPr>
        <w:rFonts w:hint="default" w:ascii="Courier New" w:hAnsi="Courier New"/>
      </w:rPr>
    </w:lvl>
    <w:lvl w:ilvl="8" w:tplc="A0A09D2A">
      <w:start w:val="1"/>
      <w:numFmt w:val="bullet"/>
      <w:lvlText w:val=""/>
      <w:lvlJc w:val="left"/>
      <w:pPr>
        <w:ind w:left="6480" w:hanging="360"/>
      </w:pPr>
      <w:rPr>
        <w:rFonts w:hint="default" w:ascii="Wingdings" w:hAnsi="Wingdings"/>
      </w:rPr>
    </w:lvl>
  </w:abstractNum>
  <w:abstractNum w:abstractNumId="182" w15:restartNumberingAfterBreak="0">
    <w:nsid w:val="67C006A5"/>
    <w:multiLevelType w:val="hybridMultilevel"/>
    <w:tmpl w:val="B73053C6"/>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805CBA54">
      <w:start w:val="45"/>
      <w:numFmt w:val="decimal"/>
      <w:lvlText w:val="%3)"/>
      <w:lvlJc w:val="left"/>
      <w:pPr>
        <w:ind w:left="2694" w:hanging="360"/>
      </w:pPr>
      <w:rPr>
        <w:rFonts w:hint="default" w:eastAsia="MS Mincho"/>
        <w:color w:val="auto"/>
      </w:rPr>
    </w:lvl>
    <w:lvl w:ilvl="3" w:tplc="343C732C">
      <w:start w:val="1"/>
      <w:numFmt w:val="lowerRoman"/>
      <w:lvlText w:val="(%4)"/>
      <w:lvlJc w:val="left"/>
      <w:pPr>
        <w:ind w:left="3594" w:hanging="720"/>
      </w:pPr>
      <w:rPr>
        <w:rFonts w:hint="default"/>
      </w:rPr>
    </w:lvl>
    <w:lvl w:ilvl="4" w:tplc="08090019">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3" w15:restartNumberingAfterBreak="0">
    <w:nsid w:val="68042957"/>
    <w:multiLevelType w:val="hybridMultilevel"/>
    <w:tmpl w:val="E064F45E"/>
    <w:lvl w:ilvl="0" w:tplc="5DE487A8">
      <w:start w:val="57"/>
      <w:numFmt w:val="decimal"/>
      <w:lvlText w:val="%1"/>
      <w:lvlJc w:val="left"/>
      <w:pPr>
        <w:ind w:left="720" w:hanging="360"/>
      </w:pPr>
      <w:rPr>
        <w:rFonts w:hint="default" w:eastAsia="MS Minch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8E30A57"/>
    <w:multiLevelType w:val="hybridMultilevel"/>
    <w:tmpl w:val="951021D0"/>
    <w:lvl w:ilvl="0" w:tplc="08AAAA54">
      <w:start w:val="1"/>
      <w:numFmt w:val="bullet"/>
      <w:lvlText w:val="·"/>
      <w:lvlJc w:val="left"/>
      <w:pPr>
        <w:ind w:left="720" w:hanging="360"/>
      </w:pPr>
    </w:lvl>
    <w:lvl w:ilvl="1" w:tplc="08090001">
      <w:start w:val="1"/>
      <w:numFmt w:val="bullet"/>
      <w:lvlText w:val=""/>
      <w:lvlJc w:val="left"/>
      <w:pPr>
        <w:ind w:left="1440" w:hanging="360"/>
      </w:pPr>
      <w:rPr>
        <w:rFonts w:hint="default" w:ascii="Symbol" w:hAnsi="Symbol"/>
      </w:rPr>
    </w:lvl>
    <w:lvl w:ilvl="2" w:tplc="F32A256C">
      <w:start w:val="1"/>
      <w:numFmt w:val="lowerRoman"/>
      <w:lvlText w:val="%3."/>
      <w:lvlJc w:val="right"/>
      <w:pPr>
        <w:ind w:left="2160" w:hanging="180"/>
      </w:pPr>
    </w:lvl>
    <w:lvl w:ilvl="3" w:tplc="E4646F38">
      <w:start w:val="1"/>
      <w:numFmt w:val="decimal"/>
      <w:lvlText w:val="%4."/>
      <w:lvlJc w:val="left"/>
      <w:pPr>
        <w:ind w:left="2880" w:hanging="360"/>
      </w:pPr>
    </w:lvl>
    <w:lvl w:ilvl="4" w:tplc="48BCA9D2">
      <w:start w:val="1"/>
      <w:numFmt w:val="lowerLetter"/>
      <w:lvlText w:val="%5."/>
      <w:lvlJc w:val="left"/>
      <w:pPr>
        <w:ind w:left="3600" w:hanging="360"/>
      </w:pPr>
    </w:lvl>
    <w:lvl w:ilvl="5" w:tplc="6BAACC24">
      <w:start w:val="1"/>
      <w:numFmt w:val="lowerRoman"/>
      <w:lvlText w:val="%6."/>
      <w:lvlJc w:val="right"/>
      <w:pPr>
        <w:ind w:left="4320" w:hanging="180"/>
      </w:pPr>
    </w:lvl>
    <w:lvl w:ilvl="6" w:tplc="276EF0A8">
      <w:start w:val="1"/>
      <w:numFmt w:val="decimal"/>
      <w:lvlText w:val="%7."/>
      <w:lvlJc w:val="left"/>
      <w:pPr>
        <w:ind w:left="5040" w:hanging="360"/>
      </w:pPr>
    </w:lvl>
    <w:lvl w:ilvl="7" w:tplc="E550DE5C">
      <w:start w:val="1"/>
      <w:numFmt w:val="lowerLetter"/>
      <w:lvlText w:val="%8."/>
      <w:lvlJc w:val="left"/>
      <w:pPr>
        <w:ind w:left="5760" w:hanging="360"/>
      </w:pPr>
    </w:lvl>
    <w:lvl w:ilvl="8" w:tplc="E83A813E">
      <w:start w:val="1"/>
      <w:numFmt w:val="lowerRoman"/>
      <w:lvlText w:val="%9."/>
      <w:lvlJc w:val="right"/>
      <w:pPr>
        <w:ind w:left="6480" w:hanging="180"/>
      </w:pPr>
    </w:lvl>
  </w:abstractNum>
  <w:abstractNum w:abstractNumId="185" w15:restartNumberingAfterBreak="0">
    <w:nsid w:val="690A652A"/>
    <w:multiLevelType w:val="hybridMultilevel"/>
    <w:tmpl w:val="FFFFFFFF"/>
    <w:lvl w:ilvl="0" w:tplc="B594A394">
      <w:start w:val="1"/>
      <w:numFmt w:val="decimal"/>
      <w:lvlText w:val="%1."/>
      <w:lvlJc w:val="left"/>
      <w:pPr>
        <w:ind w:left="720" w:hanging="360"/>
      </w:pPr>
    </w:lvl>
    <w:lvl w:ilvl="1" w:tplc="D9A4EDE4">
      <w:start w:val="1"/>
      <w:numFmt w:val="lowerLetter"/>
      <w:lvlText w:val="%2."/>
      <w:lvlJc w:val="left"/>
      <w:pPr>
        <w:ind w:left="1440" w:hanging="360"/>
      </w:pPr>
    </w:lvl>
    <w:lvl w:ilvl="2" w:tplc="069831A2">
      <w:start w:val="1"/>
      <w:numFmt w:val="lowerRoman"/>
      <w:lvlText w:val="%3."/>
      <w:lvlJc w:val="right"/>
      <w:pPr>
        <w:ind w:left="2160" w:hanging="180"/>
      </w:pPr>
    </w:lvl>
    <w:lvl w:ilvl="3" w:tplc="90F20FF4">
      <w:start w:val="1"/>
      <w:numFmt w:val="decimal"/>
      <w:lvlText w:val="%4."/>
      <w:lvlJc w:val="left"/>
      <w:pPr>
        <w:ind w:left="2880" w:hanging="360"/>
      </w:pPr>
    </w:lvl>
    <w:lvl w:ilvl="4" w:tplc="4418DAA4">
      <w:start w:val="1"/>
      <w:numFmt w:val="lowerLetter"/>
      <w:lvlText w:val="%5."/>
      <w:lvlJc w:val="left"/>
      <w:pPr>
        <w:ind w:left="3600" w:hanging="360"/>
      </w:pPr>
    </w:lvl>
    <w:lvl w:ilvl="5" w:tplc="7D968528">
      <w:start w:val="1"/>
      <w:numFmt w:val="lowerRoman"/>
      <w:lvlText w:val="%6."/>
      <w:lvlJc w:val="right"/>
      <w:pPr>
        <w:ind w:left="4320" w:hanging="180"/>
      </w:pPr>
    </w:lvl>
    <w:lvl w:ilvl="6" w:tplc="D980AA92">
      <w:start w:val="1"/>
      <w:numFmt w:val="decimal"/>
      <w:lvlText w:val="%7."/>
      <w:lvlJc w:val="left"/>
      <w:pPr>
        <w:ind w:left="5040" w:hanging="360"/>
      </w:pPr>
    </w:lvl>
    <w:lvl w:ilvl="7" w:tplc="438807A2">
      <w:start w:val="1"/>
      <w:numFmt w:val="lowerLetter"/>
      <w:lvlText w:val="%8."/>
      <w:lvlJc w:val="left"/>
      <w:pPr>
        <w:ind w:left="5760" w:hanging="360"/>
      </w:pPr>
    </w:lvl>
    <w:lvl w:ilvl="8" w:tplc="5052F44C">
      <w:start w:val="1"/>
      <w:numFmt w:val="lowerRoman"/>
      <w:lvlText w:val="%9."/>
      <w:lvlJc w:val="right"/>
      <w:pPr>
        <w:ind w:left="6480" w:hanging="180"/>
      </w:pPr>
    </w:lvl>
  </w:abstractNum>
  <w:abstractNum w:abstractNumId="186" w15:restartNumberingAfterBreak="0">
    <w:nsid w:val="6B416C67"/>
    <w:multiLevelType w:val="hybridMultilevel"/>
    <w:tmpl w:val="FFFFFFFF"/>
    <w:lvl w:ilvl="0" w:tplc="D0B09374">
      <w:start w:val="1"/>
      <w:numFmt w:val="bullet"/>
      <w:lvlText w:val="·"/>
      <w:lvlJc w:val="left"/>
      <w:pPr>
        <w:ind w:left="720" w:hanging="360"/>
      </w:pPr>
      <w:rPr>
        <w:rFonts w:hint="default" w:ascii="Symbol" w:hAnsi="Symbol"/>
      </w:rPr>
    </w:lvl>
    <w:lvl w:ilvl="1" w:tplc="3E2ED156">
      <w:start w:val="1"/>
      <w:numFmt w:val="decimal"/>
      <w:lvlText w:val="%2."/>
      <w:lvlJc w:val="left"/>
      <w:pPr>
        <w:ind w:left="1440" w:hanging="360"/>
      </w:pPr>
      <w:rPr>
        <w:rFonts w:hint="default"/>
      </w:rPr>
    </w:lvl>
    <w:lvl w:ilvl="2" w:tplc="7B90A510">
      <w:start w:val="1"/>
      <w:numFmt w:val="bullet"/>
      <w:lvlText w:val=""/>
      <w:lvlJc w:val="left"/>
      <w:pPr>
        <w:ind w:left="2160" w:hanging="360"/>
      </w:pPr>
      <w:rPr>
        <w:rFonts w:hint="default" w:ascii="Wingdings" w:hAnsi="Wingdings"/>
      </w:rPr>
    </w:lvl>
    <w:lvl w:ilvl="3" w:tplc="E6D61F0A">
      <w:start w:val="1"/>
      <w:numFmt w:val="bullet"/>
      <w:lvlText w:val=""/>
      <w:lvlJc w:val="left"/>
      <w:pPr>
        <w:ind w:left="2880" w:hanging="360"/>
      </w:pPr>
      <w:rPr>
        <w:rFonts w:hint="default" w:ascii="Symbol" w:hAnsi="Symbol"/>
      </w:rPr>
    </w:lvl>
    <w:lvl w:ilvl="4" w:tplc="3CA4BAEA">
      <w:start w:val="1"/>
      <w:numFmt w:val="bullet"/>
      <w:lvlText w:val="o"/>
      <w:lvlJc w:val="left"/>
      <w:pPr>
        <w:ind w:left="3600" w:hanging="360"/>
      </w:pPr>
      <w:rPr>
        <w:rFonts w:hint="default" w:ascii="Courier New" w:hAnsi="Courier New"/>
      </w:rPr>
    </w:lvl>
    <w:lvl w:ilvl="5" w:tplc="332A4AF8">
      <w:start w:val="1"/>
      <w:numFmt w:val="bullet"/>
      <w:lvlText w:val=""/>
      <w:lvlJc w:val="left"/>
      <w:pPr>
        <w:ind w:left="4320" w:hanging="360"/>
      </w:pPr>
      <w:rPr>
        <w:rFonts w:hint="default" w:ascii="Wingdings" w:hAnsi="Wingdings"/>
      </w:rPr>
    </w:lvl>
    <w:lvl w:ilvl="6" w:tplc="94004B88">
      <w:start w:val="1"/>
      <w:numFmt w:val="bullet"/>
      <w:lvlText w:val=""/>
      <w:lvlJc w:val="left"/>
      <w:pPr>
        <w:ind w:left="5040" w:hanging="360"/>
      </w:pPr>
      <w:rPr>
        <w:rFonts w:hint="default" w:ascii="Symbol" w:hAnsi="Symbol"/>
      </w:rPr>
    </w:lvl>
    <w:lvl w:ilvl="7" w:tplc="2D822F44">
      <w:start w:val="1"/>
      <w:numFmt w:val="bullet"/>
      <w:lvlText w:val="o"/>
      <w:lvlJc w:val="left"/>
      <w:pPr>
        <w:ind w:left="5760" w:hanging="360"/>
      </w:pPr>
      <w:rPr>
        <w:rFonts w:hint="default" w:ascii="Courier New" w:hAnsi="Courier New"/>
      </w:rPr>
    </w:lvl>
    <w:lvl w:ilvl="8" w:tplc="CE0ACBF2">
      <w:start w:val="1"/>
      <w:numFmt w:val="bullet"/>
      <w:lvlText w:val=""/>
      <w:lvlJc w:val="left"/>
      <w:pPr>
        <w:ind w:left="6480" w:hanging="360"/>
      </w:pPr>
      <w:rPr>
        <w:rFonts w:hint="default" w:ascii="Wingdings" w:hAnsi="Wingdings"/>
      </w:rPr>
    </w:lvl>
  </w:abstractNum>
  <w:abstractNum w:abstractNumId="187" w15:restartNumberingAfterBreak="0">
    <w:nsid w:val="6BC535BB"/>
    <w:multiLevelType w:val="hybridMultilevel"/>
    <w:tmpl w:val="DBF049A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88" w15:restartNumberingAfterBreak="0">
    <w:nsid w:val="6BCD57BB"/>
    <w:multiLevelType w:val="multilevel"/>
    <w:tmpl w:val="6FBE688C"/>
    <w:lvl w:ilvl="0">
      <w:start w:val="1"/>
      <w:numFmt w:val="upperRoman"/>
      <w:lvlText w:val="%1."/>
      <w:lvlJc w:val="left"/>
      <w:pPr>
        <w:ind w:left="0" w:firstLine="0"/>
      </w:pPr>
    </w:lvl>
    <w:lvl w:ilvl="1">
      <w:start w:val="1"/>
      <w:numFmt w:val="decimal"/>
      <w:lvlText w:val="%1.%2"/>
      <w:lvlJc w:val="left"/>
      <w:pPr>
        <w:ind w:left="0" w:firstLine="0"/>
      </w:pPr>
    </w:lvl>
    <w:lvl w:ilvl="2">
      <w:start w:val="1"/>
      <w:numFmt w:val="decimal"/>
      <w:pStyle w:val="Instructionsberschrift3"/>
      <w:lvlText w:val="%1.%2.%3"/>
      <w:lvlJc w:val="left"/>
      <w:pPr>
        <w:ind w:left="720"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9" w15:restartNumberingAfterBreak="0">
    <w:nsid w:val="6C026693"/>
    <w:multiLevelType w:val="hybridMultilevel"/>
    <w:tmpl w:val="BC685418"/>
    <w:lvl w:ilvl="0" w:tplc="A9781040">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0" w15:restartNumberingAfterBreak="0">
    <w:nsid w:val="6CCB754A"/>
    <w:multiLevelType w:val="multilevel"/>
    <w:tmpl w:val="BC0478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1" w15:restartNumberingAfterBreak="0">
    <w:nsid w:val="6DB451DC"/>
    <w:multiLevelType w:val="multilevel"/>
    <w:tmpl w:val="649A00FE"/>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2" w15:restartNumberingAfterBreak="0">
    <w:nsid w:val="6E157C41"/>
    <w:multiLevelType w:val="hybridMultilevel"/>
    <w:tmpl w:val="375075FE"/>
    <w:lvl w:ilvl="0" w:tplc="357AFF7A">
      <w:start w:val="1"/>
      <w:numFmt w:val="bullet"/>
      <w:lvlText w:val="·"/>
      <w:lvlJc w:val="left"/>
      <w:pPr>
        <w:ind w:left="720" w:hanging="360"/>
      </w:pPr>
      <w:rPr>
        <w:rFonts w:hint="default" w:ascii="Symbol" w:hAnsi="Symbol"/>
      </w:rPr>
    </w:lvl>
    <w:lvl w:ilvl="1" w:tplc="AEF20F6A">
      <w:start w:val="1"/>
      <w:numFmt w:val="decimal"/>
      <w:lvlText w:val="%2."/>
      <w:lvlJc w:val="left"/>
      <w:pPr>
        <w:ind w:left="1440" w:hanging="360"/>
      </w:pPr>
      <w:rPr>
        <w:rFonts w:hint="default"/>
      </w:rPr>
    </w:lvl>
    <w:lvl w:ilvl="2" w:tplc="D376CE86">
      <w:start w:val="1"/>
      <w:numFmt w:val="bullet"/>
      <w:lvlText w:val=""/>
      <w:lvlJc w:val="left"/>
      <w:pPr>
        <w:ind w:left="2160" w:hanging="360"/>
      </w:pPr>
      <w:rPr>
        <w:rFonts w:hint="default" w:ascii="Wingdings" w:hAnsi="Wingdings"/>
      </w:rPr>
    </w:lvl>
    <w:lvl w:ilvl="3" w:tplc="A7ECB72C">
      <w:start w:val="1"/>
      <w:numFmt w:val="bullet"/>
      <w:lvlText w:val=""/>
      <w:lvlJc w:val="left"/>
      <w:pPr>
        <w:ind w:left="2880" w:hanging="360"/>
      </w:pPr>
      <w:rPr>
        <w:rFonts w:hint="default" w:ascii="Symbol" w:hAnsi="Symbol"/>
      </w:rPr>
    </w:lvl>
    <w:lvl w:ilvl="4" w:tplc="96DCEDCC">
      <w:start w:val="1"/>
      <w:numFmt w:val="bullet"/>
      <w:lvlText w:val="o"/>
      <w:lvlJc w:val="left"/>
      <w:pPr>
        <w:ind w:left="3600" w:hanging="360"/>
      </w:pPr>
      <w:rPr>
        <w:rFonts w:hint="default" w:ascii="Courier New" w:hAnsi="Courier New"/>
      </w:rPr>
    </w:lvl>
    <w:lvl w:ilvl="5" w:tplc="2BFE3416">
      <w:start w:val="1"/>
      <w:numFmt w:val="bullet"/>
      <w:lvlText w:val=""/>
      <w:lvlJc w:val="left"/>
      <w:pPr>
        <w:ind w:left="4320" w:hanging="360"/>
      </w:pPr>
      <w:rPr>
        <w:rFonts w:hint="default" w:ascii="Wingdings" w:hAnsi="Wingdings"/>
      </w:rPr>
    </w:lvl>
    <w:lvl w:ilvl="6" w:tplc="8BAE30FC">
      <w:start w:val="1"/>
      <w:numFmt w:val="bullet"/>
      <w:lvlText w:val=""/>
      <w:lvlJc w:val="left"/>
      <w:pPr>
        <w:ind w:left="5040" w:hanging="360"/>
      </w:pPr>
      <w:rPr>
        <w:rFonts w:hint="default" w:ascii="Symbol" w:hAnsi="Symbol"/>
      </w:rPr>
    </w:lvl>
    <w:lvl w:ilvl="7" w:tplc="BF8ABDC8">
      <w:start w:val="1"/>
      <w:numFmt w:val="bullet"/>
      <w:lvlText w:val="o"/>
      <w:lvlJc w:val="left"/>
      <w:pPr>
        <w:ind w:left="5760" w:hanging="360"/>
      </w:pPr>
      <w:rPr>
        <w:rFonts w:hint="default" w:ascii="Courier New" w:hAnsi="Courier New"/>
      </w:rPr>
    </w:lvl>
    <w:lvl w:ilvl="8" w:tplc="5C5CAECC">
      <w:start w:val="1"/>
      <w:numFmt w:val="bullet"/>
      <w:lvlText w:val=""/>
      <w:lvlJc w:val="left"/>
      <w:pPr>
        <w:ind w:left="6480" w:hanging="360"/>
      </w:pPr>
      <w:rPr>
        <w:rFonts w:hint="default" w:ascii="Wingdings" w:hAnsi="Wingdings"/>
      </w:rPr>
    </w:lvl>
  </w:abstractNum>
  <w:abstractNum w:abstractNumId="193" w15:restartNumberingAfterBreak="0">
    <w:nsid w:val="6F167A56"/>
    <w:multiLevelType w:val="hybridMultilevel"/>
    <w:tmpl w:val="28BAD89C"/>
    <w:lvl w:ilvl="0" w:tplc="88F8117C">
      <w:start w:val="1"/>
      <w:numFmt w:val="bullet"/>
      <w:lvlText w:val="·"/>
      <w:lvlJc w:val="left"/>
      <w:pPr>
        <w:ind w:left="720" w:hanging="360"/>
      </w:pPr>
      <w:rPr>
        <w:rFonts w:hint="default" w:ascii="Symbol" w:hAnsi="Symbol"/>
      </w:rPr>
    </w:lvl>
    <w:lvl w:ilvl="1" w:tplc="0EEE4636">
      <w:start w:val="1"/>
      <w:numFmt w:val="bullet"/>
      <w:lvlText w:val="o"/>
      <w:lvlJc w:val="left"/>
      <w:pPr>
        <w:ind w:left="1440" w:hanging="360"/>
      </w:pPr>
      <w:rPr>
        <w:rFonts w:hint="default" w:ascii="Courier New" w:hAnsi="Courier New"/>
      </w:rPr>
    </w:lvl>
    <w:lvl w:ilvl="2" w:tplc="041E5F9E">
      <w:start w:val="1"/>
      <w:numFmt w:val="bullet"/>
      <w:lvlText w:val=""/>
      <w:lvlJc w:val="left"/>
      <w:pPr>
        <w:ind w:left="2160" w:hanging="360"/>
      </w:pPr>
      <w:rPr>
        <w:rFonts w:hint="default" w:ascii="Wingdings" w:hAnsi="Wingdings"/>
      </w:rPr>
    </w:lvl>
    <w:lvl w:ilvl="3" w:tplc="89D42A5A">
      <w:start w:val="1"/>
      <w:numFmt w:val="bullet"/>
      <w:lvlText w:val=""/>
      <w:lvlJc w:val="left"/>
      <w:pPr>
        <w:ind w:left="2880" w:hanging="360"/>
      </w:pPr>
      <w:rPr>
        <w:rFonts w:hint="default" w:ascii="Symbol" w:hAnsi="Symbol"/>
      </w:rPr>
    </w:lvl>
    <w:lvl w:ilvl="4" w:tplc="40849A20">
      <w:start w:val="1"/>
      <w:numFmt w:val="bullet"/>
      <w:lvlText w:val="o"/>
      <w:lvlJc w:val="left"/>
      <w:pPr>
        <w:ind w:left="3600" w:hanging="360"/>
      </w:pPr>
      <w:rPr>
        <w:rFonts w:hint="default" w:ascii="Courier New" w:hAnsi="Courier New"/>
      </w:rPr>
    </w:lvl>
    <w:lvl w:ilvl="5" w:tplc="290C1BE6">
      <w:start w:val="1"/>
      <w:numFmt w:val="bullet"/>
      <w:lvlText w:val=""/>
      <w:lvlJc w:val="left"/>
      <w:pPr>
        <w:ind w:left="4320" w:hanging="360"/>
      </w:pPr>
      <w:rPr>
        <w:rFonts w:hint="default" w:ascii="Wingdings" w:hAnsi="Wingdings"/>
      </w:rPr>
    </w:lvl>
    <w:lvl w:ilvl="6" w:tplc="B75A9084">
      <w:start w:val="1"/>
      <w:numFmt w:val="bullet"/>
      <w:lvlText w:val=""/>
      <w:lvlJc w:val="left"/>
      <w:pPr>
        <w:ind w:left="5040" w:hanging="360"/>
      </w:pPr>
      <w:rPr>
        <w:rFonts w:hint="default" w:ascii="Symbol" w:hAnsi="Symbol"/>
      </w:rPr>
    </w:lvl>
    <w:lvl w:ilvl="7" w:tplc="99F25084">
      <w:start w:val="1"/>
      <w:numFmt w:val="bullet"/>
      <w:lvlText w:val="o"/>
      <w:lvlJc w:val="left"/>
      <w:pPr>
        <w:ind w:left="5760" w:hanging="360"/>
      </w:pPr>
      <w:rPr>
        <w:rFonts w:hint="default" w:ascii="Courier New" w:hAnsi="Courier New"/>
      </w:rPr>
    </w:lvl>
    <w:lvl w:ilvl="8" w:tplc="39DAAA14">
      <w:start w:val="1"/>
      <w:numFmt w:val="bullet"/>
      <w:lvlText w:val=""/>
      <w:lvlJc w:val="left"/>
      <w:pPr>
        <w:ind w:left="6480" w:hanging="360"/>
      </w:pPr>
      <w:rPr>
        <w:rFonts w:hint="default" w:ascii="Wingdings" w:hAnsi="Wingdings"/>
      </w:rPr>
    </w:lvl>
  </w:abstractNum>
  <w:abstractNum w:abstractNumId="194" w15:restartNumberingAfterBreak="0">
    <w:nsid w:val="6F2A6E34"/>
    <w:multiLevelType w:val="multilevel"/>
    <w:tmpl w:val="1D42C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5" w15:restartNumberingAfterBreak="0">
    <w:nsid w:val="6F4F7920"/>
    <w:multiLevelType w:val="hybridMultilevel"/>
    <w:tmpl w:val="FFFFFFFF"/>
    <w:lvl w:ilvl="0" w:tplc="18EEAD7E">
      <w:start w:val="1"/>
      <w:numFmt w:val="bullet"/>
      <w:lvlText w:val="·"/>
      <w:lvlJc w:val="left"/>
      <w:pPr>
        <w:ind w:left="720" w:hanging="360"/>
      </w:pPr>
      <w:rPr>
        <w:rFonts w:hint="default" w:ascii="Symbol" w:hAnsi="Symbol"/>
      </w:rPr>
    </w:lvl>
    <w:lvl w:ilvl="1" w:tplc="3A94C39A">
      <w:start w:val="1"/>
      <w:numFmt w:val="bullet"/>
      <w:lvlText w:val="o"/>
      <w:lvlJc w:val="left"/>
      <w:pPr>
        <w:ind w:left="1440" w:hanging="360"/>
      </w:pPr>
      <w:rPr>
        <w:rFonts w:hint="default" w:ascii="Courier New" w:hAnsi="Courier New"/>
      </w:rPr>
    </w:lvl>
    <w:lvl w:ilvl="2" w:tplc="903A93DE">
      <w:start w:val="1"/>
      <w:numFmt w:val="bullet"/>
      <w:lvlText w:val=""/>
      <w:lvlJc w:val="left"/>
      <w:pPr>
        <w:ind w:left="2160" w:hanging="360"/>
      </w:pPr>
      <w:rPr>
        <w:rFonts w:hint="default" w:ascii="Wingdings" w:hAnsi="Wingdings"/>
      </w:rPr>
    </w:lvl>
    <w:lvl w:ilvl="3" w:tplc="42A8A9BA">
      <w:start w:val="1"/>
      <w:numFmt w:val="bullet"/>
      <w:lvlText w:val=""/>
      <w:lvlJc w:val="left"/>
      <w:pPr>
        <w:ind w:left="2880" w:hanging="360"/>
      </w:pPr>
      <w:rPr>
        <w:rFonts w:hint="default" w:ascii="Symbol" w:hAnsi="Symbol"/>
      </w:rPr>
    </w:lvl>
    <w:lvl w:ilvl="4" w:tplc="B5A8677A">
      <w:start w:val="1"/>
      <w:numFmt w:val="bullet"/>
      <w:lvlText w:val="o"/>
      <w:lvlJc w:val="left"/>
      <w:pPr>
        <w:ind w:left="3600" w:hanging="360"/>
      </w:pPr>
      <w:rPr>
        <w:rFonts w:hint="default" w:ascii="Courier New" w:hAnsi="Courier New"/>
      </w:rPr>
    </w:lvl>
    <w:lvl w:ilvl="5" w:tplc="1FC2A36C">
      <w:start w:val="1"/>
      <w:numFmt w:val="bullet"/>
      <w:lvlText w:val=""/>
      <w:lvlJc w:val="left"/>
      <w:pPr>
        <w:ind w:left="4320" w:hanging="360"/>
      </w:pPr>
      <w:rPr>
        <w:rFonts w:hint="default" w:ascii="Wingdings" w:hAnsi="Wingdings"/>
      </w:rPr>
    </w:lvl>
    <w:lvl w:ilvl="6" w:tplc="080CF9F6">
      <w:start w:val="1"/>
      <w:numFmt w:val="bullet"/>
      <w:lvlText w:val=""/>
      <w:lvlJc w:val="left"/>
      <w:pPr>
        <w:ind w:left="5040" w:hanging="360"/>
      </w:pPr>
      <w:rPr>
        <w:rFonts w:hint="default" w:ascii="Symbol" w:hAnsi="Symbol"/>
      </w:rPr>
    </w:lvl>
    <w:lvl w:ilvl="7" w:tplc="EF647294">
      <w:start w:val="1"/>
      <w:numFmt w:val="bullet"/>
      <w:lvlText w:val="o"/>
      <w:lvlJc w:val="left"/>
      <w:pPr>
        <w:ind w:left="5760" w:hanging="360"/>
      </w:pPr>
      <w:rPr>
        <w:rFonts w:hint="default" w:ascii="Courier New" w:hAnsi="Courier New"/>
      </w:rPr>
    </w:lvl>
    <w:lvl w:ilvl="8" w:tplc="1C2C4494">
      <w:start w:val="1"/>
      <w:numFmt w:val="bullet"/>
      <w:lvlText w:val=""/>
      <w:lvlJc w:val="left"/>
      <w:pPr>
        <w:ind w:left="6480" w:hanging="360"/>
      </w:pPr>
      <w:rPr>
        <w:rFonts w:hint="default" w:ascii="Wingdings" w:hAnsi="Wingdings"/>
      </w:rPr>
    </w:lvl>
  </w:abstractNum>
  <w:abstractNum w:abstractNumId="196" w15:restartNumberingAfterBreak="0">
    <w:nsid w:val="6FB95973"/>
    <w:multiLevelType w:val="hybridMultilevel"/>
    <w:tmpl w:val="AA8E90FC"/>
    <w:lvl w:ilvl="0" w:tplc="8302529E">
      <w:start w:val="1"/>
      <w:numFmt w:val="bullet"/>
      <w:lvlText w:val="·"/>
      <w:lvlJc w:val="left"/>
      <w:pPr>
        <w:ind w:left="720" w:hanging="360"/>
      </w:pPr>
      <w:rPr>
        <w:rFonts w:hint="default" w:ascii="Symbol" w:hAnsi="Symbol"/>
      </w:rPr>
    </w:lvl>
    <w:lvl w:ilvl="1" w:tplc="C6A2EA7C">
      <w:start w:val="1"/>
      <w:numFmt w:val="decimal"/>
      <w:lvlText w:val="%2."/>
      <w:lvlJc w:val="left"/>
      <w:pPr>
        <w:ind w:left="1440" w:hanging="360"/>
      </w:pPr>
      <w:rPr>
        <w:rFonts w:hint="default"/>
      </w:rPr>
    </w:lvl>
    <w:lvl w:ilvl="2" w:tplc="2A823F48">
      <w:start w:val="1"/>
      <w:numFmt w:val="bullet"/>
      <w:lvlText w:val=""/>
      <w:lvlJc w:val="left"/>
      <w:pPr>
        <w:ind w:left="2160" w:hanging="360"/>
      </w:pPr>
      <w:rPr>
        <w:rFonts w:hint="default" w:ascii="Wingdings" w:hAnsi="Wingdings"/>
      </w:rPr>
    </w:lvl>
    <w:lvl w:ilvl="3" w:tplc="30C69E2C">
      <w:start w:val="1"/>
      <w:numFmt w:val="bullet"/>
      <w:lvlText w:val=""/>
      <w:lvlJc w:val="left"/>
      <w:pPr>
        <w:ind w:left="2880" w:hanging="360"/>
      </w:pPr>
      <w:rPr>
        <w:rFonts w:hint="default" w:ascii="Symbol" w:hAnsi="Symbol"/>
      </w:rPr>
    </w:lvl>
    <w:lvl w:ilvl="4" w:tplc="A346624C">
      <w:start w:val="1"/>
      <w:numFmt w:val="bullet"/>
      <w:lvlText w:val="o"/>
      <w:lvlJc w:val="left"/>
      <w:pPr>
        <w:ind w:left="3600" w:hanging="360"/>
      </w:pPr>
      <w:rPr>
        <w:rFonts w:hint="default" w:ascii="Courier New" w:hAnsi="Courier New"/>
      </w:rPr>
    </w:lvl>
    <w:lvl w:ilvl="5" w:tplc="8E1AF08A">
      <w:start w:val="1"/>
      <w:numFmt w:val="bullet"/>
      <w:lvlText w:val=""/>
      <w:lvlJc w:val="left"/>
      <w:pPr>
        <w:ind w:left="4320" w:hanging="360"/>
      </w:pPr>
      <w:rPr>
        <w:rFonts w:hint="default" w:ascii="Wingdings" w:hAnsi="Wingdings"/>
      </w:rPr>
    </w:lvl>
    <w:lvl w:ilvl="6" w:tplc="9EB2AC54">
      <w:start w:val="1"/>
      <w:numFmt w:val="bullet"/>
      <w:lvlText w:val=""/>
      <w:lvlJc w:val="left"/>
      <w:pPr>
        <w:ind w:left="5040" w:hanging="360"/>
      </w:pPr>
      <w:rPr>
        <w:rFonts w:hint="default" w:ascii="Symbol" w:hAnsi="Symbol"/>
      </w:rPr>
    </w:lvl>
    <w:lvl w:ilvl="7" w:tplc="7D106C60">
      <w:start w:val="1"/>
      <w:numFmt w:val="bullet"/>
      <w:lvlText w:val="o"/>
      <w:lvlJc w:val="left"/>
      <w:pPr>
        <w:ind w:left="5760" w:hanging="360"/>
      </w:pPr>
      <w:rPr>
        <w:rFonts w:hint="default" w:ascii="Courier New" w:hAnsi="Courier New"/>
      </w:rPr>
    </w:lvl>
    <w:lvl w:ilvl="8" w:tplc="39002528">
      <w:start w:val="1"/>
      <w:numFmt w:val="bullet"/>
      <w:lvlText w:val=""/>
      <w:lvlJc w:val="left"/>
      <w:pPr>
        <w:ind w:left="6480" w:hanging="360"/>
      </w:pPr>
      <w:rPr>
        <w:rFonts w:hint="default" w:ascii="Wingdings" w:hAnsi="Wingdings"/>
      </w:rPr>
    </w:lvl>
  </w:abstractNum>
  <w:abstractNum w:abstractNumId="197" w15:restartNumberingAfterBreak="0">
    <w:nsid w:val="70084534"/>
    <w:multiLevelType w:val="multilevel"/>
    <w:tmpl w:val="E9726D90"/>
    <w:lvl w:ilvl="0">
      <w:numFmt w:val="decimal"/>
      <w:lvlText w:val="L.%1."/>
      <w:lvlJc w:val="left"/>
      <w:pPr>
        <w:ind w:left="36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200" w:hanging="1440"/>
      </w:pPr>
      <w:rPr>
        <w:rFonts w:hint="default"/>
        <w:u w:val="single"/>
      </w:rPr>
    </w:lvl>
  </w:abstractNum>
  <w:abstractNum w:abstractNumId="198" w15:restartNumberingAfterBreak="0">
    <w:nsid w:val="701D4702"/>
    <w:multiLevelType w:val="hybridMultilevel"/>
    <w:tmpl w:val="C00402D4"/>
    <w:lvl w:ilvl="0" w:tplc="D92AABF8">
      <w:start w:val="1"/>
      <w:numFmt w:val="bullet"/>
      <w:lvlText w:val="·"/>
      <w:lvlJc w:val="left"/>
      <w:pPr>
        <w:ind w:left="720" w:hanging="360"/>
      </w:pPr>
      <w:rPr>
        <w:rFonts w:hint="default" w:ascii="Symbol" w:hAnsi="Symbol"/>
      </w:rPr>
    </w:lvl>
    <w:lvl w:ilvl="1" w:tplc="EE02857A">
      <w:start w:val="1"/>
      <w:numFmt w:val="decimal"/>
      <w:lvlText w:val="%2."/>
      <w:lvlJc w:val="left"/>
      <w:pPr>
        <w:ind w:left="1440" w:hanging="360"/>
      </w:pPr>
      <w:rPr>
        <w:rFonts w:hint="default"/>
      </w:rPr>
    </w:lvl>
    <w:lvl w:ilvl="2" w:tplc="16DEA1FC">
      <w:start w:val="1"/>
      <w:numFmt w:val="bullet"/>
      <w:lvlText w:val=""/>
      <w:lvlJc w:val="left"/>
      <w:pPr>
        <w:ind w:left="2160" w:hanging="360"/>
      </w:pPr>
      <w:rPr>
        <w:rFonts w:hint="default" w:ascii="Wingdings" w:hAnsi="Wingdings"/>
      </w:rPr>
    </w:lvl>
    <w:lvl w:ilvl="3" w:tplc="C024BD78">
      <w:start w:val="1"/>
      <w:numFmt w:val="bullet"/>
      <w:lvlText w:val=""/>
      <w:lvlJc w:val="left"/>
      <w:pPr>
        <w:ind w:left="2880" w:hanging="360"/>
      </w:pPr>
      <w:rPr>
        <w:rFonts w:hint="default" w:ascii="Symbol" w:hAnsi="Symbol"/>
      </w:rPr>
    </w:lvl>
    <w:lvl w:ilvl="4" w:tplc="37D08E38">
      <w:start w:val="1"/>
      <w:numFmt w:val="bullet"/>
      <w:lvlText w:val="o"/>
      <w:lvlJc w:val="left"/>
      <w:pPr>
        <w:ind w:left="3600" w:hanging="360"/>
      </w:pPr>
      <w:rPr>
        <w:rFonts w:hint="default" w:ascii="Courier New" w:hAnsi="Courier New"/>
      </w:rPr>
    </w:lvl>
    <w:lvl w:ilvl="5" w:tplc="98C41290">
      <w:start w:val="1"/>
      <w:numFmt w:val="bullet"/>
      <w:lvlText w:val=""/>
      <w:lvlJc w:val="left"/>
      <w:pPr>
        <w:ind w:left="4320" w:hanging="360"/>
      </w:pPr>
      <w:rPr>
        <w:rFonts w:hint="default" w:ascii="Wingdings" w:hAnsi="Wingdings"/>
      </w:rPr>
    </w:lvl>
    <w:lvl w:ilvl="6" w:tplc="81A05BA6">
      <w:start w:val="1"/>
      <w:numFmt w:val="bullet"/>
      <w:lvlText w:val=""/>
      <w:lvlJc w:val="left"/>
      <w:pPr>
        <w:ind w:left="5040" w:hanging="360"/>
      </w:pPr>
      <w:rPr>
        <w:rFonts w:hint="default" w:ascii="Symbol" w:hAnsi="Symbol"/>
      </w:rPr>
    </w:lvl>
    <w:lvl w:ilvl="7" w:tplc="732C0420">
      <w:start w:val="1"/>
      <w:numFmt w:val="bullet"/>
      <w:lvlText w:val="o"/>
      <w:lvlJc w:val="left"/>
      <w:pPr>
        <w:ind w:left="5760" w:hanging="360"/>
      </w:pPr>
      <w:rPr>
        <w:rFonts w:hint="default" w:ascii="Courier New" w:hAnsi="Courier New"/>
      </w:rPr>
    </w:lvl>
    <w:lvl w:ilvl="8" w:tplc="B3AC786A">
      <w:start w:val="1"/>
      <w:numFmt w:val="bullet"/>
      <w:lvlText w:val=""/>
      <w:lvlJc w:val="left"/>
      <w:pPr>
        <w:ind w:left="6480" w:hanging="360"/>
      </w:pPr>
      <w:rPr>
        <w:rFonts w:hint="default" w:ascii="Wingdings" w:hAnsi="Wingdings"/>
      </w:rPr>
    </w:lvl>
  </w:abstractNum>
  <w:abstractNum w:abstractNumId="199" w15:restartNumberingAfterBreak="0">
    <w:nsid w:val="706A6883"/>
    <w:multiLevelType w:val="hybridMultilevel"/>
    <w:tmpl w:val="84981EAC"/>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0" w15:restartNumberingAfterBreak="0">
    <w:nsid w:val="71064D88"/>
    <w:multiLevelType w:val="hybridMultilevel"/>
    <w:tmpl w:val="F79473BE"/>
    <w:lvl w:ilvl="0" w:tplc="98F68450">
      <w:start w:val="1"/>
      <w:numFmt w:val="bullet"/>
      <w:pStyle w:val="List1"/>
      <w:lvlText w:val=""/>
      <w:lvlJc w:val="left"/>
      <w:pPr>
        <w:ind w:left="720" w:hanging="72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1" w15:restartNumberingAfterBreak="0">
    <w:nsid w:val="71117267"/>
    <w:multiLevelType w:val="hybridMultilevel"/>
    <w:tmpl w:val="46547B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2" w15:restartNumberingAfterBreak="0">
    <w:nsid w:val="719E18D2"/>
    <w:multiLevelType w:val="hybridMultilevel"/>
    <w:tmpl w:val="1F3C9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3" w15:restartNumberingAfterBreak="0">
    <w:nsid w:val="72282870"/>
    <w:multiLevelType w:val="hybridMultilevel"/>
    <w:tmpl w:val="FFFFFFFF"/>
    <w:lvl w:ilvl="0" w:tplc="08AAAA54">
      <w:start w:val="1"/>
      <w:numFmt w:val="bullet"/>
      <w:lvlText w:val="·"/>
      <w:lvlJc w:val="left"/>
      <w:pPr>
        <w:ind w:left="720" w:hanging="360"/>
      </w:pPr>
    </w:lvl>
    <w:lvl w:ilvl="1" w:tplc="F4B45504">
      <w:start w:val="1"/>
      <w:numFmt w:val="decimal"/>
      <w:lvlText w:val="%2."/>
      <w:lvlJc w:val="left"/>
      <w:pPr>
        <w:ind w:left="1440" w:hanging="360"/>
      </w:pPr>
    </w:lvl>
    <w:lvl w:ilvl="2" w:tplc="F32A256C">
      <w:start w:val="1"/>
      <w:numFmt w:val="lowerRoman"/>
      <w:lvlText w:val="%3."/>
      <w:lvlJc w:val="right"/>
      <w:pPr>
        <w:ind w:left="2160" w:hanging="180"/>
      </w:pPr>
    </w:lvl>
    <w:lvl w:ilvl="3" w:tplc="E4646F38">
      <w:start w:val="1"/>
      <w:numFmt w:val="decimal"/>
      <w:lvlText w:val="%4."/>
      <w:lvlJc w:val="left"/>
      <w:pPr>
        <w:ind w:left="2880" w:hanging="360"/>
      </w:pPr>
    </w:lvl>
    <w:lvl w:ilvl="4" w:tplc="48BCA9D2">
      <w:start w:val="1"/>
      <w:numFmt w:val="lowerLetter"/>
      <w:lvlText w:val="%5."/>
      <w:lvlJc w:val="left"/>
      <w:pPr>
        <w:ind w:left="3600" w:hanging="360"/>
      </w:pPr>
    </w:lvl>
    <w:lvl w:ilvl="5" w:tplc="6BAACC24">
      <w:start w:val="1"/>
      <w:numFmt w:val="lowerRoman"/>
      <w:lvlText w:val="%6."/>
      <w:lvlJc w:val="right"/>
      <w:pPr>
        <w:ind w:left="4320" w:hanging="180"/>
      </w:pPr>
    </w:lvl>
    <w:lvl w:ilvl="6" w:tplc="276EF0A8">
      <w:start w:val="1"/>
      <w:numFmt w:val="decimal"/>
      <w:lvlText w:val="%7."/>
      <w:lvlJc w:val="left"/>
      <w:pPr>
        <w:ind w:left="5040" w:hanging="360"/>
      </w:pPr>
    </w:lvl>
    <w:lvl w:ilvl="7" w:tplc="E550DE5C">
      <w:start w:val="1"/>
      <w:numFmt w:val="lowerLetter"/>
      <w:lvlText w:val="%8."/>
      <w:lvlJc w:val="left"/>
      <w:pPr>
        <w:ind w:left="5760" w:hanging="360"/>
      </w:pPr>
    </w:lvl>
    <w:lvl w:ilvl="8" w:tplc="E83A813E">
      <w:start w:val="1"/>
      <w:numFmt w:val="lowerRoman"/>
      <w:lvlText w:val="%9."/>
      <w:lvlJc w:val="right"/>
      <w:pPr>
        <w:ind w:left="6480" w:hanging="180"/>
      </w:pPr>
    </w:lvl>
  </w:abstractNum>
  <w:abstractNum w:abstractNumId="204" w15:restartNumberingAfterBreak="0">
    <w:nsid w:val="72E62938"/>
    <w:multiLevelType w:val="hybridMultilevel"/>
    <w:tmpl w:val="FFFFFFFF"/>
    <w:lvl w:ilvl="0" w:tplc="2862BA10">
      <w:start w:val="1"/>
      <w:numFmt w:val="bullet"/>
      <w:lvlText w:val="·"/>
      <w:lvlJc w:val="left"/>
      <w:pPr>
        <w:ind w:left="720" w:hanging="360"/>
      </w:pPr>
      <w:rPr>
        <w:rFonts w:hint="default" w:ascii="Symbol" w:hAnsi="Symbol"/>
      </w:rPr>
    </w:lvl>
    <w:lvl w:ilvl="1" w:tplc="A9E8D7D8">
      <w:start w:val="1"/>
      <w:numFmt w:val="bullet"/>
      <w:lvlText w:val="o"/>
      <w:lvlJc w:val="left"/>
      <w:pPr>
        <w:ind w:left="1440" w:hanging="360"/>
      </w:pPr>
      <w:rPr>
        <w:rFonts w:hint="default" w:ascii="Courier New" w:hAnsi="Courier New"/>
      </w:rPr>
    </w:lvl>
    <w:lvl w:ilvl="2" w:tplc="198A1E3A">
      <w:start w:val="1"/>
      <w:numFmt w:val="bullet"/>
      <w:lvlText w:val=""/>
      <w:lvlJc w:val="left"/>
      <w:pPr>
        <w:ind w:left="2160" w:hanging="360"/>
      </w:pPr>
      <w:rPr>
        <w:rFonts w:hint="default" w:ascii="Wingdings" w:hAnsi="Wingdings"/>
      </w:rPr>
    </w:lvl>
    <w:lvl w:ilvl="3" w:tplc="10B8BFB8">
      <w:start w:val="1"/>
      <w:numFmt w:val="bullet"/>
      <w:lvlText w:val=""/>
      <w:lvlJc w:val="left"/>
      <w:pPr>
        <w:ind w:left="2880" w:hanging="360"/>
      </w:pPr>
      <w:rPr>
        <w:rFonts w:hint="default" w:ascii="Symbol" w:hAnsi="Symbol"/>
      </w:rPr>
    </w:lvl>
    <w:lvl w:ilvl="4" w:tplc="981E2B80">
      <w:start w:val="1"/>
      <w:numFmt w:val="bullet"/>
      <w:lvlText w:val="o"/>
      <w:lvlJc w:val="left"/>
      <w:pPr>
        <w:ind w:left="3600" w:hanging="360"/>
      </w:pPr>
      <w:rPr>
        <w:rFonts w:hint="default" w:ascii="Courier New" w:hAnsi="Courier New"/>
      </w:rPr>
    </w:lvl>
    <w:lvl w:ilvl="5" w:tplc="262E0562">
      <w:start w:val="1"/>
      <w:numFmt w:val="bullet"/>
      <w:lvlText w:val=""/>
      <w:lvlJc w:val="left"/>
      <w:pPr>
        <w:ind w:left="4320" w:hanging="360"/>
      </w:pPr>
      <w:rPr>
        <w:rFonts w:hint="default" w:ascii="Wingdings" w:hAnsi="Wingdings"/>
      </w:rPr>
    </w:lvl>
    <w:lvl w:ilvl="6" w:tplc="F7202BDE">
      <w:start w:val="1"/>
      <w:numFmt w:val="bullet"/>
      <w:lvlText w:val=""/>
      <w:lvlJc w:val="left"/>
      <w:pPr>
        <w:ind w:left="5040" w:hanging="360"/>
      </w:pPr>
      <w:rPr>
        <w:rFonts w:hint="default" w:ascii="Symbol" w:hAnsi="Symbol"/>
      </w:rPr>
    </w:lvl>
    <w:lvl w:ilvl="7" w:tplc="3AC2A384">
      <w:start w:val="1"/>
      <w:numFmt w:val="bullet"/>
      <w:lvlText w:val="o"/>
      <w:lvlJc w:val="left"/>
      <w:pPr>
        <w:ind w:left="5760" w:hanging="360"/>
      </w:pPr>
      <w:rPr>
        <w:rFonts w:hint="default" w:ascii="Courier New" w:hAnsi="Courier New"/>
      </w:rPr>
    </w:lvl>
    <w:lvl w:ilvl="8" w:tplc="797877BE">
      <w:start w:val="1"/>
      <w:numFmt w:val="bullet"/>
      <w:lvlText w:val=""/>
      <w:lvlJc w:val="left"/>
      <w:pPr>
        <w:ind w:left="6480" w:hanging="360"/>
      </w:pPr>
      <w:rPr>
        <w:rFonts w:hint="default" w:ascii="Wingdings" w:hAnsi="Wingdings"/>
      </w:rPr>
    </w:lvl>
  </w:abstractNum>
  <w:abstractNum w:abstractNumId="205" w15:restartNumberingAfterBreak="0">
    <w:nsid w:val="748C5DC5"/>
    <w:multiLevelType w:val="hybridMultilevel"/>
    <w:tmpl w:val="6628A65E"/>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07ACA20E">
      <w:start w:val="49"/>
      <w:numFmt w:val="decimal"/>
      <w:lvlText w:val="%3)"/>
      <w:lvlJc w:val="left"/>
      <w:pPr>
        <w:ind w:left="2694" w:hanging="360"/>
      </w:pPr>
      <w:rPr>
        <w:rFonts w:hint="default"/>
      </w:r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6" w15:restartNumberingAfterBreak="0">
    <w:nsid w:val="75F9197C"/>
    <w:multiLevelType w:val="hybridMultilevel"/>
    <w:tmpl w:val="B34AA6B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7" w15:restartNumberingAfterBreak="0">
    <w:nsid w:val="76421E92"/>
    <w:multiLevelType w:val="hybridMultilevel"/>
    <w:tmpl w:val="E50EF50E"/>
    <w:lvl w:ilvl="0" w:tplc="7BBAF134">
      <w:start w:val="3"/>
      <w:numFmt w:val="bullet"/>
      <w:lvlText w:val="-"/>
      <w:lvlJc w:val="left"/>
      <w:pPr>
        <w:ind w:left="717" w:hanging="360"/>
      </w:pPr>
      <w:rPr>
        <w:rFonts w:hint="default" w:ascii="Calibri" w:hAnsi="Calibri" w:cs="Calibri" w:eastAsiaTheme="minorEastAsia"/>
        <w:spacing w:val="0"/>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8" w15:restartNumberingAfterBreak="0">
    <w:nsid w:val="769800E2"/>
    <w:multiLevelType w:val="multilevel"/>
    <w:tmpl w:val="60228A3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76E0D5E"/>
    <w:multiLevelType w:val="hybridMultilevel"/>
    <w:tmpl w:val="1450BE3C"/>
    <w:lvl w:ilvl="0" w:tplc="6E3E9BC8">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10" w15:restartNumberingAfterBreak="0">
    <w:nsid w:val="77751EC2"/>
    <w:multiLevelType w:val="hybridMultilevel"/>
    <w:tmpl w:val="75B4D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1" w15:restartNumberingAfterBreak="0">
    <w:nsid w:val="784C5B2C"/>
    <w:multiLevelType w:val="hybridMultilevel"/>
    <w:tmpl w:val="FE86E734"/>
    <w:lvl w:ilvl="0" w:tplc="8D5EDCB0">
      <w:start w:val="7"/>
      <w:numFmt w:val="decimal"/>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8B342BF"/>
    <w:multiLevelType w:val="hybridMultilevel"/>
    <w:tmpl w:val="D138C750"/>
    <w:lvl w:ilvl="0" w:tplc="E08E51BC">
      <w:start w:val="1"/>
      <w:numFmt w:val="decimal"/>
      <w:lvlText w:val="%1."/>
      <w:lvlJc w:val="left"/>
      <w:pPr>
        <w:ind w:left="720" w:hanging="360"/>
      </w:pPr>
    </w:lvl>
    <w:lvl w:ilvl="1" w:tplc="2146E71E">
      <w:start w:val="1"/>
      <w:numFmt w:val="lowerLetter"/>
      <w:lvlText w:val="%2."/>
      <w:lvlJc w:val="left"/>
      <w:pPr>
        <w:ind w:left="1440" w:hanging="360"/>
      </w:pPr>
    </w:lvl>
    <w:lvl w:ilvl="2" w:tplc="E92E1150">
      <w:start w:val="1"/>
      <w:numFmt w:val="lowerRoman"/>
      <w:lvlText w:val="%3."/>
      <w:lvlJc w:val="right"/>
      <w:pPr>
        <w:ind w:left="2160" w:hanging="180"/>
      </w:pPr>
    </w:lvl>
    <w:lvl w:ilvl="3" w:tplc="6A42ECD8">
      <w:start w:val="1"/>
      <w:numFmt w:val="decimal"/>
      <w:lvlText w:val="%4."/>
      <w:lvlJc w:val="left"/>
      <w:pPr>
        <w:ind w:left="2880" w:hanging="360"/>
      </w:pPr>
    </w:lvl>
    <w:lvl w:ilvl="4" w:tplc="C83E71FA">
      <w:start w:val="1"/>
      <w:numFmt w:val="lowerLetter"/>
      <w:lvlText w:val="%5."/>
      <w:lvlJc w:val="left"/>
      <w:pPr>
        <w:ind w:left="3600" w:hanging="360"/>
      </w:pPr>
    </w:lvl>
    <w:lvl w:ilvl="5" w:tplc="ED12556C">
      <w:start w:val="1"/>
      <w:numFmt w:val="lowerRoman"/>
      <w:lvlText w:val="%6."/>
      <w:lvlJc w:val="right"/>
      <w:pPr>
        <w:ind w:left="4320" w:hanging="180"/>
      </w:pPr>
    </w:lvl>
    <w:lvl w:ilvl="6" w:tplc="A7202864">
      <w:start w:val="1"/>
      <w:numFmt w:val="decimal"/>
      <w:lvlText w:val="%7."/>
      <w:lvlJc w:val="left"/>
      <w:pPr>
        <w:ind w:left="5040" w:hanging="360"/>
      </w:pPr>
    </w:lvl>
    <w:lvl w:ilvl="7" w:tplc="F20A0F82">
      <w:start w:val="1"/>
      <w:numFmt w:val="lowerLetter"/>
      <w:lvlText w:val="%8."/>
      <w:lvlJc w:val="left"/>
      <w:pPr>
        <w:ind w:left="5760" w:hanging="360"/>
      </w:pPr>
    </w:lvl>
    <w:lvl w:ilvl="8" w:tplc="47E8F52C">
      <w:start w:val="1"/>
      <w:numFmt w:val="lowerRoman"/>
      <w:lvlText w:val="%9."/>
      <w:lvlJc w:val="right"/>
      <w:pPr>
        <w:ind w:left="6480" w:hanging="180"/>
      </w:pPr>
    </w:lvl>
  </w:abstractNum>
  <w:abstractNum w:abstractNumId="213" w15:restartNumberingAfterBreak="0">
    <w:nsid w:val="78FD639B"/>
    <w:multiLevelType w:val="hybridMultilevel"/>
    <w:tmpl w:val="1488EB0C"/>
    <w:lvl w:ilvl="0" w:tplc="EA4AD4DC">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4" w15:restartNumberingAfterBreak="0">
    <w:nsid w:val="796603CE"/>
    <w:multiLevelType w:val="hybridMultilevel"/>
    <w:tmpl w:val="480A2296"/>
    <w:lvl w:ilvl="0" w:tplc="3B9C276A">
      <w:start w:val="1"/>
      <w:numFmt w:val="bullet"/>
      <w:lvlText w:val="·"/>
      <w:lvlJc w:val="left"/>
      <w:pPr>
        <w:ind w:left="720" w:hanging="360"/>
      </w:pPr>
      <w:rPr>
        <w:rFonts w:hint="default" w:ascii="Symbol" w:hAnsi="Symbol"/>
      </w:rPr>
    </w:lvl>
    <w:lvl w:ilvl="1" w:tplc="53D46DD8">
      <w:start w:val="1"/>
      <w:numFmt w:val="bullet"/>
      <w:lvlText w:val="o"/>
      <w:lvlJc w:val="left"/>
      <w:pPr>
        <w:ind w:left="1440" w:hanging="360"/>
      </w:pPr>
      <w:rPr>
        <w:rFonts w:hint="default" w:ascii="Courier New" w:hAnsi="Courier New"/>
      </w:rPr>
    </w:lvl>
    <w:lvl w:ilvl="2" w:tplc="669268E0">
      <w:start w:val="1"/>
      <w:numFmt w:val="bullet"/>
      <w:lvlText w:val=""/>
      <w:lvlJc w:val="left"/>
      <w:pPr>
        <w:ind w:left="2160" w:hanging="360"/>
      </w:pPr>
      <w:rPr>
        <w:rFonts w:hint="default" w:ascii="Wingdings" w:hAnsi="Wingdings"/>
      </w:rPr>
    </w:lvl>
    <w:lvl w:ilvl="3" w:tplc="DA72C43E">
      <w:start w:val="1"/>
      <w:numFmt w:val="bullet"/>
      <w:lvlText w:val=""/>
      <w:lvlJc w:val="left"/>
      <w:pPr>
        <w:ind w:left="2880" w:hanging="360"/>
      </w:pPr>
      <w:rPr>
        <w:rFonts w:hint="default" w:ascii="Symbol" w:hAnsi="Symbol"/>
      </w:rPr>
    </w:lvl>
    <w:lvl w:ilvl="4" w:tplc="F76A5DB8">
      <w:start w:val="1"/>
      <w:numFmt w:val="bullet"/>
      <w:lvlText w:val="o"/>
      <w:lvlJc w:val="left"/>
      <w:pPr>
        <w:ind w:left="3600" w:hanging="360"/>
      </w:pPr>
      <w:rPr>
        <w:rFonts w:hint="default" w:ascii="Courier New" w:hAnsi="Courier New"/>
      </w:rPr>
    </w:lvl>
    <w:lvl w:ilvl="5" w:tplc="DC8209F2">
      <w:start w:val="1"/>
      <w:numFmt w:val="bullet"/>
      <w:lvlText w:val=""/>
      <w:lvlJc w:val="left"/>
      <w:pPr>
        <w:ind w:left="4320" w:hanging="360"/>
      </w:pPr>
      <w:rPr>
        <w:rFonts w:hint="default" w:ascii="Wingdings" w:hAnsi="Wingdings"/>
      </w:rPr>
    </w:lvl>
    <w:lvl w:ilvl="6" w:tplc="FA16E598">
      <w:start w:val="1"/>
      <w:numFmt w:val="bullet"/>
      <w:lvlText w:val=""/>
      <w:lvlJc w:val="left"/>
      <w:pPr>
        <w:ind w:left="5040" w:hanging="360"/>
      </w:pPr>
      <w:rPr>
        <w:rFonts w:hint="default" w:ascii="Symbol" w:hAnsi="Symbol"/>
      </w:rPr>
    </w:lvl>
    <w:lvl w:ilvl="7" w:tplc="81DEC4DA">
      <w:start w:val="1"/>
      <w:numFmt w:val="bullet"/>
      <w:lvlText w:val="o"/>
      <w:lvlJc w:val="left"/>
      <w:pPr>
        <w:ind w:left="5760" w:hanging="360"/>
      </w:pPr>
      <w:rPr>
        <w:rFonts w:hint="default" w:ascii="Courier New" w:hAnsi="Courier New"/>
      </w:rPr>
    </w:lvl>
    <w:lvl w:ilvl="8" w:tplc="57A6DF18">
      <w:start w:val="1"/>
      <w:numFmt w:val="bullet"/>
      <w:lvlText w:val=""/>
      <w:lvlJc w:val="left"/>
      <w:pPr>
        <w:ind w:left="6480" w:hanging="360"/>
      </w:pPr>
      <w:rPr>
        <w:rFonts w:hint="default" w:ascii="Wingdings" w:hAnsi="Wingdings"/>
      </w:rPr>
    </w:lvl>
  </w:abstractNum>
  <w:abstractNum w:abstractNumId="215" w15:restartNumberingAfterBreak="0">
    <w:nsid w:val="7BE95C91"/>
    <w:multiLevelType w:val="hybridMultilevel"/>
    <w:tmpl w:val="EEBE78CC"/>
    <w:lvl w:ilvl="0" w:tplc="9112CD98">
      <w:start w:val="1"/>
      <w:numFmt w:val="bullet"/>
      <w:lvlText w:val="·"/>
      <w:lvlJc w:val="left"/>
      <w:pPr>
        <w:ind w:left="720" w:hanging="360"/>
      </w:pPr>
      <w:rPr>
        <w:rFonts w:hint="default" w:ascii="Symbol" w:hAnsi="Symbol"/>
      </w:rPr>
    </w:lvl>
    <w:lvl w:ilvl="1" w:tplc="E7CE7B2C">
      <w:start w:val="1"/>
      <w:numFmt w:val="bullet"/>
      <w:lvlText w:val="o"/>
      <w:lvlJc w:val="left"/>
      <w:pPr>
        <w:ind w:left="1440" w:hanging="360"/>
      </w:pPr>
      <w:rPr>
        <w:rFonts w:hint="default" w:ascii="Courier New" w:hAnsi="Courier New"/>
      </w:rPr>
    </w:lvl>
    <w:lvl w:ilvl="2" w:tplc="DF7AEEB0">
      <w:start w:val="1"/>
      <w:numFmt w:val="bullet"/>
      <w:lvlText w:val=""/>
      <w:lvlJc w:val="left"/>
      <w:pPr>
        <w:ind w:left="2160" w:hanging="360"/>
      </w:pPr>
      <w:rPr>
        <w:rFonts w:hint="default" w:ascii="Wingdings" w:hAnsi="Wingdings"/>
      </w:rPr>
    </w:lvl>
    <w:lvl w:ilvl="3" w:tplc="567079B8">
      <w:start w:val="1"/>
      <w:numFmt w:val="bullet"/>
      <w:lvlText w:val=""/>
      <w:lvlJc w:val="left"/>
      <w:pPr>
        <w:ind w:left="2880" w:hanging="360"/>
      </w:pPr>
      <w:rPr>
        <w:rFonts w:hint="default" w:ascii="Symbol" w:hAnsi="Symbol"/>
      </w:rPr>
    </w:lvl>
    <w:lvl w:ilvl="4" w:tplc="117E7A42">
      <w:start w:val="1"/>
      <w:numFmt w:val="bullet"/>
      <w:lvlText w:val="o"/>
      <w:lvlJc w:val="left"/>
      <w:pPr>
        <w:ind w:left="3600" w:hanging="360"/>
      </w:pPr>
      <w:rPr>
        <w:rFonts w:hint="default" w:ascii="Courier New" w:hAnsi="Courier New"/>
      </w:rPr>
    </w:lvl>
    <w:lvl w:ilvl="5" w:tplc="CB6EE380">
      <w:start w:val="1"/>
      <w:numFmt w:val="bullet"/>
      <w:lvlText w:val=""/>
      <w:lvlJc w:val="left"/>
      <w:pPr>
        <w:ind w:left="4320" w:hanging="360"/>
      </w:pPr>
      <w:rPr>
        <w:rFonts w:hint="default" w:ascii="Wingdings" w:hAnsi="Wingdings"/>
      </w:rPr>
    </w:lvl>
    <w:lvl w:ilvl="6" w:tplc="59767F2C">
      <w:start w:val="1"/>
      <w:numFmt w:val="bullet"/>
      <w:lvlText w:val=""/>
      <w:lvlJc w:val="left"/>
      <w:pPr>
        <w:ind w:left="5040" w:hanging="360"/>
      </w:pPr>
      <w:rPr>
        <w:rFonts w:hint="default" w:ascii="Symbol" w:hAnsi="Symbol"/>
      </w:rPr>
    </w:lvl>
    <w:lvl w:ilvl="7" w:tplc="5C42EC84">
      <w:start w:val="1"/>
      <w:numFmt w:val="bullet"/>
      <w:lvlText w:val="o"/>
      <w:lvlJc w:val="left"/>
      <w:pPr>
        <w:ind w:left="5760" w:hanging="360"/>
      </w:pPr>
      <w:rPr>
        <w:rFonts w:hint="default" w:ascii="Courier New" w:hAnsi="Courier New"/>
      </w:rPr>
    </w:lvl>
    <w:lvl w:ilvl="8" w:tplc="3EBE8B9C">
      <w:start w:val="1"/>
      <w:numFmt w:val="bullet"/>
      <w:lvlText w:val=""/>
      <w:lvlJc w:val="left"/>
      <w:pPr>
        <w:ind w:left="6480" w:hanging="360"/>
      </w:pPr>
      <w:rPr>
        <w:rFonts w:hint="default" w:ascii="Wingdings" w:hAnsi="Wingdings"/>
      </w:rPr>
    </w:lvl>
  </w:abstractNum>
  <w:abstractNum w:abstractNumId="216" w15:restartNumberingAfterBreak="0">
    <w:nsid w:val="7C257D43"/>
    <w:multiLevelType w:val="hybridMultilevel"/>
    <w:tmpl w:val="5C8A7378"/>
    <w:lvl w:ilvl="0" w:tplc="FFFFFFFF">
      <w:start w:val="1"/>
      <w:numFmt w:val="lowerLetter"/>
      <w:lvlText w:val="%1)"/>
      <w:lvlJc w:val="left"/>
      <w:pPr>
        <w:ind w:left="445" w:hanging="360"/>
      </w:p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217" w15:restartNumberingAfterBreak="0">
    <w:nsid w:val="7F6C167D"/>
    <w:multiLevelType w:val="hybridMultilevel"/>
    <w:tmpl w:val="FD787130"/>
    <w:lvl w:ilvl="0" w:tplc="A9EA0F4C">
      <w:start w:val="1"/>
      <w:numFmt w:val="bullet"/>
      <w:lvlText w:val="·"/>
      <w:lvlJc w:val="left"/>
      <w:pPr>
        <w:ind w:left="720" w:hanging="360"/>
      </w:pPr>
      <w:rPr>
        <w:rFonts w:hint="default" w:ascii="Symbol" w:hAnsi="Symbol"/>
      </w:rPr>
    </w:lvl>
    <w:lvl w:ilvl="1" w:tplc="50567486">
      <w:start w:val="1"/>
      <w:numFmt w:val="bullet"/>
      <w:lvlText w:val="o"/>
      <w:lvlJc w:val="left"/>
      <w:pPr>
        <w:ind w:left="1440" w:hanging="360"/>
      </w:pPr>
      <w:rPr>
        <w:rFonts w:hint="default" w:ascii="Courier New" w:hAnsi="Courier New"/>
      </w:rPr>
    </w:lvl>
    <w:lvl w:ilvl="2" w:tplc="B8205350">
      <w:start w:val="1"/>
      <w:numFmt w:val="bullet"/>
      <w:lvlText w:val=""/>
      <w:lvlJc w:val="left"/>
      <w:pPr>
        <w:ind w:left="2160" w:hanging="360"/>
      </w:pPr>
      <w:rPr>
        <w:rFonts w:hint="default" w:ascii="Wingdings" w:hAnsi="Wingdings"/>
      </w:rPr>
    </w:lvl>
    <w:lvl w:ilvl="3" w:tplc="B8CC0EFA">
      <w:start w:val="1"/>
      <w:numFmt w:val="bullet"/>
      <w:lvlText w:val=""/>
      <w:lvlJc w:val="left"/>
      <w:pPr>
        <w:ind w:left="2880" w:hanging="360"/>
      </w:pPr>
      <w:rPr>
        <w:rFonts w:hint="default" w:ascii="Symbol" w:hAnsi="Symbol"/>
      </w:rPr>
    </w:lvl>
    <w:lvl w:ilvl="4" w:tplc="073008D4">
      <w:start w:val="1"/>
      <w:numFmt w:val="bullet"/>
      <w:lvlText w:val="o"/>
      <w:lvlJc w:val="left"/>
      <w:pPr>
        <w:ind w:left="3600" w:hanging="360"/>
      </w:pPr>
      <w:rPr>
        <w:rFonts w:hint="default" w:ascii="Courier New" w:hAnsi="Courier New"/>
      </w:rPr>
    </w:lvl>
    <w:lvl w:ilvl="5" w:tplc="256C21A4">
      <w:start w:val="1"/>
      <w:numFmt w:val="bullet"/>
      <w:lvlText w:val=""/>
      <w:lvlJc w:val="left"/>
      <w:pPr>
        <w:ind w:left="4320" w:hanging="360"/>
      </w:pPr>
      <w:rPr>
        <w:rFonts w:hint="default" w:ascii="Wingdings" w:hAnsi="Wingdings"/>
      </w:rPr>
    </w:lvl>
    <w:lvl w:ilvl="6" w:tplc="F8463EDC">
      <w:start w:val="1"/>
      <w:numFmt w:val="bullet"/>
      <w:lvlText w:val=""/>
      <w:lvlJc w:val="left"/>
      <w:pPr>
        <w:ind w:left="5040" w:hanging="360"/>
      </w:pPr>
      <w:rPr>
        <w:rFonts w:hint="default" w:ascii="Symbol" w:hAnsi="Symbol"/>
      </w:rPr>
    </w:lvl>
    <w:lvl w:ilvl="7" w:tplc="D2B87EBA">
      <w:start w:val="1"/>
      <w:numFmt w:val="bullet"/>
      <w:lvlText w:val="o"/>
      <w:lvlJc w:val="left"/>
      <w:pPr>
        <w:ind w:left="5760" w:hanging="360"/>
      </w:pPr>
      <w:rPr>
        <w:rFonts w:hint="default" w:ascii="Courier New" w:hAnsi="Courier New"/>
      </w:rPr>
    </w:lvl>
    <w:lvl w:ilvl="8" w:tplc="3BC43D70">
      <w:start w:val="1"/>
      <w:numFmt w:val="bullet"/>
      <w:lvlText w:val=""/>
      <w:lvlJc w:val="left"/>
      <w:pPr>
        <w:ind w:left="6480" w:hanging="360"/>
      </w:pPr>
      <w:rPr>
        <w:rFonts w:hint="default" w:ascii="Wingdings" w:hAnsi="Wingdings"/>
      </w:rPr>
    </w:lvl>
  </w:abstractNum>
  <w:abstractNum w:abstractNumId="218" w15:restartNumberingAfterBreak="0">
    <w:nsid w:val="7F8D17A9"/>
    <w:multiLevelType w:val="hybridMultilevel"/>
    <w:tmpl w:val="E9A02EF4"/>
    <w:lvl w:ilvl="0" w:tplc="9728763A">
      <w:start w:val="1"/>
      <w:numFmt w:val="decimal"/>
      <w:lvlText w:val="%1."/>
      <w:lvlJc w:val="left"/>
      <w:pPr>
        <w:ind w:left="720" w:hanging="360"/>
      </w:pPr>
    </w:lvl>
    <w:lvl w:ilvl="1" w:tplc="225C9C58">
      <w:start w:val="1"/>
      <w:numFmt w:val="lowerLetter"/>
      <w:lvlText w:val="%2."/>
      <w:lvlJc w:val="left"/>
      <w:pPr>
        <w:ind w:left="1440" w:hanging="360"/>
      </w:pPr>
    </w:lvl>
    <w:lvl w:ilvl="2" w:tplc="46D011E6">
      <w:start w:val="1"/>
      <w:numFmt w:val="lowerRoman"/>
      <w:lvlText w:val="%3."/>
      <w:lvlJc w:val="right"/>
      <w:pPr>
        <w:ind w:left="2160" w:hanging="180"/>
      </w:pPr>
    </w:lvl>
    <w:lvl w:ilvl="3" w:tplc="21E242DC">
      <w:start w:val="1"/>
      <w:numFmt w:val="decimal"/>
      <w:lvlText w:val="%4."/>
      <w:lvlJc w:val="left"/>
      <w:pPr>
        <w:ind w:left="2880" w:hanging="360"/>
      </w:pPr>
    </w:lvl>
    <w:lvl w:ilvl="4" w:tplc="429A8DFA">
      <w:start w:val="1"/>
      <w:numFmt w:val="lowerLetter"/>
      <w:lvlText w:val="%5."/>
      <w:lvlJc w:val="left"/>
      <w:pPr>
        <w:ind w:left="3600" w:hanging="360"/>
      </w:pPr>
    </w:lvl>
    <w:lvl w:ilvl="5" w:tplc="150003FC">
      <w:start w:val="1"/>
      <w:numFmt w:val="lowerRoman"/>
      <w:lvlText w:val="%6."/>
      <w:lvlJc w:val="right"/>
      <w:pPr>
        <w:ind w:left="4320" w:hanging="180"/>
      </w:pPr>
    </w:lvl>
    <w:lvl w:ilvl="6" w:tplc="5DC6F0D2">
      <w:start w:val="1"/>
      <w:numFmt w:val="decimal"/>
      <w:lvlText w:val="%7."/>
      <w:lvlJc w:val="left"/>
      <w:pPr>
        <w:ind w:left="5040" w:hanging="360"/>
      </w:pPr>
    </w:lvl>
    <w:lvl w:ilvl="7" w:tplc="2C6C74FC">
      <w:start w:val="1"/>
      <w:numFmt w:val="lowerLetter"/>
      <w:lvlText w:val="%8."/>
      <w:lvlJc w:val="left"/>
      <w:pPr>
        <w:ind w:left="5760" w:hanging="360"/>
      </w:pPr>
    </w:lvl>
    <w:lvl w:ilvl="8" w:tplc="81BA3E1A">
      <w:start w:val="1"/>
      <w:numFmt w:val="lowerRoman"/>
      <w:lvlText w:val="%9."/>
      <w:lvlJc w:val="right"/>
      <w:pPr>
        <w:ind w:left="6480" w:hanging="180"/>
      </w:pPr>
    </w:lvl>
  </w:abstractNum>
  <w:abstractNum w:abstractNumId="219" w15:restartNumberingAfterBreak="0">
    <w:nsid w:val="7FC8025A"/>
    <w:multiLevelType w:val="hybridMultilevel"/>
    <w:tmpl w:val="B372C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47"/>
  </w:num>
  <w:num w:numId="3">
    <w:abstractNumId w:val="141"/>
  </w:num>
  <w:num w:numId="4">
    <w:abstractNumId w:val="215"/>
  </w:num>
  <w:num w:numId="5">
    <w:abstractNumId w:val="81"/>
  </w:num>
  <w:num w:numId="6">
    <w:abstractNumId w:val="132"/>
  </w:num>
  <w:num w:numId="7">
    <w:abstractNumId w:val="214"/>
  </w:num>
  <w:num w:numId="8">
    <w:abstractNumId w:val="62"/>
  </w:num>
  <w:num w:numId="9">
    <w:abstractNumId w:val="97"/>
  </w:num>
  <w:num w:numId="10">
    <w:abstractNumId w:val="37"/>
  </w:num>
  <w:num w:numId="11">
    <w:abstractNumId w:val="107"/>
  </w:num>
  <w:num w:numId="12">
    <w:abstractNumId w:val="218"/>
  </w:num>
  <w:num w:numId="13">
    <w:abstractNumId w:val="212"/>
  </w:num>
  <w:num w:numId="14">
    <w:abstractNumId w:val="93"/>
  </w:num>
  <w:num w:numId="15">
    <w:abstractNumId w:val="167"/>
  </w:num>
  <w:num w:numId="16">
    <w:abstractNumId w:val="193"/>
  </w:num>
  <w:num w:numId="17">
    <w:abstractNumId w:val="56"/>
  </w:num>
  <w:num w:numId="18">
    <w:abstractNumId w:val="179"/>
  </w:num>
  <w:num w:numId="19">
    <w:abstractNumId w:val="121"/>
  </w:num>
  <w:num w:numId="20">
    <w:abstractNumId w:val="38"/>
  </w:num>
  <w:num w:numId="21">
    <w:abstractNumId w:val="217"/>
  </w:num>
  <w:num w:numId="22">
    <w:abstractNumId w:val="98"/>
  </w:num>
  <w:num w:numId="23">
    <w:abstractNumId w:val="13"/>
  </w:num>
  <w:num w:numId="24">
    <w:abstractNumId w:val="95"/>
  </w:num>
  <w:num w:numId="25">
    <w:abstractNumId w:val="15"/>
  </w:num>
  <w:num w:numId="26">
    <w:abstractNumId w:val="169"/>
  </w:num>
  <w:num w:numId="27">
    <w:abstractNumId w:val="196"/>
  </w:num>
  <w:num w:numId="28">
    <w:abstractNumId w:val="198"/>
  </w:num>
  <w:num w:numId="29">
    <w:abstractNumId w:val="192"/>
  </w:num>
  <w:num w:numId="30">
    <w:abstractNumId w:val="73"/>
  </w:num>
  <w:num w:numId="31">
    <w:abstractNumId w:val="54"/>
  </w:num>
  <w:num w:numId="32">
    <w:abstractNumId w:val="146"/>
  </w:num>
  <w:num w:numId="33">
    <w:abstractNumId w:val="111"/>
  </w:num>
  <w:num w:numId="34">
    <w:abstractNumId w:val="24"/>
  </w:num>
  <w:num w:numId="35">
    <w:abstractNumId w:val="91"/>
  </w:num>
  <w:num w:numId="36">
    <w:abstractNumId w:val="153"/>
  </w:num>
  <w:num w:numId="37">
    <w:abstractNumId w:val="36"/>
  </w:num>
  <w:num w:numId="38">
    <w:abstractNumId w:val="42"/>
  </w:num>
  <w:num w:numId="39">
    <w:abstractNumId w:val="63"/>
  </w:num>
  <w:num w:numId="40">
    <w:abstractNumId w:val="166"/>
  </w:num>
  <w:num w:numId="41">
    <w:abstractNumId w:val="128"/>
  </w:num>
  <w:num w:numId="42">
    <w:abstractNumId w:val="29"/>
  </w:num>
  <w:num w:numId="43">
    <w:abstractNumId w:val="127"/>
  </w:num>
  <w:num w:numId="44">
    <w:abstractNumId w:val="11"/>
  </w:num>
  <w:num w:numId="45">
    <w:abstractNumId w:val="90"/>
  </w:num>
  <w:num w:numId="46">
    <w:abstractNumId w:val="108"/>
  </w:num>
  <w:num w:numId="47">
    <w:abstractNumId w:val="200"/>
  </w:num>
  <w:num w:numId="48">
    <w:abstractNumId w:val="3"/>
  </w:num>
  <w:num w:numId="49">
    <w:abstractNumId w:val="188"/>
  </w:num>
  <w:num w:numId="50">
    <w:abstractNumId w:val="0"/>
  </w:num>
  <w:num w:numId="51">
    <w:abstractNumId w:val="85"/>
  </w:num>
  <w:num w:numId="52">
    <w:abstractNumId w:val="52"/>
  </w:num>
  <w:num w:numId="53">
    <w:abstractNumId w:val="59"/>
  </w:num>
  <w:num w:numId="54">
    <w:abstractNumId w:val="197"/>
  </w:num>
  <w:num w:numId="55">
    <w:abstractNumId w:val="103"/>
  </w:num>
  <w:num w:numId="56">
    <w:abstractNumId w:val="191"/>
  </w:num>
  <w:num w:numId="57">
    <w:abstractNumId w:val="188"/>
  </w:num>
  <w:num w:numId="58">
    <w:abstractNumId w:val="188"/>
  </w:num>
  <w:num w:numId="59">
    <w:abstractNumId w:val="44"/>
  </w:num>
  <w:num w:numId="60">
    <w:abstractNumId w:val="180"/>
  </w:num>
  <w:num w:numId="61">
    <w:abstractNumId w:val="79"/>
  </w:num>
  <w:num w:numId="62">
    <w:abstractNumId w:val="157"/>
  </w:num>
  <w:num w:numId="63">
    <w:abstractNumId w:val="35"/>
  </w:num>
  <w:num w:numId="64">
    <w:abstractNumId w:val="136"/>
  </w:num>
  <w:num w:numId="65">
    <w:abstractNumId w:val="165"/>
  </w:num>
  <w:num w:numId="66">
    <w:abstractNumId w:val="66"/>
  </w:num>
  <w:num w:numId="67">
    <w:abstractNumId w:val="216"/>
  </w:num>
  <w:num w:numId="68">
    <w:abstractNumId w:val="21"/>
  </w:num>
  <w:num w:numId="69">
    <w:abstractNumId w:val="133"/>
  </w:num>
  <w:num w:numId="70">
    <w:abstractNumId w:val="94"/>
  </w:num>
  <w:num w:numId="71">
    <w:abstractNumId w:val="131"/>
  </w:num>
  <w:num w:numId="72">
    <w:abstractNumId w:val="58"/>
  </w:num>
  <w:num w:numId="73">
    <w:abstractNumId w:val="129"/>
  </w:num>
  <w:num w:numId="74">
    <w:abstractNumId w:val="158"/>
  </w:num>
  <w:num w:numId="75">
    <w:abstractNumId w:val="187"/>
  </w:num>
  <w:num w:numId="76">
    <w:abstractNumId w:val="61"/>
  </w:num>
  <w:num w:numId="77">
    <w:abstractNumId w:val="122"/>
  </w:num>
  <w:num w:numId="78">
    <w:abstractNumId w:val="147"/>
  </w:num>
  <w:num w:numId="79">
    <w:abstractNumId w:val="45"/>
  </w:num>
  <w:num w:numId="80">
    <w:abstractNumId w:val="67"/>
  </w:num>
  <w:num w:numId="81">
    <w:abstractNumId w:val="154"/>
  </w:num>
  <w:num w:numId="82">
    <w:abstractNumId w:val="188"/>
  </w:num>
  <w:num w:numId="83">
    <w:abstractNumId w:val="188"/>
  </w:num>
  <w:num w:numId="84">
    <w:abstractNumId w:val="188"/>
  </w:num>
  <w:num w:numId="85">
    <w:abstractNumId w:val="188"/>
  </w:num>
  <w:num w:numId="86">
    <w:abstractNumId w:val="188"/>
  </w:num>
  <w:num w:numId="87">
    <w:abstractNumId w:val="188"/>
  </w:num>
  <w:num w:numId="8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1"/>
  </w:num>
  <w:num w:numId="90">
    <w:abstractNumId w:val="58"/>
  </w:num>
  <w:num w:numId="91">
    <w:abstractNumId w:val="188"/>
  </w:num>
  <w:num w:numId="92">
    <w:abstractNumId w:val="18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131"/>
  </w:num>
  <w:num w:numId="100">
    <w:abstractNumId w:val="58"/>
  </w:num>
  <w:num w:numId="101">
    <w:abstractNumId w:val="204"/>
  </w:num>
  <w:num w:numId="102">
    <w:abstractNumId w:val="77"/>
  </w:num>
  <w:num w:numId="103">
    <w:abstractNumId w:val="181"/>
  </w:num>
  <w:num w:numId="104">
    <w:abstractNumId w:val="195"/>
  </w:num>
  <w:num w:numId="105">
    <w:abstractNumId w:val="84"/>
  </w:num>
  <w:num w:numId="106">
    <w:abstractNumId w:val="17"/>
  </w:num>
  <w:num w:numId="107">
    <w:abstractNumId w:val="123"/>
  </w:num>
  <w:num w:numId="108">
    <w:abstractNumId w:val="43"/>
  </w:num>
  <w:num w:numId="109">
    <w:abstractNumId w:val="185"/>
  </w:num>
  <w:num w:numId="110">
    <w:abstractNumId w:val="170"/>
  </w:num>
  <w:num w:numId="111">
    <w:abstractNumId w:val="48"/>
  </w:num>
  <w:num w:numId="112">
    <w:abstractNumId w:val="82"/>
  </w:num>
  <w:num w:numId="113">
    <w:abstractNumId w:val="34"/>
  </w:num>
  <w:num w:numId="114">
    <w:abstractNumId w:val="23"/>
  </w:num>
  <w:num w:numId="115">
    <w:abstractNumId w:val="125"/>
  </w:num>
  <w:num w:numId="116">
    <w:abstractNumId w:val="25"/>
  </w:num>
  <w:num w:numId="117">
    <w:abstractNumId w:val="112"/>
  </w:num>
  <w:num w:numId="118">
    <w:abstractNumId w:val="71"/>
  </w:num>
  <w:num w:numId="119">
    <w:abstractNumId w:val="148"/>
  </w:num>
  <w:num w:numId="120">
    <w:abstractNumId w:val="9"/>
  </w:num>
  <w:num w:numId="121">
    <w:abstractNumId w:val="203"/>
  </w:num>
  <w:num w:numId="122">
    <w:abstractNumId w:val="150"/>
  </w:num>
  <w:num w:numId="123">
    <w:abstractNumId w:val="86"/>
  </w:num>
  <w:num w:numId="124">
    <w:abstractNumId w:val="20"/>
  </w:num>
  <w:num w:numId="125">
    <w:abstractNumId w:val="186"/>
  </w:num>
  <w:num w:numId="126">
    <w:abstractNumId w:val="143"/>
  </w:num>
  <w:num w:numId="127">
    <w:abstractNumId w:val="6"/>
  </w:num>
  <w:num w:numId="128">
    <w:abstractNumId w:val="176"/>
  </w:num>
  <w:num w:numId="129">
    <w:abstractNumId w:val="92"/>
  </w:num>
  <w:num w:numId="130">
    <w:abstractNumId w:val="1"/>
  </w:num>
  <w:num w:numId="131">
    <w:abstractNumId w:val="130"/>
  </w:num>
  <w:num w:numId="132">
    <w:abstractNumId w:val="161"/>
  </w:num>
  <w:num w:numId="133">
    <w:abstractNumId w:val="68"/>
  </w:num>
  <w:num w:numId="134">
    <w:abstractNumId w:val="72"/>
  </w:num>
  <w:num w:numId="135">
    <w:abstractNumId w:val="144"/>
  </w:num>
  <w:num w:numId="136">
    <w:abstractNumId w:val="145"/>
  </w:num>
  <w:num w:numId="137">
    <w:abstractNumId w:val="142"/>
  </w:num>
  <w:num w:numId="138">
    <w:abstractNumId w:val="2"/>
  </w:num>
  <w:num w:numId="139">
    <w:abstractNumId w:val="124"/>
  </w:num>
  <w:num w:numId="140">
    <w:abstractNumId w:val="58"/>
  </w:num>
  <w:num w:numId="141">
    <w:abstractNumId w:val="117"/>
  </w:num>
  <w:num w:numId="142">
    <w:abstractNumId w:val="58"/>
  </w:num>
  <w:num w:numId="143">
    <w:abstractNumId w:val="58"/>
  </w:num>
  <w:num w:numId="144">
    <w:abstractNumId w:val="58"/>
  </w:num>
  <w:num w:numId="145">
    <w:abstractNumId w:val="58"/>
  </w:num>
  <w:num w:numId="146">
    <w:abstractNumId w:val="58"/>
  </w:num>
  <w:num w:numId="147">
    <w:abstractNumId w:val="58"/>
  </w:num>
  <w:num w:numId="148">
    <w:abstractNumId w:val="58"/>
  </w:num>
  <w:num w:numId="149">
    <w:abstractNumId w:val="131"/>
  </w:num>
  <w:num w:numId="150">
    <w:abstractNumId w:val="131"/>
  </w:num>
  <w:num w:numId="151">
    <w:abstractNumId w:val="131"/>
  </w:num>
  <w:num w:numId="152">
    <w:abstractNumId w:val="58"/>
  </w:num>
  <w:num w:numId="153">
    <w:abstractNumId w:val="174"/>
  </w:num>
  <w:num w:numId="154">
    <w:abstractNumId w:val="207"/>
  </w:num>
  <w:num w:numId="155">
    <w:abstractNumId w:val="58"/>
  </w:num>
  <w:num w:numId="156">
    <w:abstractNumId w:val="58"/>
  </w:num>
  <w:num w:numId="157">
    <w:abstractNumId w:val="58"/>
  </w:num>
  <w:num w:numId="158">
    <w:abstractNumId w:val="188"/>
  </w:num>
  <w:num w:numId="159">
    <w:abstractNumId w:val="58"/>
  </w:num>
  <w:num w:numId="160">
    <w:abstractNumId w:val="188"/>
  </w:num>
  <w:num w:numId="161">
    <w:abstractNumId w:val="131"/>
  </w:num>
  <w:num w:numId="162">
    <w:abstractNumId w:val="58"/>
  </w:num>
  <w:num w:numId="163">
    <w:abstractNumId w:val="58"/>
  </w:num>
  <w:num w:numId="164">
    <w:abstractNumId w:val="138"/>
  </w:num>
  <w:num w:numId="165">
    <w:abstractNumId w:val="40"/>
  </w:num>
  <w:num w:numId="166">
    <w:abstractNumId w:val="55"/>
  </w:num>
  <w:num w:numId="167">
    <w:abstractNumId w:val="156"/>
  </w:num>
  <w:num w:numId="168">
    <w:abstractNumId w:val="74"/>
  </w:num>
  <w:num w:numId="169">
    <w:abstractNumId w:val="110"/>
  </w:num>
  <w:num w:numId="170">
    <w:abstractNumId w:val="199"/>
  </w:num>
  <w:num w:numId="171">
    <w:abstractNumId w:val="58"/>
  </w:num>
  <w:num w:numId="172">
    <w:abstractNumId w:val="58"/>
  </w:num>
  <w:num w:numId="173">
    <w:abstractNumId w:val="188"/>
  </w:num>
  <w:num w:numId="174">
    <w:abstractNumId w:val="155"/>
  </w:num>
  <w:num w:numId="175">
    <w:abstractNumId w:val="27"/>
  </w:num>
  <w:num w:numId="176">
    <w:abstractNumId w:val="58"/>
  </w:num>
  <w:num w:numId="177">
    <w:abstractNumId w:val="58"/>
  </w:num>
  <w:num w:numId="178">
    <w:abstractNumId w:val="188"/>
  </w:num>
  <w:num w:numId="179">
    <w:abstractNumId w:val="188"/>
  </w:num>
  <w:num w:numId="180">
    <w:abstractNumId w:val="60"/>
  </w:num>
  <w:num w:numId="181">
    <w:abstractNumId w:val="18"/>
  </w:num>
  <w:num w:numId="182">
    <w:abstractNumId w:val="12"/>
  </w:num>
  <w:num w:numId="183">
    <w:abstractNumId w:val="16"/>
  </w:num>
  <w:num w:numId="184">
    <w:abstractNumId w:val="70"/>
  </w:num>
  <w:num w:numId="185">
    <w:abstractNumId w:val="163"/>
  </w:num>
  <w:num w:numId="186">
    <w:abstractNumId w:val="58"/>
  </w:num>
  <w:num w:numId="187">
    <w:abstractNumId w:val="194"/>
  </w:num>
  <w:num w:numId="188">
    <w:abstractNumId w:val="50"/>
  </w:num>
  <w:num w:numId="189">
    <w:abstractNumId w:val="190"/>
  </w:num>
  <w:num w:numId="190">
    <w:abstractNumId w:val="151"/>
  </w:num>
  <w:num w:numId="191">
    <w:abstractNumId w:val="58"/>
  </w:num>
  <w:num w:numId="192">
    <w:abstractNumId w:val="69"/>
  </w:num>
  <w:num w:numId="193">
    <w:abstractNumId w:val="106"/>
  </w:num>
  <w:num w:numId="194">
    <w:abstractNumId w:val="173"/>
  </w:num>
  <w:num w:numId="195">
    <w:abstractNumId w:val="58"/>
  </w:num>
  <w:num w:numId="196">
    <w:abstractNumId w:val="58"/>
  </w:num>
  <w:num w:numId="197">
    <w:abstractNumId w:val="58"/>
  </w:num>
  <w:num w:numId="198">
    <w:abstractNumId w:val="58"/>
  </w:num>
  <w:num w:numId="199">
    <w:abstractNumId w:val="58"/>
  </w:num>
  <w:num w:numId="200">
    <w:abstractNumId w:val="208"/>
  </w:num>
  <w:num w:numId="201">
    <w:abstractNumId w:val="109"/>
  </w:num>
  <w:num w:numId="202">
    <w:abstractNumId w:val="31"/>
  </w:num>
  <w:num w:numId="203">
    <w:abstractNumId w:val="58"/>
  </w:num>
  <w:num w:numId="204">
    <w:abstractNumId w:val="58"/>
  </w:num>
  <w:num w:numId="205">
    <w:abstractNumId w:val="58"/>
  </w:num>
  <w:num w:numId="206">
    <w:abstractNumId w:val="87"/>
  </w:num>
  <w:num w:numId="207">
    <w:abstractNumId w:val="14"/>
  </w:num>
  <w:num w:numId="208">
    <w:abstractNumId w:val="118"/>
  </w:num>
  <w:num w:numId="209">
    <w:abstractNumId w:val="135"/>
  </w:num>
  <w:num w:numId="210">
    <w:abstractNumId w:val="205"/>
  </w:num>
  <w:num w:numId="211">
    <w:abstractNumId w:val="182"/>
  </w:num>
  <w:num w:numId="212">
    <w:abstractNumId w:val="177"/>
  </w:num>
  <w:num w:numId="213">
    <w:abstractNumId w:val="149"/>
  </w:num>
  <w:num w:numId="214">
    <w:abstractNumId w:val="96"/>
  </w:num>
  <w:num w:numId="215">
    <w:abstractNumId w:val="100"/>
  </w:num>
  <w:num w:numId="216">
    <w:abstractNumId w:val="100"/>
    <w:lvlOverride w:ilvl="0">
      <w:lvl w:ilvl="0" w:tplc="0809001B">
        <w:start w:val="1"/>
        <w:numFmt w:val="lowerRoman"/>
        <w:lvlText w:val="%1."/>
        <w:lvlJc w:val="right"/>
        <w:pPr>
          <w:ind w:left="180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7">
    <w:abstractNumId w:val="5"/>
  </w:num>
  <w:num w:numId="218">
    <w:abstractNumId w:val="114"/>
  </w:num>
  <w:num w:numId="219">
    <w:abstractNumId w:val="206"/>
  </w:num>
  <w:num w:numId="220">
    <w:abstractNumId w:val="19"/>
  </w:num>
  <w:num w:numId="221">
    <w:abstractNumId w:val="209"/>
  </w:num>
  <w:num w:numId="222">
    <w:abstractNumId w:val="211"/>
  </w:num>
  <w:num w:numId="223">
    <w:abstractNumId w:val="39"/>
  </w:num>
  <w:num w:numId="224">
    <w:abstractNumId w:val="175"/>
  </w:num>
  <w:num w:numId="225">
    <w:abstractNumId w:val="64"/>
  </w:num>
  <w:num w:numId="226">
    <w:abstractNumId w:val="58"/>
  </w:num>
  <w:num w:numId="227">
    <w:abstractNumId w:val="75"/>
  </w:num>
  <w:num w:numId="228">
    <w:abstractNumId w:val="78"/>
  </w:num>
  <w:num w:numId="229">
    <w:abstractNumId w:val="105"/>
  </w:num>
  <w:num w:numId="230">
    <w:abstractNumId w:val="104"/>
  </w:num>
  <w:num w:numId="231">
    <w:abstractNumId w:val="80"/>
  </w:num>
  <w:num w:numId="232">
    <w:abstractNumId w:val="99"/>
  </w:num>
  <w:num w:numId="233">
    <w:abstractNumId w:val="164"/>
  </w:num>
  <w:num w:numId="234">
    <w:abstractNumId w:val="32"/>
  </w:num>
  <w:num w:numId="235">
    <w:abstractNumId w:val="113"/>
  </w:num>
  <w:num w:numId="236">
    <w:abstractNumId w:val="189"/>
  </w:num>
  <w:num w:numId="237">
    <w:abstractNumId w:val="65"/>
  </w:num>
  <w:num w:numId="238">
    <w:abstractNumId w:val="139"/>
  </w:num>
  <w:num w:numId="239">
    <w:abstractNumId w:val="171"/>
  </w:num>
  <w:num w:numId="240">
    <w:abstractNumId w:val="22"/>
  </w:num>
  <w:num w:numId="241">
    <w:abstractNumId w:val="168"/>
  </w:num>
  <w:num w:numId="242">
    <w:abstractNumId w:val="89"/>
  </w:num>
  <w:num w:numId="243">
    <w:abstractNumId w:val="178"/>
  </w:num>
  <w:num w:numId="244">
    <w:abstractNumId w:val="183"/>
  </w:num>
  <w:num w:numId="245">
    <w:abstractNumId w:val="83"/>
  </w:num>
  <w:num w:numId="246">
    <w:abstractNumId w:val="116"/>
  </w:num>
  <w:num w:numId="247">
    <w:abstractNumId w:val="76"/>
  </w:num>
  <w:num w:numId="248">
    <w:abstractNumId w:val="160"/>
  </w:num>
  <w:num w:numId="249">
    <w:abstractNumId w:val="159"/>
  </w:num>
  <w:num w:numId="250">
    <w:abstractNumId w:val="137"/>
  </w:num>
  <w:num w:numId="251">
    <w:abstractNumId w:val="33"/>
  </w:num>
  <w:num w:numId="252">
    <w:abstractNumId w:val="90"/>
  </w:num>
  <w:num w:numId="253">
    <w:abstractNumId w:val="90"/>
  </w:num>
  <w:num w:numId="254">
    <w:abstractNumId w:val="90"/>
  </w:num>
  <w:num w:numId="255">
    <w:abstractNumId w:val="126"/>
  </w:num>
  <w:num w:numId="256">
    <w:abstractNumId w:val="172"/>
  </w:num>
  <w:num w:numId="257">
    <w:abstractNumId w:val="162"/>
  </w:num>
  <w:num w:numId="258">
    <w:abstractNumId w:val="188"/>
    <w:lvlOverride w:ilvl="0">
      <w:startOverride w:val="2"/>
    </w:lvlOverride>
    <w:lvlOverride w:ilvl="1">
      <w:startOverride w:val="17"/>
    </w:lvlOverride>
    <w:lvlOverride w:ilvl="2">
      <w:startOverride w:val="2"/>
    </w:lvlOverride>
    <w:lvlOverride w:ilvl="3">
      <w:startOverride w:val="1"/>
    </w:lvlOverride>
    <w:lvlOverride w:ilvl="4">
      <w:startOverride w:val="43"/>
    </w:lvlOverride>
    <w:lvlOverride w:ilvl="5">
      <w:startOverride w:val="1"/>
    </w:lvlOverride>
    <w:lvlOverride w:ilvl="6">
      <w:startOverride w:val="1"/>
    </w:lvlOverride>
    <w:lvlOverride w:ilvl="7">
      <w:startOverride w:val="1"/>
    </w:lvlOverride>
    <w:lvlOverride w:ilvl="8">
      <w:startOverride w:val="1"/>
    </w:lvlOverride>
  </w:num>
  <w:num w:numId="259">
    <w:abstractNumId w:val="188"/>
    <w:lvlOverride w:ilvl="0">
      <w:startOverride w:val="2"/>
    </w:lvlOverride>
    <w:lvlOverride w:ilvl="1">
      <w:startOverride w:val="17"/>
    </w:lvlOverride>
    <w:lvlOverride w:ilvl="2">
      <w:startOverride w:val="2"/>
    </w:lvlOverride>
    <w:lvlOverride w:ilvl="3">
      <w:startOverride w:val="1"/>
    </w:lvlOverride>
    <w:lvlOverride w:ilvl="4">
      <w:startOverride w:val="43"/>
    </w:lvlOverride>
    <w:lvlOverride w:ilvl="5">
      <w:startOverride w:val="1"/>
    </w:lvlOverride>
    <w:lvlOverride w:ilvl="6">
      <w:startOverride w:val="1"/>
    </w:lvlOverride>
    <w:lvlOverride w:ilvl="7">
      <w:startOverride w:val="1"/>
    </w:lvlOverride>
    <w:lvlOverride w:ilvl="8">
      <w:startOverride w:val="1"/>
    </w:lvlOverride>
  </w:num>
  <w:num w:numId="260">
    <w:abstractNumId w:val="188"/>
  </w:num>
  <w:num w:numId="26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13"/>
  </w:num>
  <w:num w:numId="263">
    <w:abstractNumId w:val="28"/>
  </w:num>
  <w:num w:numId="264">
    <w:abstractNumId w:val="46"/>
  </w:num>
  <w:num w:numId="265">
    <w:abstractNumId w:val="26"/>
  </w:num>
  <w:num w:numId="266">
    <w:abstractNumId w:val="88"/>
  </w:num>
  <w:num w:numId="267">
    <w:abstractNumId w:val="119"/>
  </w:num>
  <w:num w:numId="268">
    <w:abstractNumId w:val="10"/>
  </w:num>
  <w:num w:numId="269">
    <w:abstractNumId w:val="30"/>
  </w:num>
  <w:num w:numId="270">
    <w:abstractNumId w:val="7"/>
  </w:num>
  <w:num w:numId="271">
    <w:abstractNumId w:val="134"/>
  </w:num>
  <w:num w:numId="272">
    <w:abstractNumId w:val="152"/>
  </w:num>
  <w:num w:numId="273">
    <w:abstractNumId w:val="202"/>
  </w:num>
  <w:num w:numId="274">
    <w:abstractNumId w:val="49"/>
  </w:num>
  <w:num w:numId="275">
    <w:abstractNumId w:val="140"/>
  </w:num>
  <w:num w:numId="276">
    <w:abstractNumId w:val="120"/>
  </w:num>
  <w:num w:numId="277">
    <w:abstractNumId w:val="219"/>
  </w:num>
  <w:num w:numId="278">
    <w:abstractNumId w:val="51"/>
  </w:num>
  <w:num w:numId="279">
    <w:abstractNumId w:val="184"/>
  </w:num>
  <w:num w:numId="280">
    <w:abstractNumId w:val="41"/>
  </w:num>
  <w:num w:numId="281">
    <w:abstractNumId w:val="8"/>
  </w:num>
  <w:num w:numId="282">
    <w:abstractNumId w:val="210"/>
  </w:num>
  <w:num w:numId="283">
    <w:abstractNumId w:val="201"/>
  </w:num>
  <w:num w:numId="284">
    <w:abstractNumId w:val="102"/>
  </w:num>
  <w:num w:numId="285">
    <w:abstractNumId w:val="53"/>
  </w:num>
  <w:num w:numId="286">
    <w:abstractNumId w:val="57"/>
  </w:num>
  <w:num w:numId="287">
    <w:abstractNumId w:val="115"/>
  </w:num>
  <w:numIdMacAtCleanup w:val="28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removePersonalInformation/>
  <w:removeDateAndTim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FF75025F"/>
  </w:docVars>
  <w:rsids>
    <w:rsidRoot w:val="00E13CE3"/>
    <w:rsid w:val="00001AE9"/>
    <w:rsid w:val="00001CBA"/>
    <w:rsid w:val="000021FB"/>
    <w:rsid w:val="0000307C"/>
    <w:rsid w:val="00003923"/>
    <w:rsid w:val="0000395A"/>
    <w:rsid w:val="000044B0"/>
    <w:rsid w:val="00004A2A"/>
    <w:rsid w:val="00005750"/>
    <w:rsid w:val="00005FFE"/>
    <w:rsid w:val="000068C9"/>
    <w:rsid w:val="00007D98"/>
    <w:rsid w:val="00007F9D"/>
    <w:rsid w:val="000103DF"/>
    <w:rsid w:val="00010725"/>
    <w:rsid w:val="00010774"/>
    <w:rsid w:val="00010F3A"/>
    <w:rsid w:val="000115A8"/>
    <w:rsid w:val="00011879"/>
    <w:rsid w:val="00012335"/>
    <w:rsid w:val="00013C26"/>
    <w:rsid w:val="00013DC3"/>
    <w:rsid w:val="000142F4"/>
    <w:rsid w:val="00014755"/>
    <w:rsid w:val="00014A9D"/>
    <w:rsid w:val="00014F97"/>
    <w:rsid w:val="0001511A"/>
    <w:rsid w:val="000160CA"/>
    <w:rsid w:val="00016464"/>
    <w:rsid w:val="000165E9"/>
    <w:rsid w:val="00016BFF"/>
    <w:rsid w:val="000178D0"/>
    <w:rsid w:val="00017E22"/>
    <w:rsid w:val="00020271"/>
    <w:rsid w:val="000205C7"/>
    <w:rsid w:val="000208F1"/>
    <w:rsid w:val="00021524"/>
    <w:rsid w:val="00021848"/>
    <w:rsid w:val="00021EE7"/>
    <w:rsid w:val="0002315D"/>
    <w:rsid w:val="00023CCC"/>
    <w:rsid w:val="000242A3"/>
    <w:rsid w:val="000242D1"/>
    <w:rsid w:val="00024327"/>
    <w:rsid w:val="000246A9"/>
    <w:rsid w:val="000249CF"/>
    <w:rsid w:val="00024B19"/>
    <w:rsid w:val="00024D56"/>
    <w:rsid w:val="00025B4E"/>
    <w:rsid w:val="00025BC3"/>
    <w:rsid w:val="00026094"/>
    <w:rsid w:val="0002624F"/>
    <w:rsid w:val="000263B3"/>
    <w:rsid w:val="00026876"/>
    <w:rsid w:val="00026977"/>
    <w:rsid w:val="00026C82"/>
    <w:rsid w:val="00026EF7"/>
    <w:rsid w:val="00027265"/>
    <w:rsid w:val="00027873"/>
    <w:rsid w:val="00027E69"/>
    <w:rsid w:val="00030253"/>
    <w:rsid w:val="00030390"/>
    <w:rsid w:val="00031440"/>
    <w:rsid w:val="000321B4"/>
    <w:rsid w:val="00032838"/>
    <w:rsid w:val="000331C3"/>
    <w:rsid w:val="000332C6"/>
    <w:rsid w:val="00033D5A"/>
    <w:rsid w:val="00034578"/>
    <w:rsid w:val="0003554A"/>
    <w:rsid w:val="000360A5"/>
    <w:rsid w:val="00036A1E"/>
    <w:rsid w:val="00036B23"/>
    <w:rsid w:val="00037F79"/>
    <w:rsid w:val="00040759"/>
    <w:rsid w:val="0004091A"/>
    <w:rsid w:val="00041C77"/>
    <w:rsid w:val="00041D41"/>
    <w:rsid w:val="00042304"/>
    <w:rsid w:val="00043329"/>
    <w:rsid w:val="00043481"/>
    <w:rsid w:val="000435D1"/>
    <w:rsid w:val="00043B37"/>
    <w:rsid w:val="000447AD"/>
    <w:rsid w:val="0004555E"/>
    <w:rsid w:val="00045F3F"/>
    <w:rsid w:val="00046A26"/>
    <w:rsid w:val="00046B70"/>
    <w:rsid w:val="00046BE8"/>
    <w:rsid w:val="00046CD0"/>
    <w:rsid w:val="0004756D"/>
    <w:rsid w:val="00047DF7"/>
    <w:rsid w:val="000493B5"/>
    <w:rsid w:val="0005082D"/>
    <w:rsid w:val="000509C6"/>
    <w:rsid w:val="0005258C"/>
    <w:rsid w:val="000526E3"/>
    <w:rsid w:val="00052A3B"/>
    <w:rsid w:val="0005352B"/>
    <w:rsid w:val="000536B4"/>
    <w:rsid w:val="00054413"/>
    <w:rsid w:val="000546E2"/>
    <w:rsid w:val="000552D5"/>
    <w:rsid w:val="0005604F"/>
    <w:rsid w:val="00056A16"/>
    <w:rsid w:val="00056B14"/>
    <w:rsid w:val="00056DF9"/>
    <w:rsid w:val="00056E47"/>
    <w:rsid w:val="00057749"/>
    <w:rsid w:val="000578B0"/>
    <w:rsid w:val="00057966"/>
    <w:rsid w:val="00060666"/>
    <w:rsid w:val="00062EBA"/>
    <w:rsid w:val="00063EEC"/>
    <w:rsid w:val="00064140"/>
    <w:rsid w:val="0006493B"/>
    <w:rsid w:val="00064E5D"/>
    <w:rsid w:val="000652E3"/>
    <w:rsid w:val="00065939"/>
    <w:rsid w:val="00065A08"/>
    <w:rsid w:val="00065F55"/>
    <w:rsid w:val="000661E2"/>
    <w:rsid w:val="00066E8E"/>
    <w:rsid w:val="000672D5"/>
    <w:rsid w:val="000679B1"/>
    <w:rsid w:val="00070260"/>
    <w:rsid w:val="0007057C"/>
    <w:rsid w:val="000713A0"/>
    <w:rsid w:val="00071684"/>
    <w:rsid w:val="00071814"/>
    <w:rsid w:val="00071FD3"/>
    <w:rsid w:val="000724F4"/>
    <w:rsid w:val="000725C8"/>
    <w:rsid w:val="00073646"/>
    <w:rsid w:val="000744B6"/>
    <w:rsid w:val="000745B1"/>
    <w:rsid w:val="000751A2"/>
    <w:rsid w:val="00075932"/>
    <w:rsid w:val="00075A41"/>
    <w:rsid w:val="00075C5D"/>
    <w:rsid w:val="00076582"/>
    <w:rsid w:val="00076B07"/>
    <w:rsid w:val="000778E1"/>
    <w:rsid w:val="00077A9B"/>
    <w:rsid w:val="00077AFC"/>
    <w:rsid w:val="00080110"/>
    <w:rsid w:val="0008195C"/>
    <w:rsid w:val="00081C27"/>
    <w:rsid w:val="00083C73"/>
    <w:rsid w:val="00083D0D"/>
    <w:rsid w:val="00084693"/>
    <w:rsid w:val="00085A06"/>
    <w:rsid w:val="000861BF"/>
    <w:rsid w:val="00086DA2"/>
    <w:rsid w:val="00090B48"/>
    <w:rsid w:val="0009111C"/>
    <w:rsid w:val="000916CF"/>
    <w:rsid w:val="000917F8"/>
    <w:rsid w:val="00091EE3"/>
    <w:rsid w:val="000927AF"/>
    <w:rsid w:val="00092D3C"/>
    <w:rsid w:val="00092FBF"/>
    <w:rsid w:val="00094398"/>
    <w:rsid w:val="000943D3"/>
    <w:rsid w:val="00094F56"/>
    <w:rsid w:val="00095A23"/>
    <w:rsid w:val="000960A5"/>
    <w:rsid w:val="000968E6"/>
    <w:rsid w:val="00096F2F"/>
    <w:rsid w:val="0009740A"/>
    <w:rsid w:val="000974FB"/>
    <w:rsid w:val="00097E73"/>
    <w:rsid w:val="000A00D6"/>
    <w:rsid w:val="000A1483"/>
    <w:rsid w:val="000A2026"/>
    <w:rsid w:val="000A2228"/>
    <w:rsid w:val="000A3045"/>
    <w:rsid w:val="000A3093"/>
    <w:rsid w:val="000A33CC"/>
    <w:rsid w:val="000A4140"/>
    <w:rsid w:val="000A42B5"/>
    <w:rsid w:val="000A575F"/>
    <w:rsid w:val="000A62C5"/>
    <w:rsid w:val="000A6346"/>
    <w:rsid w:val="000A65F6"/>
    <w:rsid w:val="000A67FD"/>
    <w:rsid w:val="000A7CD9"/>
    <w:rsid w:val="000A7D64"/>
    <w:rsid w:val="000B03A1"/>
    <w:rsid w:val="000B0603"/>
    <w:rsid w:val="000B0CAC"/>
    <w:rsid w:val="000B0F33"/>
    <w:rsid w:val="000B112C"/>
    <w:rsid w:val="000B1E8E"/>
    <w:rsid w:val="000B23C0"/>
    <w:rsid w:val="000B27BB"/>
    <w:rsid w:val="000B293D"/>
    <w:rsid w:val="000B313A"/>
    <w:rsid w:val="000B3A58"/>
    <w:rsid w:val="000B3BD7"/>
    <w:rsid w:val="000B3F73"/>
    <w:rsid w:val="000B4831"/>
    <w:rsid w:val="000B4BB2"/>
    <w:rsid w:val="000B4E80"/>
    <w:rsid w:val="000B5AEB"/>
    <w:rsid w:val="000B622A"/>
    <w:rsid w:val="000B6312"/>
    <w:rsid w:val="000B669C"/>
    <w:rsid w:val="000B7146"/>
    <w:rsid w:val="000B75A6"/>
    <w:rsid w:val="000B7C53"/>
    <w:rsid w:val="000B7C65"/>
    <w:rsid w:val="000B7DC6"/>
    <w:rsid w:val="000B7FDA"/>
    <w:rsid w:val="000C10CE"/>
    <w:rsid w:val="000C129C"/>
    <w:rsid w:val="000C289E"/>
    <w:rsid w:val="000C2D75"/>
    <w:rsid w:val="000C2F01"/>
    <w:rsid w:val="000C320F"/>
    <w:rsid w:val="000C3548"/>
    <w:rsid w:val="000C3665"/>
    <w:rsid w:val="000C614D"/>
    <w:rsid w:val="000C6315"/>
    <w:rsid w:val="000C6E53"/>
    <w:rsid w:val="000C7729"/>
    <w:rsid w:val="000C792C"/>
    <w:rsid w:val="000C7955"/>
    <w:rsid w:val="000C7C0B"/>
    <w:rsid w:val="000C7CD3"/>
    <w:rsid w:val="000D0185"/>
    <w:rsid w:val="000D0650"/>
    <w:rsid w:val="000D0D31"/>
    <w:rsid w:val="000D2EC3"/>
    <w:rsid w:val="000D3417"/>
    <w:rsid w:val="000D356F"/>
    <w:rsid w:val="000D3586"/>
    <w:rsid w:val="000D35D1"/>
    <w:rsid w:val="000D3CC1"/>
    <w:rsid w:val="000D416B"/>
    <w:rsid w:val="000D46EE"/>
    <w:rsid w:val="000D4FA3"/>
    <w:rsid w:val="000D66A4"/>
    <w:rsid w:val="000D6FDC"/>
    <w:rsid w:val="000D7D01"/>
    <w:rsid w:val="000E0526"/>
    <w:rsid w:val="000E0A9C"/>
    <w:rsid w:val="000E1085"/>
    <w:rsid w:val="000E1973"/>
    <w:rsid w:val="000E275A"/>
    <w:rsid w:val="000E2914"/>
    <w:rsid w:val="000E3A91"/>
    <w:rsid w:val="000E4E7C"/>
    <w:rsid w:val="000E53B8"/>
    <w:rsid w:val="000E5514"/>
    <w:rsid w:val="000E5705"/>
    <w:rsid w:val="000E60D6"/>
    <w:rsid w:val="000E778A"/>
    <w:rsid w:val="000F0E1D"/>
    <w:rsid w:val="000F205F"/>
    <w:rsid w:val="000F273B"/>
    <w:rsid w:val="000F278A"/>
    <w:rsid w:val="000F2CEE"/>
    <w:rsid w:val="000F2F60"/>
    <w:rsid w:val="000F3337"/>
    <w:rsid w:val="000F3A1E"/>
    <w:rsid w:val="000F3E9A"/>
    <w:rsid w:val="000F4421"/>
    <w:rsid w:val="000F45EA"/>
    <w:rsid w:val="000F49B3"/>
    <w:rsid w:val="000F49C8"/>
    <w:rsid w:val="000F563C"/>
    <w:rsid w:val="000F5772"/>
    <w:rsid w:val="000F5FB0"/>
    <w:rsid w:val="000F6782"/>
    <w:rsid w:val="000F7144"/>
    <w:rsid w:val="000F7812"/>
    <w:rsid w:val="000F7DFD"/>
    <w:rsid w:val="001004EE"/>
    <w:rsid w:val="0010068F"/>
    <w:rsid w:val="00100FC4"/>
    <w:rsid w:val="001011A2"/>
    <w:rsid w:val="0010135C"/>
    <w:rsid w:val="001022DE"/>
    <w:rsid w:val="001029FA"/>
    <w:rsid w:val="00102C03"/>
    <w:rsid w:val="0010375F"/>
    <w:rsid w:val="001039D4"/>
    <w:rsid w:val="001039D8"/>
    <w:rsid w:val="00103A09"/>
    <w:rsid w:val="001041FC"/>
    <w:rsid w:val="001047D6"/>
    <w:rsid w:val="001048AF"/>
    <w:rsid w:val="001053FA"/>
    <w:rsid w:val="00106418"/>
    <w:rsid w:val="00106ADD"/>
    <w:rsid w:val="00106DE3"/>
    <w:rsid w:val="00107E7E"/>
    <w:rsid w:val="00110C6B"/>
    <w:rsid w:val="0011184A"/>
    <w:rsid w:val="00111CB0"/>
    <w:rsid w:val="00112240"/>
    <w:rsid w:val="00112699"/>
    <w:rsid w:val="00113543"/>
    <w:rsid w:val="00113BC4"/>
    <w:rsid w:val="001142AD"/>
    <w:rsid w:val="00114EDD"/>
    <w:rsid w:val="0011589A"/>
    <w:rsid w:val="00115CEA"/>
    <w:rsid w:val="00116110"/>
    <w:rsid w:val="00116EEF"/>
    <w:rsid w:val="00117109"/>
    <w:rsid w:val="00120519"/>
    <w:rsid w:val="00120596"/>
    <w:rsid w:val="00121693"/>
    <w:rsid w:val="00122E1B"/>
    <w:rsid w:val="00123507"/>
    <w:rsid w:val="001235FE"/>
    <w:rsid w:val="00123B4B"/>
    <w:rsid w:val="00123DEE"/>
    <w:rsid w:val="001245E6"/>
    <w:rsid w:val="001247E1"/>
    <w:rsid w:val="00124BD6"/>
    <w:rsid w:val="00124F82"/>
    <w:rsid w:val="001253E7"/>
    <w:rsid w:val="00126B50"/>
    <w:rsid w:val="0012756A"/>
    <w:rsid w:val="001308B3"/>
    <w:rsid w:val="001308EA"/>
    <w:rsid w:val="0013115B"/>
    <w:rsid w:val="001319DE"/>
    <w:rsid w:val="00131EDA"/>
    <w:rsid w:val="00132139"/>
    <w:rsid w:val="001329FA"/>
    <w:rsid w:val="001331BD"/>
    <w:rsid w:val="0013439B"/>
    <w:rsid w:val="00134C49"/>
    <w:rsid w:val="00135166"/>
    <w:rsid w:val="001353EC"/>
    <w:rsid w:val="001354CE"/>
    <w:rsid w:val="00135FA8"/>
    <w:rsid w:val="00136B39"/>
    <w:rsid w:val="00137846"/>
    <w:rsid w:val="00140842"/>
    <w:rsid w:val="00140E4C"/>
    <w:rsid w:val="001415CE"/>
    <w:rsid w:val="0014425E"/>
    <w:rsid w:val="001448D9"/>
    <w:rsid w:val="00144CD5"/>
    <w:rsid w:val="0014587C"/>
    <w:rsid w:val="00146DF3"/>
    <w:rsid w:val="00147D95"/>
    <w:rsid w:val="00150664"/>
    <w:rsid w:val="001506D1"/>
    <w:rsid w:val="00151035"/>
    <w:rsid w:val="0015189D"/>
    <w:rsid w:val="00151EC7"/>
    <w:rsid w:val="0015219C"/>
    <w:rsid w:val="001528ED"/>
    <w:rsid w:val="001533F2"/>
    <w:rsid w:val="001534CA"/>
    <w:rsid w:val="001535CC"/>
    <w:rsid w:val="001536B9"/>
    <w:rsid w:val="00153B46"/>
    <w:rsid w:val="00154AF2"/>
    <w:rsid w:val="0015524E"/>
    <w:rsid w:val="00155516"/>
    <w:rsid w:val="001561A9"/>
    <w:rsid w:val="0015627C"/>
    <w:rsid w:val="0015646D"/>
    <w:rsid w:val="001577F5"/>
    <w:rsid w:val="00157DE7"/>
    <w:rsid w:val="0016087B"/>
    <w:rsid w:val="00160B54"/>
    <w:rsid w:val="00161499"/>
    <w:rsid w:val="00161AE8"/>
    <w:rsid w:val="00161C05"/>
    <w:rsid w:val="00162BF7"/>
    <w:rsid w:val="001636DD"/>
    <w:rsid w:val="00163DE1"/>
    <w:rsid w:val="00163EC7"/>
    <w:rsid w:val="00164384"/>
    <w:rsid w:val="00165392"/>
    <w:rsid w:val="001653A4"/>
    <w:rsid w:val="001654CE"/>
    <w:rsid w:val="001663F8"/>
    <w:rsid w:val="00166A25"/>
    <w:rsid w:val="00167158"/>
    <w:rsid w:val="0016748B"/>
    <w:rsid w:val="0016777E"/>
    <w:rsid w:val="00167CFF"/>
    <w:rsid w:val="0016E8B3"/>
    <w:rsid w:val="001705E9"/>
    <w:rsid w:val="00170618"/>
    <w:rsid w:val="00170788"/>
    <w:rsid w:val="0017118A"/>
    <w:rsid w:val="0017190A"/>
    <w:rsid w:val="00171B62"/>
    <w:rsid w:val="00172204"/>
    <w:rsid w:val="00172748"/>
    <w:rsid w:val="00172DE6"/>
    <w:rsid w:val="00172E51"/>
    <w:rsid w:val="001730CC"/>
    <w:rsid w:val="0017346D"/>
    <w:rsid w:val="0017367F"/>
    <w:rsid w:val="00173E2F"/>
    <w:rsid w:val="00173EA7"/>
    <w:rsid w:val="001763F2"/>
    <w:rsid w:val="0017753B"/>
    <w:rsid w:val="001779EA"/>
    <w:rsid w:val="00177D52"/>
    <w:rsid w:val="00177D7E"/>
    <w:rsid w:val="00177ED9"/>
    <w:rsid w:val="001808CA"/>
    <w:rsid w:val="001814CE"/>
    <w:rsid w:val="00181607"/>
    <w:rsid w:val="001817ED"/>
    <w:rsid w:val="00181AFF"/>
    <w:rsid w:val="00181FDA"/>
    <w:rsid w:val="0018213C"/>
    <w:rsid w:val="001831D4"/>
    <w:rsid w:val="0018376A"/>
    <w:rsid w:val="0018458C"/>
    <w:rsid w:val="001847C9"/>
    <w:rsid w:val="00184CE0"/>
    <w:rsid w:val="00185833"/>
    <w:rsid w:val="00185A09"/>
    <w:rsid w:val="00187225"/>
    <w:rsid w:val="001873C2"/>
    <w:rsid w:val="00190B38"/>
    <w:rsid w:val="0019196B"/>
    <w:rsid w:val="00191A77"/>
    <w:rsid w:val="00191B0B"/>
    <w:rsid w:val="00192F42"/>
    <w:rsid w:val="0019312E"/>
    <w:rsid w:val="001933BA"/>
    <w:rsid w:val="00193452"/>
    <w:rsid w:val="00195FE9"/>
    <w:rsid w:val="001971EB"/>
    <w:rsid w:val="00197C49"/>
    <w:rsid w:val="001A10F6"/>
    <w:rsid w:val="001A116F"/>
    <w:rsid w:val="001A197E"/>
    <w:rsid w:val="001A2539"/>
    <w:rsid w:val="001A299F"/>
    <w:rsid w:val="001A29A6"/>
    <w:rsid w:val="001A29F5"/>
    <w:rsid w:val="001A2AE4"/>
    <w:rsid w:val="001A2B78"/>
    <w:rsid w:val="001A2F10"/>
    <w:rsid w:val="001A3460"/>
    <w:rsid w:val="001A5804"/>
    <w:rsid w:val="001A6379"/>
    <w:rsid w:val="001A6769"/>
    <w:rsid w:val="001A72A0"/>
    <w:rsid w:val="001A7788"/>
    <w:rsid w:val="001A78B3"/>
    <w:rsid w:val="001B05BD"/>
    <w:rsid w:val="001B0AB3"/>
    <w:rsid w:val="001B0CB1"/>
    <w:rsid w:val="001B1B71"/>
    <w:rsid w:val="001B231E"/>
    <w:rsid w:val="001B2E69"/>
    <w:rsid w:val="001B40E3"/>
    <w:rsid w:val="001B4240"/>
    <w:rsid w:val="001B4BC8"/>
    <w:rsid w:val="001B5F3D"/>
    <w:rsid w:val="001B6B3E"/>
    <w:rsid w:val="001B6F5E"/>
    <w:rsid w:val="001B7160"/>
    <w:rsid w:val="001C075F"/>
    <w:rsid w:val="001C0ED7"/>
    <w:rsid w:val="001C16A7"/>
    <w:rsid w:val="001C327A"/>
    <w:rsid w:val="001C34E8"/>
    <w:rsid w:val="001C3FF3"/>
    <w:rsid w:val="001C5F00"/>
    <w:rsid w:val="001C68A5"/>
    <w:rsid w:val="001C72FB"/>
    <w:rsid w:val="001C74FB"/>
    <w:rsid w:val="001C7C13"/>
    <w:rsid w:val="001D01FA"/>
    <w:rsid w:val="001D0D8C"/>
    <w:rsid w:val="001D1ACF"/>
    <w:rsid w:val="001D1BAA"/>
    <w:rsid w:val="001D2386"/>
    <w:rsid w:val="001D258F"/>
    <w:rsid w:val="001D2B9E"/>
    <w:rsid w:val="001D3665"/>
    <w:rsid w:val="001D3BEB"/>
    <w:rsid w:val="001D3DF7"/>
    <w:rsid w:val="001D42F1"/>
    <w:rsid w:val="001D43C7"/>
    <w:rsid w:val="001D4775"/>
    <w:rsid w:val="001D5054"/>
    <w:rsid w:val="001D5221"/>
    <w:rsid w:val="001D5308"/>
    <w:rsid w:val="001D5988"/>
    <w:rsid w:val="001D626A"/>
    <w:rsid w:val="001D653A"/>
    <w:rsid w:val="001D6ECF"/>
    <w:rsid w:val="001D706F"/>
    <w:rsid w:val="001D72E4"/>
    <w:rsid w:val="001D73EA"/>
    <w:rsid w:val="001D7894"/>
    <w:rsid w:val="001D7C3C"/>
    <w:rsid w:val="001D7CE0"/>
    <w:rsid w:val="001E1828"/>
    <w:rsid w:val="001E1939"/>
    <w:rsid w:val="001E1FA4"/>
    <w:rsid w:val="001E2ACA"/>
    <w:rsid w:val="001E3330"/>
    <w:rsid w:val="001E3CA8"/>
    <w:rsid w:val="001E47FB"/>
    <w:rsid w:val="001E4C03"/>
    <w:rsid w:val="001E5A11"/>
    <w:rsid w:val="001E5EDF"/>
    <w:rsid w:val="001E602B"/>
    <w:rsid w:val="001E60E0"/>
    <w:rsid w:val="001E6258"/>
    <w:rsid w:val="001E6901"/>
    <w:rsid w:val="001E6C32"/>
    <w:rsid w:val="001E6F48"/>
    <w:rsid w:val="001E7389"/>
    <w:rsid w:val="001E73DA"/>
    <w:rsid w:val="001E7CE0"/>
    <w:rsid w:val="001E7F9D"/>
    <w:rsid w:val="001F072D"/>
    <w:rsid w:val="001F0927"/>
    <w:rsid w:val="001F169E"/>
    <w:rsid w:val="001F19D3"/>
    <w:rsid w:val="001F21AF"/>
    <w:rsid w:val="001F2969"/>
    <w:rsid w:val="001F2A5F"/>
    <w:rsid w:val="001F2E31"/>
    <w:rsid w:val="001F2E32"/>
    <w:rsid w:val="001F361C"/>
    <w:rsid w:val="001F42DE"/>
    <w:rsid w:val="001F447D"/>
    <w:rsid w:val="001F49CB"/>
    <w:rsid w:val="001F54B8"/>
    <w:rsid w:val="001F5CB8"/>
    <w:rsid w:val="001F6837"/>
    <w:rsid w:val="001F6AAC"/>
    <w:rsid w:val="001F7600"/>
    <w:rsid w:val="001F7833"/>
    <w:rsid w:val="001F7941"/>
    <w:rsid w:val="001F7B15"/>
    <w:rsid w:val="001F7D71"/>
    <w:rsid w:val="001F7E42"/>
    <w:rsid w:val="001FAB86"/>
    <w:rsid w:val="00200724"/>
    <w:rsid w:val="00200730"/>
    <w:rsid w:val="00201640"/>
    <w:rsid w:val="002016C3"/>
    <w:rsid w:val="00202960"/>
    <w:rsid w:val="00203015"/>
    <w:rsid w:val="002045FC"/>
    <w:rsid w:val="00204F9C"/>
    <w:rsid w:val="00205F9E"/>
    <w:rsid w:val="002060F0"/>
    <w:rsid w:val="0020691B"/>
    <w:rsid w:val="00206B2B"/>
    <w:rsid w:val="002073C9"/>
    <w:rsid w:val="0020797F"/>
    <w:rsid w:val="002105DD"/>
    <w:rsid w:val="00211774"/>
    <w:rsid w:val="002127E8"/>
    <w:rsid w:val="00212AC7"/>
    <w:rsid w:val="00212B57"/>
    <w:rsid w:val="00212B6C"/>
    <w:rsid w:val="00212D71"/>
    <w:rsid w:val="00213429"/>
    <w:rsid w:val="002136DA"/>
    <w:rsid w:val="0021390E"/>
    <w:rsid w:val="00213AEA"/>
    <w:rsid w:val="002142FB"/>
    <w:rsid w:val="002143DC"/>
    <w:rsid w:val="00214867"/>
    <w:rsid w:val="002162FF"/>
    <w:rsid w:val="00216F1E"/>
    <w:rsid w:val="0021755B"/>
    <w:rsid w:val="00217C18"/>
    <w:rsid w:val="0022043C"/>
    <w:rsid w:val="002210C8"/>
    <w:rsid w:val="002217BE"/>
    <w:rsid w:val="0022272C"/>
    <w:rsid w:val="00222CEA"/>
    <w:rsid w:val="00223F70"/>
    <w:rsid w:val="002242E8"/>
    <w:rsid w:val="00224D17"/>
    <w:rsid w:val="00226835"/>
    <w:rsid w:val="00227893"/>
    <w:rsid w:val="0022EA2D"/>
    <w:rsid w:val="002305A4"/>
    <w:rsid w:val="0023101C"/>
    <w:rsid w:val="0023123C"/>
    <w:rsid w:val="00231308"/>
    <w:rsid w:val="002313F7"/>
    <w:rsid w:val="00231AE3"/>
    <w:rsid w:val="00231E06"/>
    <w:rsid w:val="0023200A"/>
    <w:rsid w:val="0023245E"/>
    <w:rsid w:val="00232C9E"/>
    <w:rsid w:val="002336E9"/>
    <w:rsid w:val="00234786"/>
    <w:rsid w:val="0023501F"/>
    <w:rsid w:val="00235400"/>
    <w:rsid w:val="0023643A"/>
    <w:rsid w:val="002364E1"/>
    <w:rsid w:val="002367B8"/>
    <w:rsid w:val="00236E30"/>
    <w:rsid w:val="00241135"/>
    <w:rsid w:val="00241763"/>
    <w:rsid w:val="00241C9A"/>
    <w:rsid w:val="00242B55"/>
    <w:rsid w:val="002435CD"/>
    <w:rsid w:val="00243716"/>
    <w:rsid w:val="00243B5C"/>
    <w:rsid w:val="00243E34"/>
    <w:rsid w:val="002449CC"/>
    <w:rsid w:val="00245A9E"/>
    <w:rsid w:val="00245CD9"/>
    <w:rsid w:val="0024682E"/>
    <w:rsid w:val="00246D5D"/>
    <w:rsid w:val="002472B8"/>
    <w:rsid w:val="002472D0"/>
    <w:rsid w:val="00247B73"/>
    <w:rsid w:val="00251C04"/>
    <w:rsid w:val="002526C2"/>
    <w:rsid w:val="002528FF"/>
    <w:rsid w:val="00253DFD"/>
    <w:rsid w:val="00254D22"/>
    <w:rsid w:val="002555D3"/>
    <w:rsid w:val="00255A8C"/>
    <w:rsid w:val="00255BEA"/>
    <w:rsid w:val="00255C59"/>
    <w:rsid w:val="00255C9B"/>
    <w:rsid w:val="00256BF7"/>
    <w:rsid w:val="0025715C"/>
    <w:rsid w:val="0025768A"/>
    <w:rsid w:val="00261188"/>
    <w:rsid w:val="00261F96"/>
    <w:rsid w:val="00262051"/>
    <w:rsid w:val="0026230B"/>
    <w:rsid w:val="002626CE"/>
    <w:rsid w:val="00263328"/>
    <w:rsid w:val="00263754"/>
    <w:rsid w:val="00264751"/>
    <w:rsid w:val="00266240"/>
    <w:rsid w:val="0026687E"/>
    <w:rsid w:val="002670F6"/>
    <w:rsid w:val="002678B9"/>
    <w:rsid w:val="0026A1F2"/>
    <w:rsid w:val="00270CD9"/>
    <w:rsid w:val="00270F75"/>
    <w:rsid w:val="00271815"/>
    <w:rsid w:val="00271819"/>
    <w:rsid w:val="00272AAC"/>
    <w:rsid w:val="00272E28"/>
    <w:rsid w:val="0027361E"/>
    <w:rsid w:val="00273F69"/>
    <w:rsid w:val="00274771"/>
    <w:rsid w:val="00274BC7"/>
    <w:rsid w:val="00275806"/>
    <w:rsid w:val="00275A35"/>
    <w:rsid w:val="00275A55"/>
    <w:rsid w:val="00275B44"/>
    <w:rsid w:val="00276101"/>
    <w:rsid w:val="00276FFB"/>
    <w:rsid w:val="00277550"/>
    <w:rsid w:val="00277B15"/>
    <w:rsid w:val="00281C72"/>
    <w:rsid w:val="00281DD6"/>
    <w:rsid w:val="00281E72"/>
    <w:rsid w:val="002822B0"/>
    <w:rsid w:val="00282777"/>
    <w:rsid w:val="0028293D"/>
    <w:rsid w:val="00283887"/>
    <w:rsid w:val="00283DC4"/>
    <w:rsid w:val="0028403B"/>
    <w:rsid w:val="00285CD9"/>
    <w:rsid w:val="00285CF3"/>
    <w:rsid w:val="00285D87"/>
    <w:rsid w:val="00285FF6"/>
    <w:rsid w:val="0028783E"/>
    <w:rsid w:val="002906FE"/>
    <w:rsid w:val="002913CE"/>
    <w:rsid w:val="0029164D"/>
    <w:rsid w:val="0029166A"/>
    <w:rsid w:val="00291ADD"/>
    <w:rsid w:val="00292556"/>
    <w:rsid w:val="00292C53"/>
    <w:rsid w:val="00293641"/>
    <w:rsid w:val="00293BCE"/>
    <w:rsid w:val="00294DE7"/>
    <w:rsid w:val="0029540E"/>
    <w:rsid w:val="00295A9E"/>
    <w:rsid w:val="0029654A"/>
    <w:rsid w:val="002965E8"/>
    <w:rsid w:val="00296779"/>
    <w:rsid w:val="00296A07"/>
    <w:rsid w:val="00296AFF"/>
    <w:rsid w:val="00297785"/>
    <w:rsid w:val="00297F81"/>
    <w:rsid w:val="002A0093"/>
    <w:rsid w:val="002A01B5"/>
    <w:rsid w:val="002A0EFA"/>
    <w:rsid w:val="002A1124"/>
    <w:rsid w:val="002A228C"/>
    <w:rsid w:val="002A26D5"/>
    <w:rsid w:val="002A2901"/>
    <w:rsid w:val="002A29E5"/>
    <w:rsid w:val="002A2C22"/>
    <w:rsid w:val="002A3586"/>
    <w:rsid w:val="002A386B"/>
    <w:rsid w:val="002A38FE"/>
    <w:rsid w:val="002A442C"/>
    <w:rsid w:val="002A498C"/>
    <w:rsid w:val="002A4C45"/>
    <w:rsid w:val="002A52BA"/>
    <w:rsid w:val="002A54D2"/>
    <w:rsid w:val="002A5D39"/>
    <w:rsid w:val="002A5F0B"/>
    <w:rsid w:val="002A69E3"/>
    <w:rsid w:val="002A6AAB"/>
    <w:rsid w:val="002B0092"/>
    <w:rsid w:val="002B0367"/>
    <w:rsid w:val="002B122D"/>
    <w:rsid w:val="002B1BF5"/>
    <w:rsid w:val="002B22C9"/>
    <w:rsid w:val="002B279F"/>
    <w:rsid w:val="002B29C0"/>
    <w:rsid w:val="002B2A61"/>
    <w:rsid w:val="002B2C4A"/>
    <w:rsid w:val="002B3976"/>
    <w:rsid w:val="002B3A54"/>
    <w:rsid w:val="002B3B7F"/>
    <w:rsid w:val="002B447C"/>
    <w:rsid w:val="002B4844"/>
    <w:rsid w:val="002B4F05"/>
    <w:rsid w:val="002B7CD0"/>
    <w:rsid w:val="002B7EA4"/>
    <w:rsid w:val="002C034F"/>
    <w:rsid w:val="002C0680"/>
    <w:rsid w:val="002C0D20"/>
    <w:rsid w:val="002C1C19"/>
    <w:rsid w:val="002C251E"/>
    <w:rsid w:val="002C349A"/>
    <w:rsid w:val="002C4634"/>
    <w:rsid w:val="002C4834"/>
    <w:rsid w:val="002C4BA7"/>
    <w:rsid w:val="002C5048"/>
    <w:rsid w:val="002C5453"/>
    <w:rsid w:val="002C67B7"/>
    <w:rsid w:val="002C6C0E"/>
    <w:rsid w:val="002C7927"/>
    <w:rsid w:val="002C7B93"/>
    <w:rsid w:val="002CDACB"/>
    <w:rsid w:val="002D060A"/>
    <w:rsid w:val="002D06FC"/>
    <w:rsid w:val="002D0BAB"/>
    <w:rsid w:val="002D1C61"/>
    <w:rsid w:val="002D1C67"/>
    <w:rsid w:val="002D1C9F"/>
    <w:rsid w:val="002D23F0"/>
    <w:rsid w:val="002D2C1C"/>
    <w:rsid w:val="002D3116"/>
    <w:rsid w:val="002D5700"/>
    <w:rsid w:val="002D6BA4"/>
    <w:rsid w:val="002D6F33"/>
    <w:rsid w:val="002D7837"/>
    <w:rsid w:val="002D7A55"/>
    <w:rsid w:val="002D7B01"/>
    <w:rsid w:val="002D7C07"/>
    <w:rsid w:val="002D7DF3"/>
    <w:rsid w:val="002E0749"/>
    <w:rsid w:val="002E0A15"/>
    <w:rsid w:val="002E342C"/>
    <w:rsid w:val="002E3492"/>
    <w:rsid w:val="002E3550"/>
    <w:rsid w:val="002E3867"/>
    <w:rsid w:val="002E41E5"/>
    <w:rsid w:val="002E512D"/>
    <w:rsid w:val="002E589F"/>
    <w:rsid w:val="002E5E2F"/>
    <w:rsid w:val="002E5ED7"/>
    <w:rsid w:val="002E6802"/>
    <w:rsid w:val="002E70E6"/>
    <w:rsid w:val="002E7149"/>
    <w:rsid w:val="002F0C43"/>
    <w:rsid w:val="002F0E88"/>
    <w:rsid w:val="002F1508"/>
    <w:rsid w:val="002F1766"/>
    <w:rsid w:val="002F176F"/>
    <w:rsid w:val="002F25E4"/>
    <w:rsid w:val="002F2B88"/>
    <w:rsid w:val="002F2E8E"/>
    <w:rsid w:val="002F36F5"/>
    <w:rsid w:val="002F3E81"/>
    <w:rsid w:val="002F3EED"/>
    <w:rsid w:val="002F42F9"/>
    <w:rsid w:val="002F55A8"/>
    <w:rsid w:val="002F5B78"/>
    <w:rsid w:val="002F5EEA"/>
    <w:rsid w:val="002F6BBC"/>
    <w:rsid w:val="002F735B"/>
    <w:rsid w:val="002F749E"/>
    <w:rsid w:val="002F7B2D"/>
    <w:rsid w:val="002F7E24"/>
    <w:rsid w:val="002F7E76"/>
    <w:rsid w:val="0030075D"/>
    <w:rsid w:val="003008B5"/>
    <w:rsid w:val="0030114B"/>
    <w:rsid w:val="0030146B"/>
    <w:rsid w:val="00303E4D"/>
    <w:rsid w:val="00304239"/>
    <w:rsid w:val="00304D8A"/>
    <w:rsid w:val="003054B1"/>
    <w:rsid w:val="003055ED"/>
    <w:rsid w:val="00305C58"/>
    <w:rsid w:val="00305EB1"/>
    <w:rsid w:val="00306CCC"/>
    <w:rsid w:val="00307D2E"/>
    <w:rsid w:val="0031049A"/>
    <w:rsid w:val="00310A05"/>
    <w:rsid w:val="00311B38"/>
    <w:rsid w:val="00311CA4"/>
    <w:rsid w:val="0031229A"/>
    <w:rsid w:val="00313FC8"/>
    <w:rsid w:val="003140B8"/>
    <w:rsid w:val="00314B99"/>
    <w:rsid w:val="00315530"/>
    <w:rsid w:val="00316469"/>
    <w:rsid w:val="00316FE1"/>
    <w:rsid w:val="00317FCD"/>
    <w:rsid w:val="00320F69"/>
    <w:rsid w:val="003213AF"/>
    <w:rsid w:val="00321C04"/>
    <w:rsid w:val="00321E55"/>
    <w:rsid w:val="003222FD"/>
    <w:rsid w:val="0032251D"/>
    <w:rsid w:val="00322967"/>
    <w:rsid w:val="00323622"/>
    <w:rsid w:val="00323E48"/>
    <w:rsid w:val="00323F98"/>
    <w:rsid w:val="003242B5"/>
    <w:rsid w:val="00324A2D"/>
    <w:rsid w:val="00325893"/>
    <w:rsid w:val="00325A1E"/>
    <w:rsid w:val="00325CDD"/>
    <w:rsid w:val="00326CA4"/>
    <w:rsid w:val="00326EE4"/>
    <w:rsid w:val="003276D2"/>
    <w:rsid w:val="0033027E"/>
    <w:rsid w:val="0033048D"/>
    <w:rsid w:val="00330A2D"/>
    <w:rsid w:val="00330F00"/>
    <w:rsid w:val="00331031"/>
    <w:rsid w:val="00331567"/>
    <w:rsid w:val="00331C56"/>
    <w:rsid w:val="00332017"/>
    <w:rsid w:val="00332FB4"/>
    <w:rsid w:val="00334A2E"/>
    <w:rsid w:val="00334ED6"/>
    <w:rsid w:val="00335095"/>
    <w:rsid w:val="00335C67"/>
    <w:rsid w:val="00335CD6"/>
    <w:rsid w:val="00336286"/>
    <w:rsid w:val="00336AC0"/>
    <w:rsid w:val="00340814"/>
    <w:rsid w:val="003413F6"/>
    <w:rsid w:val="0034188C"/>
    <w:rsid w:val="003418BC"/>
    <w:rsid w:val="00342517"/>
    <w:rsid w:val="00342E9A"/>
    <w:rsid w:val="003433C6"/>
    <w:rsid w:val="00344177"/>
    <w:rsid w:val="003466B7"/>
    <w:rsid w:val="003470D2"/>
    <w:rsid w:val="00347241"/>
    <w:rsid w:val="00347A09"/>
    <w:rsid w:val="00347A5F"/>
    <w:rsid w:val="00350F55"/>
    <w:rsid w:val="003510EE"/>
    <w:rsid w:val="003511B3"/>
    <w:rsid w:val="003525A8"/>
    <w:rsid w:val="003534D6"/>
    <w:rsid w:val="003534FB"/>
    <w:rsid w:val="00353664"/>
    <w:rsid w:val="00353F50"/>
    <w:rsid w:val="00355945"/>
    <w:rsid w:val="00356129"/>
    <w:rsid w:val="00356399"/>
    <w:rsid w:val="0035661F"/>
    <w:rsid w:val="0035686F"/>
    <w:rsid w:val="00356BB0"/>
    <w:rsid w:val="00356CD5"/>
    <w:rsid w:val="0035720C"/>
    <w:rsid w:val="00357863"/>
    <w:rsid w:val="003579E0"/>
    <w:rsid w:val="003600C0"/>
    <w:rsid w:val="003603F3"/>
    <w:rsid w:val="00360997"/>
    <w:rsid w:val="00360BE3"/>
    <w:rsid w:val="00360D17"/>
    <w:rsid w:val="00360EE6"/>
    <w:rsid w:val="00361054"/>
    <w:rsid w:val="00361308"/>
    <w:rsid w:val="0036168C"/>
    <w:rsid w:val="003616B7"/>
    <w:rsid w:val="003618A6"/>
    <w:rsid w:val="0036208B"/>
    <w:rsid w:val="00363214"/>
    <w:rsid w:val="0036322A"/>
    <w:rsid w:val="0036348E"/>
    <w:rsid w:val="00363639"/>
    <w:rsid w:val="00363970"/>
    <w:rsid w:val="003644AF"/>
    <w:rsid w:val="003645BE"/>
    <w:rsid w:val="00364E83"/>
    <w:rsid w:val="00365D47"/>
    <w:rsid w:val="00365E39"/>
    <w:rsid w:val="00366E72"/>
    <w:rsid w:val="00367C1E"/>
    <w:rsid w:val="00371993"/>
    <w:rsid w:val="00372A9E"/>
    <w:rsid w:val="00373330"/>
    <w:rsid w:val="00374C61"/>
    <w:rsid w:val="003757D6"/>
    <w:rsid w:val="003763E4"/>
    <w:rsid w:val="00377E0E"/>
    <w:rsid w:val="003813F1"/>
    <w:rsid w:val="0038298A"/>
    <w:rsid w:val="00382A94"/>
    <w:rsid w:val="00383729"/>
    <w:rsid w:val="003848DE"/>
    <w:rsid w:val="00384C42"/>
    <w:rsid w:val="00385B8F"/>
    <w:rsid w:val="00385C06"/>
    <w:rsid w:val="00386383"/>
    <w:rsid w:val="00387AEF"/>
    <w:rsid w:val="00390E48"/>
    <w:rsid w:val="003916AB"/>
    <w:rsid w:val="0039173B"/>
    <w:rsid w:val="00391B8F"/>
    <w:rsid w:val="00393392"/>
    <w:rsid w:val="003933A1"/>
    <w:rsid w:val="003936E2"/>
    <w:rsid w:val="0039418F"/>
    <w:rsid w:val="003945D2"/>
    <w:rsid w:val="003947D5"/>
    <w:rsid w:val="00394918"/>
    <w:rsid w:val="00394C94"/>
    <w:rsid w:val="00395330"/>
    <w:rsid w:val="003953DD"/>
    <w:rsid w:val="00395E7A"/>
    <w:rsid w:val="00396FA1"/>
    <w:rsid w:val="0039712A"/>
    <w:rsid w:val="003972C6"/>
    <w:rsid w:val="0039780B"/>
    <w:rsid w:val="003A1B59"/>
    <w:rsid w:val="003A344F"/>
    <w:rsid w:val="003B0163"/>
    <w:rsid w:val="003B05CB"/>
    <w:rsid w:val="003B082E"/>
    <w:rsid w:val="003B1365"/>
    <w:rsid w:val="003B1D16"/>
    <w:rsid w:val="003B2346"/>
    <w:rsid w:val="003B2434"/>
    <w:rsid w:val="003B2B8B"/>
    <w:rsid w:val="003B2C87"/>
    <w:rsid w:val="003B2EA5"/>
    <w:rsid w:val="003B3252"/>
    <w:rsid w:val="003B33D0"/>
    <w:rsid w:val="003B3B4A"/>
    <w:rsid w:val="003B4160"/>
    <w:rsid w:val="003B4903"/>
    <w:rsid w:val="003B57E5"/>
    <w:rsid w:val="003B6A69"/>
    <w:rsid w:val="003B6CC6"/>
    <w:rsid w:val="003B6E4E"/>
    <w:rsid w:val="003B7F90"/>
    <w:rsid w:val="003C0155"/>
    <w:rsid w:val="003C0684"/>
    <w:rsid w:val="003C0B12"/>
    <w:rsid w:val="003C1199"/>
    <w:rsid w:val="003C18CE"/>
    <w:rsid w:val="003C21D1"/>
    <w:rsid w:val="003C3186"/>
    <w:rsid w:val="003C3620"/>
    <w:rsid w:val="003C3D8B"/>
    <w:rsid w:val="003C40E7"/>
    <w:rsid w:val="003C444F"/>
    <w:rsid w:val="003C475B"/>
    <w:rsid w:val="003C48A0"/>
    <w:rsid w:val="003C4EB5"/>
    <w:rsid w:val="003C513F"/>
    <w:rsid w:val="003C71B0"/>
    <w:rsid w:val="003C7F9F"/>
    <w:rsid w:val="003D0402"/>
    <w:rsid w:val="003D0643"/>
    <w:rsid w:val="003D0B39"/>
    <w:rsid w:val="003D0EB0"/>
    <w:rsid w:val="003D16AE"/>
    <w:rsid w:val="003D1BCE"/>
    <w:rsid w:val="003D1C11"/>
    <w:rsid w:val="003D250B"/>
    <w:rsid w:val="003D3EA1"/>
    <w:rsid w:val="003D4079"/>
    <w:rsid w:val="003D45E2"/>
    <w:rsid w:val="003D6F29"/>
    <w:rsid w:val="003D714F"/>
    <w:rsid w:val="003D761B"/>
    <w:rsid w:val="003D7A16"/>
    <w:rsid w:val="003E07F5"/>
    <w:rsid w:val="003E0867"/>
    <w:rsid w:val="003E094D"/>
    <w:rsid w:val="003E0C51"/>
    <w:rsid w:val="003E19F8"/>
    <w:rsid w:val="003E2161"/>
    <w:rsid w:val="003E2EE0"/>
    <w:rsid w:val="003E31AF"/>
    <w:rsid w:val="003E31BC"/>
    <w:rsid w:val="003E43CB"/>
    <w:rsid w:val="003E459F"/>
    <w:rsid w:val="003E5970"/>
    <w:rsid w:val="003E5A06"/>
    <w:rsid w:val="003E60D1"/>
    <w:rsid w:val="003E6267"/>
    <w:rsid w:val="003E7C69"/>
    <w:rsid w:val="003F028D"/>
    <w:rsid w:val="003F15F3"/>
    <w:rsid w:val="003F1AB9"/>
    <w:rsid w:val="003F2450"/>
    <w:rsid w:val="003F24B7"/>
    <w:rsid w:val="003F2D7B"/>
    <w:rsid w:val="003F3628"/>
    <w:rsid w:val="003F3B50"/>
    <w:rsid w:val="003F3BD6"/>
    <w:rsid w:val="003F3CA9"/>
    <w:rsid w:val="003F3CD1"/>
    <w:rsid w:val="003F3E14"/>
    <w:rsid w:val="003F4318"/>
    <w:rsid w:val="003F5179"/>
    <w:rsid w:val="003F51D1"/>
    <w:rsid w:val="003F542E"/>
    <w:rsid w:val="003F6DC6"/>
    <w:rsid w:val="003F6FBE"/>
    <w:rsid w:val="003F72FE"/>
    <w:rsid w:val="003F7491"/>
    <w:rsid w:val="003F7ABB"/>
    <w:rsid w:val="004002B3"/>
    <w:rsid w:val="004002C0"/>
    <w:rsid w:val="00400A8F"/>
    <w:rsid w:val="00400DF4"/>
    <w:rsid w:val="00401044"/>
    <w:rsid w:val="00401695"/>
    <w:rsid w:val="00401974"/>
    <w:rsid w:val="00401EAE"/>
    <w:rsid w:val="00401F0F"/>
    <w:rsid w:val="0040242B"/>
    <w:rsid w:val="00402460"/>
    <w:rsid w:val="00402855"/>
    <w:rsid w:val="00402CBF"/>
    <w:rsid w:val="004035FD"/>
    <w:rsid w:val="004038A5"/>
    <w:rsid w:val="00404742"/>
    <w:rsid w:val="00404EB4"/>
    <w:rsid w:val="0040553C"/>
    <w:rsid w:val="00405D73"/>
    <w:rsid w:val="00406943"/>
    <w:rsid w:val="00406D4D"/>
    <w:rsid w:val="004070D5"/>
    <w:rsid w:val="00407319"/>
    <w:rsid w:val="00407E1C"/>
    <w:rsid w:val="0041076C"/>
    <w:rsid w:val="004108E6"/>
    <w:rsid w:val="00411250"/>
    <w:rsid w:val="004112AE"/>
    <w:rsid w:val="00411812"/>
    <w:rsid w:val="004118E3"/>
    <w:rsid w:val="004120C1"/>
    <w:rsid w:val="00412200"/>
    <w:rsid w:val="00412682"/>
    <w:rsid w:val="00412D8F"/>
    <w:rsid w:val="00412EC5"/>
    <w:rsid w:val="00413A0F"/>
    <w:rsid w:val="004143DC"/>
    <w:rsid w:val="00415F59"/>
    <w:rsid w:val="00416B17"/>
    <w:rsid w:val="00416B9E"/>
    <w:rsid w:val="00417A07"/>
    <w:rsid w:val="00417A0E"/>
    <w:rsid w:val="00420BE2"/>
    <w:rsid w:val="00421075"/>
    <w:rsid w:val="00421297"/>
    <w:rsid w:val="0042145B"/>
    <w:rsid w:val="004219AD"/>
    <w:rsid w:val="00421B8B"/>
    <w:rsid w:val="00421CDC"/>
    <w:rsid w:val="004220EF"/>
    <w:rsid w:val="00422778"/>
    <w:rsid w:val="004230C8"/>
    <w:rsid w:val="0042326D"/>
    <w:rsid w:val="0042328E"/>
    <w:rsid w:val="00423C95"/>
    <w:rsid w:val="00423D39"/>
    <w:rsid w:val="0042407F"/>
    <w:rsid w:val="004245FD"/>
    <w:rsid w:val="00424A93"/>
    <w:rsid w:val="00425180"/>
    <w:rsid w:val="004253A0"/>
    <w:rsid w:val="00425D91"/>
    <w:rsid w:val="00430066"/>
    <w:rsid w:val="00430F5B"/>
    <w:rsid w:val="004311E9"/>
    <w:rsid w:val="00431BCA"/>
    <w:rsid w:val="00432207"/>
    <w:rsid w:val="00432958"/>
    <w:rsid w:val="00432B1F"/>
    <w:rsid w:val="00432F81"/>
    <w:rsid w:val="00433151"/>
    <w:rsid w:val="00433F2E"/>
    <w:rsid w:val="00434DD8"/>
    <w:rsid w:val="004352C4"/>
    <w:rsid w:val="00435804"/>
    <w:rsid w:val="0043618B"/>
    <w:rsid w:val="00437391"/>
    <w:rsid w:val="0043747D"/>
    <w:rsid w:val="004379AB"/>
    <w:rsid w:val="00437B63"/>
    <w:rsid w:val="00437E45"/>
    <w:rsid w:val="00440082"/>
    <w:rsid w:val="004405EF"/>
    <w:rsid w:val="00440AD5"/>
    <w:rsid w:val="00440E0B"/>
    <w:rsid w:val="00441476"/>
    <w:rsid w:val="0044190A"/>
    <w:rsid w:val="00442FC8"/>
    <w:rsid w:val="004438C1"/>
    <w:rsid w:val="00446239"/>
    <w:rsid w:val="00446EF4"/>
    <w:rsid w:val="00446F6A"/>
    <w:rsid w:val="00446FA0"/>
    <w:rsid w:val="0044725C"/>
    <w:rsid w:val="004507BB"/>
    <w:rsid w:val="004508AD"/>
    <w:rsid w:val="00450D08"/>
    <w:rsid w:val="0045115F"/>
    <w:rsid w:val="004519A2"/>
    <w:rsid w:val="00451DEE"/>
    <w:rsid w:val="00452290"/>
    <w:rsid w:val="004524FA"/>
    <w:rsid w:val="00452DDB"/>
    <w:rsid w:val="00453251"/>
    <w:rsid w:val="00453883"/>
    <w:rsid w:val="00453BC2"/>
    <w:rsid w:val="00454906"/>
    <w:rsid w:val="00454A0C"/>
    <w:rsid w:val="00455B55"/>
    <w:rsid w:val="00455D5E"/>
    <w:rsid w:val="004566D6"/>
    <w:rsid w:val="004571D1"/>
    <w:rsid w:val="004579A7"/>
    <w:rsid w:val="004602C0"/>
    <w:rsid w:val="004604A1"/>
    <w:rsid w:val="00460604"/>
    <w:rsid w:val="0046125E"/>
    <w:rsid w:val="00461AC3"/>
    <w:rsid w:val="00462367"/>
    <w:rsid w:val="004626F2"/>
    <w:rsid w:val="00462720"/>
    <w:rsid w:val="004634C7"/>
    <w:rsid w:val="004636BB"/>
    <w:rsid w:val="004642E8"/>
    <w:rsid w:val="004643CB"/>
    <w:rsid w:val="00465413"/>
    <w:rsid w:val="004657F1"/>
    <w:rsid w:val="00465F41"/>
    <w:rsid w:val="0046672D"/>
    <w:rsid w:val="004672BA"/>
    <w:rsid w:val="00467DEA"/>
    <w:rsid w:val="00467EC2"/>
    <w:rsid w:val="0047040A"/>
    <w:rsid w:val="00471773"/>
    <w:rsid w:val="00472A31"/>
    <w:rsid w:val="00472D4B"/>
    <w:rsid w:val="00472D50"/>
    <w:rsid w:val="00473F4E"/>
    <w:rsid w:val="00474118"/>
    <w:rsid w:val="004749B5"/>
    <w:rsid w:val="00474F3A"/>
    <w:rsid w:val="004757B7"/>
    <w:rsid w:val="004764D3"/>
    <w:rsid w:val="004771B1"/>
    <w:rsid w:val="004772F7"/>
    <w:rsid w:val="0047741F"/>
    <w:rsid w:val="004778E6"/>
    <w:rsid w:val="00480143"/>
    <w:rsid w:val="004809AF"/>
    <w:rsid w:val="004813DF"/>
    <w:rsid w:val="0048166B"/>
    <w:rsid w:val="00481B00"/>
    <w:rsid w:val="0048325F"/>
    <w:rsid w:val="00483B7F"/>
    <w:rsid w:val="004842F3"/>
    <w:rsid w:val="00484568"/>
    <w:rsid w:val="00485347"/>
    <w:rsid w:val="0048581E"/>
    <w:rsid w:val="004861A4"/>
    <w:rsid w:val="00486437"/>
    <w:rsid w:val="00486C71"/>
    <w:rsid w:val="00490E37"/>
    <w:rsid w:val="004913BD"/>
    <w:rsid w:val="00491F54"/>
    <w:rsid w:val="0049207B"/>
    <w:rsid w:val="00493B54"/>
    <w:rsid w:val="00493F16"/>
    <w:rsid w:val="0049400B"/>
    <w:rsid w:val="00494724"/>
    <w:rsid w:val="004949A6"/>
    <w:rsid w:val="00495899"/>
    <w:rsid w:val="004958F0"/>
    <w:rsid w:val="0049600A"/>
    <w:rsid w:val="00497320"/>
    <w:rsid w:val="004973B6"/>
    <w:rsid w:val="004A0E37"/>
    <w:rsid w:val="004A1513"/>
    <w:rsid w:val="004A1751"/>
    <w:rsid w:val="004A1A4E"/>
    <w:rsid w:val="004A28AC"/>
    <w:rsid w:val="004A495C"/>
    <w:rsid w:val="004A5179"/>
    <w:rsid w:val="004A5A35"/>
    <w:rsid w:val="004A5B47"/>
    <w:rsid w:val="004A5D28"/>
    <w:rsid w:val="004A6095"/>
    <w:rsid w:val="004A632E"/>
    <w:rsid w:val="004A6345"/>
    <w:rsid w:val="004A750A"/>
    <w:rsid w:val="004A7776"/>
    <w:rsid w:val="004A778B"/>
    <w:rsid w:val="004A7989"/>
    <w:rsid w:val="004B113F"/>
    <w:rsid w:val="004B1543"/>
    <w:rsid w:val="004B208B"/>
    <w:rsid w:val="004B2D54"/>
    <w:rsid w:val="004B32C3"/>
    <w:rsid w:val="004B4DB1"/>
    <w:rsid w:val="004B5027"/>
    <w:rsid w:val="004B50C4"/>
    <w:rsid w:val="004B51DC"/>
    <w:rsid w:val="004B592B"/>
    <w:rsid w:val="004B5D3B"/>
    <w:rsid w:val="004B623F"/>
    <w:rsid w:val="004B713E"/>
    <w:rsid w:val="004B72EA"/>
    <w:rsid w:val="004B7506"/>
    <w:rsid w:val="004B7ECB"/>
    <w:rsid w:val="004C0A59"/>
    <w:rsid w:val="004C1036"/>
    <w:rsid w:val="004C1585"/>
    <w:rsid w:val="004C2EEC"/>
    <w:rsid w:val="004C3111"/>
    <w:rsid w:val="004C42BA"/>
    <w:rsid w:val="004C4BC5"/>
    <w:rsid w:val="004C51F8"/>
    <w:rsid w:val="004C5F07"/>
    <w:rsid w:val="004C6416"/>
    <w:rsid w:val="004C7419"/>
    <w:rsid w:val="004C7616"/>
    <w:rsid w:val="004C7A45"/>
    <w:rsid w:val="004D12A4"/>
    <w:rsid w:val="004D20FF"/>
    <w:rsid w:val="004D2174"/>
    <w:rsid w:val="004D22E3"/>
    <w:rsid w:val="004D27A1"/>
    <w:rsid w:val="004D2B45"/>
    <w:rsid w:val="004D2C2D"/>
    <w:rsid w:val="004D45EA"/>
    <w:rsid w:val="004D47D8"/>
    <w:rsid w:val="004D6841"/>
    <w:rsid w:val="004D771E"/>
    <w:rsid w:val="004D7DA2"/>
    <w:rsid w:val="004E0581"/>
    <w:rsid w:val="004E0618"/>
    <w:rsid w:val="004E06C7"/>
    <w:rsid w:val="004E07C6"/>
    <w:rsid w:val="004E0EA4"/>
    <w:rsid w:val="004E1834"/>
    <w:rsid w:val="004E1838"/>
    <w:rsid w:val="004E1A62"/>
    <w:rsid w:val="004E1E6D"/>
    <w:rsid w:val="004E1FA2"/>
    <w:rsid w:val="004E30EA"/>
    <w:rsid w:val="004E325B"/>
    <w:rsid w:val="004E3E71"/>
    <w:rsid w:val="004E4AD0"/>
    <w:rsid w:val="004E5900"/>
    <w:rsid w:val="004F016A"/>
    <w:rsid w:val="004F069D"/>
    <w:rsid w:val="004F0E84"/>
    <w:rsid w:val="004F0F94"/>
    <w:rsid w:val="004F10B3"/>
    <w:rsid w:val="004F16EA"/>
    <w:rsid w:val="004F2381"/>
    <w:rsid w:val="004F243E"/>
    <w:rsid w:val="004F2507"/>
    <w:rsid w:val="004F2877"/>
    <w:rsid w:val="004F3F11"/>
    <w:rsid w:val="004F4219"/>
    <w:rsid w:val="004F4368"/>
    <w:rsid w:val="004F4485"/>
    <w:rsid w:val="004F4694"/>
    <w:rsid w:val="004F4C6D"/>
    <w:rsid w:val="004F4ECB"/>
    <w:rsid w:val="004F68AD"/>
    <w:rsid w:val="004F6CFD"/>
    <w:rsid w:val="004F7516"/>
    <w:rsid w:val="004F7C8B"/>
    <w:rsid w:val="004F7FE8"/>
    <w:rsid w:val="00500761"/>
    <w:rsid w:val="0050116F"/>
    <w:rsid w:val="0050170D"/>
    <w:rsid w:val="005018B8"/>
    <w:rsid w:val="005028B3"/>
    <w:rsid w:val="00502EC7"/>
    <w:rsid w:val="00503D19"/>
    <w:rsid w:val="00504694"/>
    <w:rsid w:val="00504E92"/>
    <w:rsid w:val="00505C49"/>
    <w:rsid w:val="00506D07"/>
    <w:rsid w:val="005076C4"/>
    <w:rsid w:val="00507B03"/>
    <w:rsid w:val="00507EE6"/>
    <w:rsid w:val="0051006F"/>
    <w:rsid w:val="005105CE"/>
    <w:rsid w:val="005128BD"/>
    <w:rsid w:val="0051360C"/>
    <w:rsid w:val="0051480E"/>
    <w:rsid w:val="0051487B"/>
    <w:rsid w:val="00514B12"/>
    <w:rsid w:val="00514F89"/>
    <w:rsid w:val="005165E7"/>
    <w:rsid w:val="00516B24"/>
    <w:rsid w:val="00516FEC"/>
    <w:rsid w:val="005174D3"/>
    <w:rsid w:val="005179A8"/>
    <w:rsid w:val="005179F7"/>
    <w:rsid w:val="00517C03"/>
    <w:rsid w:val="00517EFA"/>
    <w:rsid w:val="00521A15"/>
    <w:rsid w:val="00521A22"/>
    <w:rsid w:val="00521B82"/>
    <w:rsid w:val="00523987"/>
    <w:rsid w:val="0052405D"/>
    <w:rsid w:val="005244DF"/>
    <w:rsid w:val="005253F4"/>
    <w:rsid w:val="00526245"/>
    <w:rsid w:val="005267D0"/>
    <w:rsid w:val="005269B9"/>
    <w:rsid w:val="00527838"/>
    <w:rsid w:val="00530CF5"/>
    <w:rsid w:val="00531044"/>
    <w:rsid w:val="005311BF"/>
    <w:rsid w:val="005315F0"/>
    <w:rsid w:val="005318AE"/>
    <w:rsid w:val="005327DA"/>
    <w:rsid w:val="00532D56"/>
    <w:rsid w:val="00532F93"/>
    <w:rsid w:val="005337DD"/>
    <w:rsid w:val="00533B95"/>
    <w:rsid w:val="00533DAD"/>
    <w:rsid w:val="00533F83"/>
    <w:rsid w:val="00534486"/>
    <w:rsid w:val="00534EC8"/>
    <w:rsid w:val="00536D73"/>
    <w:rsid w:val="00537CC8"/>
    <w:rsid w:val="00540041"/>
    <w:rsid w:val="0054081A"/>
    <w:rsid w:val="00540EA0"/>
    <w:rsid w:val="00541350"/>
    <w:rsid w:val="00541772"/>
    <w:rsid w:val="00541B98"/>
    <w:rsid w:val="005422DC"/>
    <w:rsid w:val="005423CD"/>
    <w:rsid w:val="00542E44"/>
    <w:rsid w:val="00543060"/>
    <w:rsid w:val="005432C3"/>
    <w:rsid w:val="005439E5"/>
    <w:rsid w:val="00544BC0"/>
    <w:rsid w:val="00545176"/>
    <w:rsid w:val="005463EE"/>
    <w:rsid w:val="005502E4"/>
    <w:rsid w:val="00550510"/>
    <w:rsid w:val="0055066E"/>
    <w:rsid w:val="0055077F"/>
    <w:rsid w:val="00550790"/>
    <w:rsid w:val="00550D93"/>
    <w:rsid w:val="00551254"/>
    <w:rsid w:val="0055179F"/>
    <w:rsid w:val="00551EE7"/>
    <w:rsid w:val="00552929"/>
    <w:rsid w:val="00553ADC"/>
    <w:rsid w:val="00554742"/>
    <w:rsid w:val="005547F1"/>
    <w:rsid w:val="00555CFE"/>
    <w:rsid w:val="00556372"/>
    <w:rsid w:val="0055648E"/>
    <w:rsid w:val="0055684D"/>
    <w:rsid w:val="00556D55"/>
    <w:rsid w:val="00557A6D"/>
    <w:rsid w:val="00560499"/>
    <w:rsid w:val="00560843"/>
    <w:rsid w:val="005613F8"/>
    <w:rsid w:val="005619B2"/>
    <w:rsid w:val="00562593"/>
    <w:rsid w:val="005625F7"/>
    <w:rsid w:val="0056297C"/>
    <w:rsid w:val="00562C83"/>
    <w:rsid w:val="0056313B"/>
    <w:rsid w:val="00563337"/>
    <w:rsid w:val="0056459C"/>
    <w:rsid w:val="00564635"/>
    <w:rsid w:val="005646DD"/>
    <w:rsid w:val="00564F7F"/>
    <w:rsid w:val="005654E6"/>
    <w:rsid w:val="005654E8"/>
    <w:rsid w:val="0056559D"/>
    <w:rsid w:val="00565602"/>
    <w:rsid w:val="00565DAF"/>
    <w:rsid w:val="0056619B"/>
    <w:rsid w:val="00567286"/>
    <w:rsid w:val="00567632"/>
    <w:rsid w:val="00567CDF"/>
    <w:rsid w:val="00567DB4"/>
    <w:rsid w:val="0056EE5C"/>
    <w:rsid w:val="0057049E"/>
    <w:rsid w:val="00571257"/>
    <w:rsid w:val="0057191D"/>
    <w:rsid w:val="005721B4"/>
    <w:rsid w:val="005724A2"/>
    <w:rsid w:val="00573846"/>
    <w:rsid w:val="005738FF"/>
    <w:rsid w:val="00573EA9"/>
    <w:rsid w:val="00573F2A"/>
    <w:rsid w:val="00573FC4"/>
    <w:rsid w:val="005756C5"/>
    <w:rsid w:val="005758BD"/>
    <w:rsid w:val="005762F8"/>
    <w:rsid w:val="00580D3F"/>
    <w:rsid w:val="005816FD"/>
    <w:rsid w:val="00582930"/>
    <w:rsid w:val="00582F36"/>
    <w:rsid w:val="005838AA"/>
    <w:rsid w:val="005839C6"/>
    <w:rsid w:val="00583B65"/>
    <w:rsid w:val="00583BFA"/>
    <w:rsid w:val="00583FB1"/>
    <w:rsid w:val="00584E96"/>
    <w:rsid w:val="00585511"/>
    <w:rsid w:val="005856A5"/>
    <w:rsid w:val="005856EA"/>
    <w:rsid w:val="00585A96"/>
    <w:rsid w:val="00585D22"/>
    <w:rsid w:val="00585E1B"/>
    <w:rsid w:val="005860F7"/>
    <w:rsid w:val="00586758"/>
    <w:rsid w:val="005872B3"/>
    <w:rsid w:val="0058739A"/>
    <w:rsid w:val="005875E1"/>
    <w:rsid w:val="00590134"/>
    <w:rsid w:val="005901CF"/>
    <w:rsid w:val="005906D1"/>
    <w:rsid w:val="00590F3A"/>
    <w:rsid w:val="00591854"/>
    <w:rsid w:val="005918E7"/>
    <w:rsid w:val="00591E05"/>
    <w:rsid w:val="00592FE1"/>
    <w:rsid w:val="00593170"/>
    <w:rsid w:val="005939BE"/>
    <w:rsid w:val="00594A0A"/>
    <w:rsid w:val="00594D87"/>
    <w:rsid w:val="0059510C"/>
    <w:rsid w:val="005963C0"/>
    <w:rsid w:val="00597599"/>
    <w:rsid w:val="00597A96"/>
    <w:rsid w:val="005A0149"/>
    <w:rsid w:val="005A26E9"/>
    <w:rsid w:val="005A2945"/>
    <w:rsid w:val="005A358B"/>
    <w:rsid w:val="005A368A"/>
    <w:rsid w:val="005A3B41"/>
    <w:rsid w:val="005A447F"/>
    <w:rsid w:val="005A61E0"/>
    <w:rsid w:val="005A690B"/>
    <w:rsid w:val="005A6A04"/>
    <w:rsid w:val="005A77A5"/>
    <w:rsid w:val="005A7AA4"/>
    <w:rsid w:val="005B0F42"/>
    <w:rsid w:val="005B13FA"/>
    <w:rsid w:val="005B16B8"/>
    <w:rsid w:val="005B1F50"/>
    <w:rsid w:val="005B1FE5"/>
    <w:rsid w:val="005B2D93"/>
    <w:rsid w:val="005B3F11"/>
    <w:rsid w:val="005B4526"/>
    <w:rsid w:val="005B562A"/>
    <w:rsid w:val="005B5989"/>
    <w:rsid w:val="005B5A5C"/>
    <w:rsid w:val="005B60DA"/>
    <w:rsid w:val="005B682F"/>
    <w:rsid w:val="005B6B0C"/>
    <w:rsid w:val="005B7456"/>
    <w:rsid w:val="005B7754"/>
    <w:rsid w:val="005C14B3"/>
    <w:rsid w:val="005C1CE6"/>
    <w:rsid w:val="005C25AC"/>
    <w:rsid w:val="005C31CD"/>
    <w:rsid w:val="005C3818"/>
    <w:rsid w:val="005C387C"/>
    <w:rsid w:val="005C39DC"/>
    <w:rsid w:val="005C3DC0"/>
    <w:rsid w:val="005C3FE3"/>
    <w:rsid w:val="005C4AAD"/>
    <w:rsid w:val="005C514D"/>
    <w:rsid w:val="005C5271"/>
    <w:rsid w:val="005C5CBE"/>
    <w:rsid w:val="005C6C55"/>
    <w:rsid w:val="005C78F5"/>
    <w:rsid w:val="005D1376"/>
    <w:rsid w:val="005D1DC9"/>
    <w:rsid w:val="005D2EA4"/>
    <w:rsid w:val="005D3C7B"/>
    <w:rsid w:val="005D429E"/>
    <w:rsid w:val="005D4DD5"/>
    <w:rsid w:val="005D54A0"/>
    <w:rsid w:val="005D56E3"/>
    <w:rsid w:val="005D652E"/>
    <w:rsid w:val="005D66DE"/>
    <w:rsid w:val="005D682A"/>
    <w:rsid w:val="005D6C4C"/>
    <w:rsid w:val="005D71E0"/>
    <w:rsid w:val="005D731F"/>
    <w:rsid w:val="005D73C6"/>
    <w:rsid w:val="005D7B92"/>
    <w:rsid w:val="005E014D"/>
    <w:rsid w:val="005E05C8"/>
    <w:rsid w:val="005E0691"/>
    <w:rsid w:val="005E07FD"/>
    <w:rsid w:val="005E0C83"/>
    <w:rsid w:val="005E1157"/>
    <w:rsid w:val="005E4082"/>
    <w:rsid w:val="005E4851"/>
    <w:rsid w:val="005E4A8C"/>
    <w:rsid w:val="005E5039"/>
    <w:rsid w:val="005E5FB8"/>
    <w:rsid w:val="005E66E5"/>
    <w:rsid w:val="005E709B"/>
    <w:rsid w:val="005E73E1"/>
    <w:rsid w:val="005F027F"/>
    <w:rsid w:val="005F1DD9"/>
    <w:rsid w:val="005F367B"/>
    <w:rsid w:val="005F375C"/>
    <w:rsid w:val="005F3838"/>
    <w:rsid w:val="005F3DAB"/>
    <w:rsid w:val="005F4132"/>
    <w:rsid w:val="005F4620"/>
    <w:rsid w:val="005F4985"/>
    <w:rsid w:val="005F499A"/>
    <w:rsid w:val="005F4BA1"/>
    <w:rsid w:val="005F4D99"/>
    <w:rsid w:val="005F5507"/>
    <w:rsid w:val="005F58D8"/>
    <w:rsid w:val="005F5BD1"/>
    <w:rsid w:val="005F62B1"/>
    <w:rsid w:val="005F6B2B"/>
    <w:rsid w:val="005F75E4"/>
    <w:rsid w:val="00600287"/>
    <w:rsid w:val="0060078E"/>
    <w:rsid w:val="0060155C"/>
    <w:rsid w:val="00601BBE"/>
    <w:rsid w:val="006028B1"/>
    <w:rsid w:val="0060436D"/>
    <w:rsid w:val="006049D9"/>
    <w:rsid w:val="0060703C"/>
    <w:rsid w:val="00607BC1"/>
    <w:rsid w:val="00607F6D"/>
    <w:rsid w:val="006101C1"/>
    <w:rsid w:val="00610601"/>
    <w:rsid w:val="006106E1"/>
    <w:rsid w:val="00610708"/>
    <w:rsid w:val="00611218"/>
    <w:rsid w:val="00612516"/>
    <w:rsid w:val="00612D5B"/>
    <w:rsid w:val="006132CF"/>
    <w:rsid w:val="0061396A"/>
    <w:rsid w:val="006139FD"/>
    <w:rsid w:val="00613CA3"/>
    <w:rsid w:val="00614C8F"/>
    <w:rsid w:val="006167BA"/>
    <w:rsid w:val="00616B40"/>
    <w:rsid w:val="00616B64"/>
    <w:rsid w:val="006172FD"/>
    <w:rsid w:val="00617642"/>
    <w:rsid w:val="0061771D"/>
    <w:rsid w:val="00617CFB"/>
    <w:rsid w:val="00617D2D"/>
    <w:rsid w:val="00617EA3"/>
    <w:rsid w:val="006209B5"/>
    <w:rsid w:val="00620DB3"/>
    <w:rsid w:val="00620E33"/>
    <w:rsid w:val="00621AC7"/>
    <w:rsid w:val="00621CF0"/>
    <w:rsid w:val="006225D5"/>
    <w:rsid w:val="00622F54"/>
    <w:rsid w:val="00623405"/>
    <w:rsid w:val="00623BD8"/>
    <w:rsid w:val="006240B0"/>
    <w:rsid w:val="00625870"/>
    <w:rsid w:val="00625A0F"/>
    <w:rsid w:val="00625F7F"/>
    <w:rsid w:val="00625F9C"/>
    <w:rsid w:val="00627773"/>
    <w:rsid w:val="00627D51"/>
    <w:rsid w:val="0063069D"/>
    <w:rsid w:val="00632490"/>
    <w:rsid w:val="006326A3"/>
    <w:rsid w:val="00632CE3"/>
    <w:rsid w:val="0063315B"/>
    <w:rsid w:val="00633ADF"/>
    <w:rsid w:val="006343E3"/>
    <w:rsid w:val="00634422"/>
    <w:rsid w:val="006348C3"/>
    <w:rsid w:val="0063623E"/>
    <w:rsid w:val="00636603"/>
    <w:rsid w:val="006367C4"/>
    <w:rsid w:val="00637DC4"/>
    <w:rsid w:val="00640478"/>
    <w:rsid w:val="0064099D"/>
    <w:rsid w:val="00641C2E"/>
    <w:rsid w:val="00642397"/>
    <w:rsid w:val="00642B4F"/>
    <w:rsid w:val="00642E0B"/>
    <w:rsid w:val="00643609"/>
    <w:rsid w:val="00643BC2"/>
    <w:rsid w:val="00643C41"/>
    <w:rsid w:val="00644AC6"/>
    <w:rsid w:val="00644F7A"/>
    <w:rsid w:val="006467E2"/>
    <w:rsid w:val="0064759C"/>
    <w:rsid w:val="00647C42"/>
    <w:rsid w:val="00647CB0"/>
    <w:rsid w:val="006509A3"/>
    <w:rsid w:val="00650BF4"/>
    <w:rsid w:val="00650E71"/>
    <w:rsid w:val="006512EC"/>
    <w:rsid w:val="006520B8"/>
    <w:rsid w:val="0065225A"/>
    <w:rsid w:val="00652D53"/>
    <w:rsid w:val="006547BE"/>
    <w:rsid w:val="006550E5"/>
    <w:rsid w:val="006560B6"/>
    <w:rsid w:val="0065645B"/>
    <w:rsid w:val="00656BBE"/>
    <w:rsid w:val="006574E4"/>
    <w:rsid w:val="00657C7D"/>
    <w:rsid w:val="00657D1D"/>
    <w:rsid w:val="00660C9F"/>
    <w:rsid w:val="0066119E"/>
    <w:rsid w:val="00661387"/>
    <w:rsid w:val="006619B6"/>
    <w:rsid w:val="0066227D"/>
    <w:rsid w:val="006625E4"/>
    <w:rsid w:val="006626F3"/>
    <w:rsid w:val="00662C7E"/>
    <w:rsid w:val="00663253"/>
    <w:rsid w:val="00663987"/>
    <w:rsid w:val="0066458F"/>
    <w:rsid w:val="00664CA9"/>
    <w:rsid w:val="0066580A"/>
    <w:rsid w:val="006659FF"/>
    <w:rsid w:val="00666088"/>
    <w:rsid w:val="006666FB"/>
    <w:rsid w:val="0066675F"/>
    <w:rsid w:val="00667DF6"/>
    <w:rsid w:val="00667E04"/>
    <w:rsid w:val="00670F1B"/>
    <w:rsid w:val="006716B0"/>
    <w:rsid w:val="00672D24"/>
    <w:rsid w:val="00672E7C"/>
    <w:rsid w:val="00672F82"/>
    <w:rsid w:val="00673113"/>
    <w:rsid w:val="006737D8"/>
    <w:rsid w:val="00673A26"/>
    <w:rsid w:val="00673D9B"/>
    <w:rsid w:val="00673EA4"/>
    <w:rsid w:val="00673FE1"/>
    <w:rsid w:val="00674B9B"/>
    <w:rsid w:val="00674EB1"/>
    <w:rsid w:val="00675260"/>
    <w:rsid w:val="00676DE6"/>
    <w:rsid w:val="00676FF1"/>
    <w:rsid w:val="0067786C"/>
    <w:rsid w:val="00677DD1"/>
    <w:rsid w:val="0068013E"/>
    <w:rsid w:val="00680B88"/>
    <w:rsid w:val="00680E90"/>
    <w:rsid w:val="00682385"/>
    <w:rsid w:val="00682A24"/>
    <w:rsid w:val="006835C6"/>
    <w:rsid w:val="0068399C"/>
    <w:rsid w:val="00684B07"/>
    <w:rsid w:val="00686428"/>
    <w:rsid w:val="00687613"/>
    <w:rsid w:val="006877AF"/>
    <w:rsid w:val="0069011F"/>
    <w:rsid w:val="0069035C"/>
    <w:rsid w:val="0069056D"/>
    <w:rsid w:val="00690FA7"/>
    <w:rsid w:val="00691352"/>
    <w:rsid w:val="00691C29"/>
    <w:rsid w:val="0069207E"/>
    <w:rsid w:val="0069257F"/>
    <w:rsid w:val="00692957"/>
    <w:rsid w:val="00692BC9"/>
    <w:rsid w:val="0069310A"/>
    <w:rsid w:val="0069375C"/>
    <w:rsid w:val="00693C1D"/>
    <w:rsid w:val="00693D2F"/>
    <w:rsid w:val="00693E41"/>
    <w:rsid w:val="00694F8A"/>
    <w:rsid w:val="0069637A"/>
    <w:rsid w:val="00697BB8"/>
    <w:rsid w:val="006A041F"/>
    <w:rsid w:val="006A0580"/>
    <w:rsid w:val="006A170F"/>
    <w:rsid w:val="006A1998"/>
    <w:rsid w:val="006A1C79"/>
    <w:rsid w:val="006A2317"/>
    <w:rsid w:val="006A2CF6"/>
    <w:rsid w:val="006A3266"/>
    <w:rsid w:val="006A3AE1"/>
    <w:rsid w:val="006A3E10"/>
    <w:rsid w:val="006A4B4C"/>
    <w:rsid w:val="006A519F"/>
    <w:rsid w:val="006A6662"/>
    <w:rsid w:val="006A7DCF"/>
    <w:rsid w:val="006A7FCD"/>
    <w:rsid w:val="006B0795"/>
    <w:rsid w:val="006B07C6"/>
    <w:rsid w:val="006B08A5"/>
    <w:rsid w:val="006B1A24"/>
    <w:rsid w:val="006B1BB7"/>
    <w:rsid w:val="006B29E6"/>
    <w:rsid w:val="006B369B"/>
    <w:rsid w:val="006B3727"/>
    <w:rsid w:val="006B3895"/>
    <w:rsid w:val="006B3A8A"/>
    <w:rsid w:val="006B40F0"/>
    <w:rsid w:val="006B4A6D"/>
    <w:rsid w:val="006B4B45"/>
    <w:rsid w:val="006B4B56"/>
    <w:rsid w:val="006B549B"/>
    <w:rsid w:val="006B597C"/>
    <w:rsid w:val="006B5C5C"/>
    <w:rsid w:val="006B620B"/>
    <w:rsid w:val="006B6EDC"/>
    <w:rsid w:val="006C01C7"/>
    <w:rsid w:val="006C0300"/>
    <w:rsid w:val="006C05FA"/>
    <w:rsid w:val="006C1211"/>
    <w:rsid w:val="006C315C"/>
    <w:rsid w:val="006C430E"/>
    <w:rsid w:val="006C46B3"/>
    <w:rsid w:val="006C54F1"/>
    <w:rsid w:val="006C627D"/>
    <w:rsid w:val="006C64C7"/>
    <w:rsid w:val="006C6E9B"/>
    <w:rsid w:val="006C73FE"/>
    <w:rsid w:val="006D1180"/>
    <w:rsid w:val="006D12C3"/>
    <w:rsid w:val="006D1647"/>
    <w:rsid w:val="006D1D85"/>
    <w:rsid w:val="006D2748"/>
    <w:rsid w:val="006D2911"/>
    <w:rsid w:val="006D3630"/>
    <w:rsid w:val="006D458B"/>
    <w:rsid w:val="006D5055"/>
    <w:rsid w:val="006D558A"/>
    <w:rsid w:val="006D5CCF"/>
    <w:rsid w:val="006D63F4"/>
    <w:rsid w:val="006D6E3D"/>
    <w:rsid w:val="006D7422"/>
    <w:rsid w:val="006D8DD5"/>
    <w:rsid w:val="006E002A"/>
    <w:rsid w:val="006E08AE"/>
    <w:rsid w:val="006E0987"/>
    <w:rsid w:val="006E1528"/>
    <w:rsid w:val="006E38ED"/>
    <w:rsid w:val="006E3C45"/>
    <w:rsid w:val="006E4107"/>
    <w:rsid w:val="006E4465"/>
    <w:rsid w:val="006E46EE"/>
    <w:rsid w:val="006E4DB2"/>
    <w:rsid w:val="006E5117"/>
    <w:rsid w:val="006E52F9"/>
    <w:rsid w:val="006E626D"/>
    <w:rsid w:val="006E6BE9"/>
    <w:rsid w:val="006E709C"/>
    <w:rsid w:val="006E74A2"/>
    <w:rsid w:val="006E7B26"/>
    <w:rsid w:val="006F0798"/>
    <w:rsid w:val="006F07E6"/>
    <w:rsid w:val="006F0BED"/>
    <w:rsid w:val="006F1486"/>
    <w:rsid w:val="006F205F"/>
    <w:rsid w:val="006F2EF0"/>
    <w:rsid w:val="006F3BD8"/>
    <w:rsid w:val="006F3EA3"/>
    <w:rsid w:val="006F4F3D"/>
    <w:rsid w:val="006F50B4"/>
    <w:rsid w:val="006F5604"/>
    <w:rsid w:val="006F560C"/>
    <w:rsid w:val="006F6492"/>
    <w:rsid w:val="006F65FB"/>
    <w:rsid w:val="006F6CE1"/>
    <w:rsid w:val="006F6D92"/>
    <w:rsid w:val="006F714C"/>
    <w:rsid w:val="006F7886"/>
    <w:rsid w:val="00700259"/>
    <w:rsid w:val="007017D5"/>
    <w:rsid w:val="00701A15"/>
    <w:rsid w:val="0070247A"/>
    <w:rsid w:val="00702BD3"/>
    <w:rsid w:val="00703255"/>
    <w:rsid w:val="00704549"/>
    <w:rsid w:val="007049A6"/>
    <w:rsid w:val="00706277"/>
    <w:rsid w:val="00706BEB"/>
    <w:rsid w:val="00707381"/>
    <w:rsid w:val="007079AE"/>
    <w:rsid w:val="00707A8B"/>
    <w:rsid w:val="0070A854"/>
    <w:rsid w:val="0071094E"/>
    <w:rsid w:val="00710AC7"/>
    <w:rsid w:val="007110BF"/>
    <w:rsid w:val="00711413"/>
    <w:rsid w:val="00712184"/>
    <w:rsid w:val="0071320F"/>
    <w:rsid w:val="00713231"/>
    <w:rsid w:val="007137BB"/>
    <w:rsid w:val="00713F40"/>
    <w:rsid w:val="0071430A"/>
    <w:rsid w:val="00714C7D"/>
    <w:rsid w:val="0071563A"/>
    <w:rsid w:val="00715DAB"/>
    <w:rsid w:val="007166F7"/>
    <w:rsid w:val="00716FE1"/>
    <w:rsid w:val="0071735F"/>
    <w:rsid w:val="0071795F"/>
    <w:rsid w:val="00717CEF"/>
    <w:rsid w:val="00717E3D"/>
    <w:rsid w:val="00717ECF"/>
    <w:rsid w:val="00720344"/>
    <w:rsid w:val="0072169F"/>
    <w:rsid w:val="00722AC3"/>
    <w:rsid w:val="007230BC"/>
    <w:rsid w:val="0072357C"/>
    <w:rsid w:val="007236B8"/>
    <w:rsid w:val="00723AB8"/>
    <w:rsid w:val="0072422B"/>
    <w:rsid w:val="007255A7"/>
    <w:rsid w:val="00725B30"/>
    <w:rsid w:val="00725BD4"/>
    <w:rsid w:val="007278FC"/>
    <w:rsid w:val="00730714"/>
    <w:rsid w:val="00730B13"/>
    <w:rsid w:val="00730ECD"/>
    <w:rsid w:val="00731430"/>
    <w:rsid w:val="00731781"/>
    <w:rsid w:val="00731F91"/>
    <w:rsid w:val="007323F6"/>
    <w:rsid w:val="007328A6"/>
    <w:rsid w:val="0073315C"/>
    <w:rsid w:val="00733167"/>
    <w:rsid w:val="00733951"/>
    <w:rsid w:val="007340D3"/>
    <w:rsid w:val="007354A6"/>
    <w:rsid w:val="0073582D"/>
    <w:rsid w:val="00735AA4"/>
    <w:rsid w:val="00735C01"/>
    <w:rsid w:val="0073662B"/>
    <w:rsid w:val="007374AE"/>
    <w:rsid w:val="00737773"/>
    <w:rsid w:val="00737D4B"/>
    <w:rsid w:val="007408E7"/>
    <w:rsid w:val="00740DE8"/>
    <w:rsid w:val="0074106E"/>
    <w:rsid w:val="0074126F"/>
    <w:rsid w:val="007417CE"/>
    <w:rsid w:val="00741D62"/>
    <w:rsid w:val="007422C3"/>
    <w:rsid w:val="007422EE"/>
    <w:rsid w:val="00742765"/>
    <w:rsid w:val="00742D5E"/>
    <w:rsid w:val="007434CF"/>
    <w:rsid w:val="00743CD3"/>
    <w:rsid w:val="00743D0D"/>
    <w:rsid w:val="00743E08"/>
    <w:rsid w:val="007445B9"/>
    <w:rsid w:val="00744EC2"/>
    <w:rsid w:val="007453A1"/>
    <w:rsid w:val="00745629"/>
    <w:rsid w:val="00745E3F"/>
    <w:rsid w:val="00746B3D"/>
    <w:rsid w:val="007475FA"/>
    <w:rsid w:val="00747776"/>
    <w:rsid w:val="00747E5A"/>
    <w:rsid w:val="00747EE2"/>
    <w:rsid w:val="007514EE"/>
    <w:rsid w:val="0075241C"/>
    <w:rsid w:val="00752CDD"/>
    <w:rsid w:val="00753332"/>
    <w:rsid w:val="00753CA3"/>
    <w:rsid w:val="00754526"/>
    <w:rsid w:val="007554D2"/>
    <w:rsid w:val="0075582E"/>
    <w:rsid w:val="0075593A"/>
    <w:rsid w:val="00755E18"/>
    <w:rsid w:val="00756ABD"/>
    <w:rsid w:val="00756D3B"/>
    <w:rsid w:val="00761121"/>
    <w:rsid w:val="007612E0"/>
    <w:rsid w:val="00761ED3"/>
    <w:rsid w:val="0076289A"/>
    <w:rsid w:val="00762DED"/>
    <w:rsid w:val="007636AC"/>
    <w:rsid w:val="00763FFA"/>
    <w:rsid w:val="007640DC"/>
    <w:rsid w:val="007644C5"/>
    <w:rsid w:val="00764532"/>
    <w:rsid w:val="007646E4"/>
    <w:rsid w:val="0076498B"/>
    <w:rsid w:val="00764AFD"/>
    <w:rsid w:val="00764BF2"/>
    <w:rsid w:val="00765C7B"/>
    <w:rsid w:val="00766CD9"/>
    <w:rsid w:val="0076776D"/>
    <w:rsid w:val="00767DFC"/>
    <w:rsid w:val="00767F1B"/>
    <w:rsid w:val="0077025B"/>
    <w:rsid w:val="007708C5"/>
    <w:rsid w:val="00770C09"/>
    <w:rsid w:val="00770F00"/>
    <w:rsid w:val="00771319"/>
    <w:rsid w:val="007720E4"/>
    <w:rsid w:val="00772CC7"/>
    <w:rsid w:val="00772F88"/>
    <w:rsid w:val="00773146"/>
    <w:rsid w:val="00773473"/>
    <w:rsid w:val="007738A6"/>
    <w:rsid w:val="0077436E"/>
    <w:rsid w:val="00774595"/>
    <w:rsid w:val="00775061"/>
    <w:rsid w:val="007750FB"/>
    <w:rsid w:val="007753AA"/>
    <w:rsid w:val="00775727"/>
    <w:rsid w:val="00775EBD"/>
    <w:rsid w:val="00776B94"/>
    <w:rsid w:val="00776FB3"/>
    <w:rsid w:val="007773E1"/>
    <w:rsid w:val="007779BD"/>
    <w:rsid w:val="007809D0"/>
    <w:rsid w:val="00781BED"/>
    <w:rsid w:val="0078211B"/>
    <w:rsid w:val="007827E9"/>
    <w:rsid w:val="007832F0"/>
    <w:rsid w:val="007835A7"/>
    <w:rsid w:val="00783981"/>
    <w:rsid w:val="00783D10"/>
    <w:rsid w:val="00784908"/>
    <w:rsid w:val="0078572B"/>
    <w:rsid w:val="00785B27"/>
    <w:rsid w:val="007868FC"/>
    <w:rsid w:val="00786ADA"/>
    <w:rsid w:val="00786F3D"/>
    <w:rsid w:val="00787C15"/>
    <w:rsid w:val="00787E64"/>
    <w:rsid w:val="00790C3B"/>
    <w:rsid w:val="0079141E"/>
    <w:rsid w:val="00791794"/>
    <w:rsid w:val="00792D77"/>
    <w:rsid w:val="0079352B"/>
    <w:rsid w:val="007937A1"/>
    <w:rsid w:val="007945A4"/>
    <w:rsid w:val="00794C28"/>
    <w:rsid w:val="00794E61"/>
    <w:rsid w:val="00795414"/>
    <w:rsid w:val="00795E61"/>
    <w:rsid w:val="00795F22"/>
    <w:rsid w:val="00796828"/>
    <w:rsid w:val="007969F3"/>
    <w:rsid w:val="00796C03"/>
    <w:rsid w:val="007A1169"/>
    <w:rsid w:val="007A1362"/>
    <w:rsid w:val="007A18BE"/>
    <w:rsid w:val="007A2775"/>
    <w:rsid w:val="007A3391"/>
    <w:rsid w:val="007A358E"/>
    <w:rsid w:val="007A38AB"/>
    <w:rsid w:val="007A3BA1"/>
    <w:rsid w:val="007A44D7"/>
    <w:rsid w:val="007A4886"/>
    <w:rsid w:val="007A4A92"/>
    <w:rsid w:val="007A5B3C"/>
    <w:rsid w:val="007A6A84"/>
    <w:rsid w:val="007A76B6"/>
    <w:rsid w:val="007A7B11"/>
    <w:rsid w:val="007A7F36"/>
    <w:rsid w:val="007B06E6"/>
    <w:rsid w:val="007B200A"/>
    <w:rsid w:val="007B25BE"/>
    <w:rsid w:val="007B28E7"/>
    <w:rsid w:val="007B2CF5"/>
    <w:rsid w:val="007B308E"/>
    <w:rsid w:val="007B4065"/>
    <w:rsid w:val="007B4918"/>
    <w:rsid w:val="007B491F"/>
    <w:rsid w:val="007B4927"/>
    <w:rsid w:val="007B4B0A"/>
    <w:rsid w:val="007B4FE5"/>
    <w:rsid w:val="007B56D0"/>
    <w:rsid w:val="007B57E6"/>
    <w:rsid w:val="007B6248"/>
    <w:rsid w:val="007B70F4"/>
    <w:rsid w:val="007B7A10"/>
    <w:rsid w:val="007B7D8D"/>
    <w:rsid w:val="007B7ECF"/>
    <w:rsid w:val="007C2627"/>
    <w:rsid w:val="007C3586"/>
    <w:rsid w:val="007C3977"/>
    <w:rsid w:val="007C47DE"/>
    <w:rsid w:val="007C4A67"/>
    <w:rsid w:val="007C4DBB"/>
    <w:rsid w:val="007C5FE1"/>
    <w:rsid w:val="007C73E1"/>
    <w:rsid w:val="007D0392"/>
    <w:rsid w:val="007D1464"/>
    <w:rsid w:val="007D312B"/>
    <w:rsid w:val="007D34DE"/>
    <w:rsid w:val="007D366F"/>
    <w:rsid w:val="007D3C71"/>
    <w:rsid w:val="007D4291"/>
    <w:rsid w:val="007D47D4"/>
    <w:rsid w:val="007D568C"/>
    <w:rsid w:val="007D6F7E"/>
    <w:rsid w:val="007D7250"/>
    <w:rsid w:val="007E0281"/>
    <w:rsid w:val="007E02F8"/>
    <w:rsid w:val="007E0BF4"/>
    <w:rsid w:val="007E0DD9"/>
    <w:rsid w:val="007E15AC"/>
    <w:rsid w:val="007E2659"/>
    <w:rsid w:val="007E3879"/>
    <w:rsid w:val="007E3E0D"/>
    <w:rsid w:val="007E4562"/>
    <w:rsid w:val="007E514B"/>
    <w:rsid w:val="007E531F"/>
    <w:rsid w:val="007E5DC1"/>
    <w:rsid w:val="007E66F7"/>
    <w:rsid w:val="007E6EB8"/>
    <w:rsid w:val="007E7959"/>
    <w:rsid w:val="007E7CB4"/>
    <w:rsid w:val="007F01BC"/>
    <w:rsid w:val="007F077B"/>
    <w:rsid w:val="007F0A8F"/>
    <w:rsid w:val="007F0D2E"/>
    <w:rsid w:val="007F0F03"/>
    <w:rsid w:val="007F2723"/>
    <w:rsid w:val="007F2A60"/>
    <w:rsid w:val="007F2A75"/>
    <w:rsid w:val="007F30C9"/>
    <w:rsid w:val="007F327E"/>
    <w:rsid w:val="007F33DF"/>
    <w:rsid w:val="007F416C"/>
    <w:rsid w:val="007F5A56"/>
    <w:rsid w:val="007F5F2B"/>
    <w:rsid w:val="007F706A"/>
    <w:rsid w:val="007F7F9F"/>
    <w:rsid w:val="0080078D"/>
    <w:rsid w:val="008017B4"/>
    <w:rsid w:val="00801C4C"/>
    <w:rsid w:val="00801D49"/>
    <w:rsid w:val="00802D6C"/>
    <w:rsid w:val="00803E55"/>
    <w:rsid w:val="008043A5"/>
    <w:rsid w:val="00804445"/>
    <w:rsid w:val="00804885"/>
    <w:rsid w:val="00804B16"/>
    <w:rsid w:val="00805881"/>
    <w:rsid w:val="0080602F"/>
    <w:rsid w:val="00806099"/>
    <w:rsid w:val="008062F4"/>
    <w:rsid w:val="008063B2"/>
    <w:rsid w:val="0080641A"/>
    <w:rsid w:val="00806516"/>
    <w:rsid w:val="00806BEC"/>
    <w:rsid w:val="00807112"/>
    <w:rsid w:val="00807237"/>
    <w:rsid w:val="00810925"/>
    <w:rsid w:val="0081175C"/>
    <w:rsid w:val="00811B40"/>
    <w:rsid w:val="00811CAC"/>
    <w:rsid w:val="00811DFE"/>
    <w:rsid w:val="00811E77"/>
    <w:rsid w:val="00813E64"/>
    <w:rsid w:val="008148C8"/>
    <w:rsid w:val="00816646"/>
    <w:rsid w:val="008176FB"/>
    <w:rsid w:val="008206DD"/>
    <w:rsid w:val="0082080B"/>
    <w:rsid w:val="00820935"/>
    <w:rsid w:val="00821813"/>
    <w:rsid w:val="00821D03"/>
    <w:rsid w:val="00821D28"/>
    <w:rsid w:val="0082229E"/>
    <w:rsid w:val="0082282D"/>
    <w:rsid w:val="0082357B"/>
    <w:rsid w:val="00823A62"/>
    <w:rsid w:val="00823ABB"/>
    <w:rsid w:val="00824CFD"/>
    <w:rsid w:val="008253B6"/>
    <w:rsid w:val="008257F1"/>
    <w:rsid w:val="00825E8C"/>
    <w:rsid w:val="00827BD7"/>
    <w:rsid w:val="00827FFD"/>
    <w:rsid w:val="008301A4"/>
    <w:rsid w:val="0083053F"/>
    <w:rsid w:val="00831E6F"/>
    <w:rsid w:val="0083210B"/>
    <w:rsid w:val="008323DE"/>
    <w:rsid w:val="0083336B"/>
    <w:rsid w:val="008333CD"/>
    <w:rsid w:val="00834D33"/>
    <w:rsid w:val="00834EF1"/>
    <w:rsid w:val="00835CC3"/>
    <w:rsid w:val="008371AB"/>
    <w:rsid w:val="0083756D"/>
    <w:rsid w:val="00837741"/>
    <w:rsid w:val="00837CFE"/>
    <w:rsid w:val="00838D27"/>
    <w:rsid w:val="00840179"/>
    <w:rsid w:val="008401A1"/>
    <w:rsid w:val="00841387"/>
    <w:rsid w:val="008424D5"/>
    <w:rsid w:val="00842773"/>
    <w:rsid w:val="00842B02"/>
    <w:rsid w:val="00842EC3"/>
    <w:rsid w:val="00843107"/>
    <w:rsid w:val="00843723"/>
    <w:rsid w:val="008439E8"/>
    <w:rsid w:val="00846B6A"/>
    <w:rsid w:val="0084751A"/>
    <w:rsid w:val="0084769D"/>
    <w:rsid w:val="00850F01"/>
    <w:rsid w:val="00851B0F"/>
    <w:rsid w:val="008524DB"/>
    <w:rsid w:val="00852FC9"/>
    <w:rsid w:val="00853362"/>
    <w:rsid w:val="008535D5"/>
    <w:rsid w:val="00854A59"/>
    <w:rsid w:val="00855933"/>
    <w:rsid w:val="00855A6F"/>
    <w:rsid w:val="0085724E"/>
    <w:rsid w:val="00857B54"/>
    <w:rsid w:val="0086011B"/>
    <w:rsid w:val="0086013F"/>
    <w:rsid w:val="0086030E"/>
    <w:rsid w:val="008626CC"/>
    <w:rsid w:val="008626D2"/>
    <w:rsid w:val="00862859"/>
    <w:rsid w:val="00862F1A"/>
    <w:rsid w:val="00863EFA"/>
    <w:rsid w:val="00863F05"/>
    <w:rsid w:val="00864033"/>
    <w:rsid w:val="008649C4"/>
    <w:rsid w:val="008650F2"/>
    <w:rsid w:val="008659C6"/>
    <w:rsid w:val="008661CB"/>
    <w:rsid w:val="00867BF8"/>
    <w:rsid w:val="00867F43"/>
    <w:rsid w:val="0087077E"/>
    <w:rsid w:val="008717BC"/>
    <w:rsid w:val="0087299D"/>
    <w:rsid w:val="00873009"/>
    <w:rsid w:val="0087374B"/>
    <w:rsid w:val="0087382B"/>
    <w:rsid w:val="0087405C"/>
    <w:rsid w:val="008744AF"/>
    <w:rsid w:val="00874EBA"/>
    <w:rsid w:val="00875600"/>
    <w:rsid w:val="00875754"/>
    <w:rsid w:val="00875A4B"/>
    <w:rsid w:val="00875DDD"/>
    <w:rsid w:val="008762AF"/>
    <w:rsid w:val="0087649D"/>
    <w:rsid w:val="00876809"/>
    <w:rsid w:val="00876FE6"/>
    <w:rsid w:val="00877A25"/>
    <w:rsid w:val="008810E8"/>
    <w:rsid w:val="008814E2"/>
    <w:rsid w:val="00881545"/>
    <w:rsid w:val="00881C3C"/>
    <w:rsid w:val="008824E2"/>
    <w:rsid w:val="008825E4"/>
    <w:rsid w:val="00882CBE"/>
    <w:rsid w:val="00883022"/>
    <w:rsid w:val="0088331E"/>
    <w:rsid w:val="0088361D"/>
    <w:rsid w:val="008836CA"/>
    <w:rsid w:val="0088395D"/>
    <w:rsid w:val="00883A28"/>
    <w:rsid w:val="00883A6B"/>
    <w:rsid w:val="00883CF4"/>
    <w:rsid w:val="008846DD"/>
    <w:rsid w:val="0088501A"/>
    <w:rsid w:val="00885079"/>
    <w:rsid w:val="008854E4"/>
    <w:rsid w:val="00885624"/>
    <w:rsid w:val="0088603B"/>
    <w:rsid w:val="0088603C"/>
    <w:rsid w:val="008866A0"/>
    <w:rsid w:val="00887D0B"/>
    <w:rsid w:val="008909C8"/>
    <w:rsid w:val="00891407"/>
    <w:rsid w:val="0089272A"/>
    <w:rsid w:val="0089288C"/>
    <w:rsid w:val="00892938"/>
    <w:rsid w:val="008936F2"/>
    <w:rsid w:val="00893E7D"/>
    <w:rsid w:val="00894504"/>
    <w:rsid w:val="008946F7"/>
    <w:rsid w:val="008947C6"/>
    <w:rsid w:val="00895DA9"/>
    <w:rsid w:val="00895DF0"/>
    <w:rsid w:val="008977B6"/>
    <w:rsid w:val="00897A6A"/>
    <w:rsid w:val="008A0BEC"/>
    <w:rsid w:val="008A1656"/>
    <w:rsid w:val="008A2DF4"/>
    <w:rsid w:val="008A3073"/>
    <w:rsid w:val="008A320A"/>
    <w:rsid w:val="008A3BD1"/>
    <w:rsid w:val="008A3D56"/>
    <w:rsid w:val="008A4668"/>
    <w:rsid w:val="008A54AC"/>
    <w:rsid w:val="008A57C4"/>
    <w:rsid w:val="008A5DB1"/>
    <w:rsid w:val="008A6429"/>
    <w:rsid w:val="008A6949"/>
    <w:rsid w:val="008A77ED"/>
    <w:rsid w:val="008B0787"/>
    <w:rsid w:val="008B12FC"/>
    <w:rsid w:val="008B1346"/>
    <w:rsid w:val="008B17E0"/>
    <w:rsid w:val="008B1C2E"/>
    <w:rsid w:val="008B1E5A"/>
    <w:rsid w:val="008B1EBD"/>
    <w:rsid w:val="008B2079"/>
    <w:rsid w:val="008B234E"/>
    <w:rsid w:val="008B292D"/>
    <w:rsid w:val="008B3670"/>
    <w:rsid w:val="008B449E"/>
    <w:rsid w:val="008B4886"/>
    <w:rsid w:val="008B4992"/>
    <w:rsid w:val="008B4AF3"/>
    <w:rsid w:val="008B55F4"/>
    <w:rsid w:val="008B5E27"/>
    <w:rsid w:val="008B5E5B"/>
    <w:rsid w:val="008B6225"/>
    <w:rsid w:val="008B7317"/>
    <w:rsid w:val="008B7919"/>
    <w:rsid w:val="008C021A"/>
    <w:rsid w:val="008C21B7"/>
    <w:rsid w:val="008C2310"/>
    <w:rsid w:val="008C24D4"/>
    <w:rsid w:val="008C24DC"/>
    <w:rsid w:val="008C270E"/>
    <w:rsid w:val="008C2BF3"/>
    <w:rsid w:val="008C2DA0"/>
    <w:rsid w:val="008C4331"/>
    <w:rsid w:val="008C52B1"/>
    <w:rsid w:val="008C530B"/>
    <w:rsid w:val="008C55E2"/>
    <w:rsid w:val="008C58A0"/>
    <w:rsid w:val="008C58BC"/>
    <w:rsid w:val="008C60BD"/>
    <w:rsid w:val="008C64E2"/>
    <w:rsid w:val="008C6A03"/>
    <w:rsid w:val="008C786C"/>
    <w:rsid w:val="008C7871"/>
    <w:rsid w:val="008C794A"/>
    <w:rsid w:val="008D0319"/>
    <w:rsid w:val="008D0FC7"/>
    <w:rsid w:val="008D13FB"/>
    <w:rsid w:val="008D31D8"/>
    <w:rsid w:val="008D3700"/>
    <w:rsid w:val="008D3953"/>
    <w:rsid w:val="008D3A2B"/>
    <w:rsid w:val="008D476B"/>
    <w:rsid w:val="008D54C6"/>
    <w:rsid w:val="008D5593"/>
    <w:rsid w:val="008D646E"/>
    <w:rsid w:val="008D7004"/>
    <w:rsid w:val="008D7E2D"/>
    <w:rsid w:val="008E0043"/>
    <w:rsid w:val="008E04B9"/>
    <w:rsid w:val="008E0682"/>
    <w:rsid w:val="008E0D4B"/>
    <w:rsid w:val="008E0F59"/>
    <w:rsid w:val="008E116E"/>
    <w:rsid w:val="008E145C"/>
    <w:rsid w:val="008E1824"/>
    <w:rsid w:val="008E18A2"/>
    <w:rsid w:val="008E1A0F"/>
    <w:rsid w:val="008E3632"/>
    <w:rsid w:val="008E4D28"/>
    <w:rsid w:val="008E5458"/>
    <w:rsid w:val="008E5FE4"/>
    <w:rsid w:val="008E668D"/>
    <w:rsid w:val="008E6C30"/>
    <w:rsid w:val="008F07B2"/>
    <w:rsid w:val="008F119D"/>
    <w:rsid w:val="008F14EB"/>
    <w:rsid w:val="008F1C62"/>
    <w:rsid w:val="008F25FE"/>
    <w:rsid w:val="008F296B"/>
    <w:rsid w:val="008F5C17"/>
    <w:rsid w:val="008F67B6"/>
    <w:rsid w:val="008F6984"/>
    <w:rsid w:val="008F717A"/>
    <w:rsid w:val="008F7393"/>
    <w:rsid w:val="008F7929"/>
    <w:rsid w:val="008F7980"/>
    <w:rsid w:val="008F7BB6"/>
    <w:rsid w:val="008F7F94"/>
    <w:rsid w:val="0090142F"/>
    <w:rsid w:val="00902DEE"/>
    <w:rsid w:val="00902F4C"/>
    <w:rsid w:val="00903CF9"/>
    <w:rsid w:val="00903E0D"/>
    <w:rsid w:val="00904779"/>
    <w:rsid w:val="00905060"/>
    <w:rsid w:val="00905232"/>
    <w:rsid w:val="0090532C"/>
    <w:rsid w:val="00905475"/>
    <w:rsid w:val="009055E0"/>
    <w:rsid w:val="00905662"/>
    <w:rsid w:val="00905C54"/>
    <w:rsid w:val="0090699B"/>
    <w:rsid w:val="00906ED3"/>
    <w:rsid w:val="00907287"/>
    <w:rsid w:val="0091031E"/>
    <w:rsid w:val="0091044A"/>
    <w:rsid w:val="0091051F"/>
    <w:rsid w:val="00910AE0"/>
    <w:rsid w:val="00910E73"/>
    <w:rsid w:val="00910FD3"/>
    <w:rsid w:val="00911DB3"/>
    <w:rsid w:val="00912244"/>
    <w:rsid w:val="00912D2C"/>
    <w:rsid w:val="009130B3"/>
    <w:rsid w:val="0091326A"/>
    <w:rsid w:val="00913892"/>
    <w:rsid w:val="0091455E"/>
    <w:rsid w:val="0091484C"/>
    <w:rsid w:val="00915248"/>
    <w:rsid w:val="00915B8C"/>
    <w:rsid w:val="00916063"/>
    <w:rsid w:val="009162B4"/>
    <w:rsid w:val="009164E8"/>
    <w:rsid w:val="009166FC"/>
    <w:rsid w:val="00916A27"/>
    <w:rsid w:val="00916F39"/>
    <w:rsid w:val="0091720A"/>
    <w:rsid w:val="009208FF"/>
    <w:rsid w:val="00921336"/>
    <w:rsid w:val="009229BA"/>
    <w:rsid w:val="00923695"/>
    <w:rsid w:val="00924149"/>
    <w:rsid w:val="0092438F"/>
    <w:rsid w:val="00924589"/>
    <w:rsid w:val="0092477A"/>
    <w:rsid w:val="00924F4C"/>
    <w:rsid w:val="00925EDB"/>
    <w:rsid w:val="00926192"/>
    <w:rsid w:val="0092703E"/>
    <w:rsid w:val="00927106"/>
    <w:rsid w:val="0093043C"/>
    <w:rsid w:val="00930466"/>
    <w:rsid w:val="00931B0C"/>
    <w:rsid w:val="00932E05"/>
    <w:rsid w:val="0093438B"/>
    <w:rsid w:val="009345CA"/>
    <w:rsid w:val="009356C4"/>
    <w:rsid w:val="00936881"/>
    <w:rsid w:val="009372CE"/>
    <w:rsid w:val="00937708"/>
    <w:rsid w:val="00937E0B"/>
    <w:rsid w:val="00937E62"/>
    <w:rsid w:val="00940DB2"/>
    <w:rsid w:val="0094146E"/>
    <w:rsid w:val="009422A5"/>
    <w:rsid w:val="00942D99"/>
    <w:rsid w:val="009438AE"/>
    <w:rsid w:val="00943F66"/>
    <w:rsid w:val="009444DD"/>
    <w:rsid w:val="00944930"/>
    <w:rsid w:val="00944F24"/>
    <w:rsid w:val="00945022"/>
    <w:rsid w:val="009454D1"/>
    <w:rsid w:val="00945B6F"/>
    <w:rsid w:val="009468C2"/>
    <w:rsid w:val="00946A41"/>
    <w:rsid w:val="00947C1F"/>
    <w:rsid w:val="00950123"/>
    <w:rsid w:val="00950878"/>
    <w:rsid w:val="0095115E"/>
    <w:rsid w:val="00951FD2"/>
    <w:rsid w:val="00952530"/>
    <w:rsid w:val="00952DE2"/>
    <w:rsid w:val="009532AA"/>
    <w:rsid w:val="009542FE"/>
    <w:rsid w:val="009551D8"/>
    <w:rsid w:val="0095563D"/>
    <w:rsid w:val="00955A2F"/>
    <w:rsid w:val="00955D42"/>
    <w:rsid w:val="0095624C"/>
    <w:rsid w:val="00956435"/>
    <w:rsid w:val="009565DD"/>
    <w:rsid w:val="00956804"/>
    <w:rsid w:val="009571BE"/>
    <w:rsid w:val="00957235"/>
    <w:rsid w:val="009613C4"/>
    <w:rsid w:val="009617A8"/>
    <w:rsid w:val="009621B2"/>
    <w:rsid w:val="009626F6"/>
    <w:rsid w:val="009627DE"/>
    <w:rsid w:val="00962C49"/>
    <w:rsid w:val="009630AC"/>
    <w:rsid w:val="00963393"/>
    <w:rsid w:val="0096482E"/>
    <w:rsid w:val="009651A7"/>
    <w:rsid w:val="0096543C"/>
    <w:rsid w:val="009654D2"/>
    <w:rsid w:val="00965FB2"/>
    <w:rsid w:val="00966BAC"/>
    <w:rsid w:val="00966FB4"/>
    <w:rsid w:val="00967033"/>
    <w:rsid w:val="00967620"/>
    <w:rsid w:val="00967F9A"/>
    <w:rsid w:val="00970EFD"/>
    <w:rsid w:val="00971A9D"/>
    <w:rsid w:val="00971B4C"/>
    <w:rsid w:val="00971DA5"/>
    <w:rsid w:val="00972303"/>
    <w:rsid w:val="0097293A"/>
    <w:rsid w:val="00972AF4"/>
    <w:rsid w:val="009736BB"/>
    <w:rsid w:val="00973A28"/>
    <w:rsid w:val="00973BA4"/>
    <w:rsid w:val="00974072"/>
    <w:rsid w:val="009758FB"/>
    <w:rsid w:val="00976514"/>
    <w:rsid w:val="00976763"/>
    <w:rsid w:val="00976969"/>
    <w:rsid w:val="0097A41D"/>
    <w:rsid w:val="00980B53"/>
    <w:rsid w:val="00981657"/>
    <w:rsid w:val="00982D28"/>
    <w:rsid w:val="00983747"/>
    <w:rsid w:val="009838BE"/>
    <w:rsid w:val="00983E83"/>
    <w:rsid w:val="0098407A"/>
    <w:rsid w:val="00984659"/>
    <w:rsid w:val="00985BBB"/>
    <w:rsid w:val="00986473"/>
    <w:rsid w:val="00986816"/>
    <w:rsid w:val="00986DD0"/>
    <w:rsid w:val="00987EB3"/>
    <w:rsid w:val="00990236"/>
    <w:rsid w:val="00990EBD"/>
    <w:rsid w:val="00991520"/>
    <w:rsid w:val="009927F0"/>
    <w:rsid w:val="00992DEE"/>
    <w:rsid w:val="0099327A"/>
    <w:rsid w:val="00993B43"/>
    <w:rsid w:val="009948E0"/>
    <w:rsid w:val="00996514"/>
    <w:rsid w:val="00996789"/>
    <w:rsid w:val="009968AE"/>
    <w:rsid w:val="0099745C"/>
    <w:rsid w:val="00997918"/>
    <w:rsid w:val="00997AB3"/>
    <w:rsid w:val="00997CCD"/>
    <w:rsid w:val="00997DED"/>
    <w:rsid w:val="009A061B"/>
    <w:rsid w:val="009A0BF8"/>
    <w:rsid w:val="009A0EFB"/>
    <w:rsid w:val="009A172F"/>
    <w:rsid w:val="009A1E5A"/>
    <w:rsid w:val="009A1EAF"/>
    <w:rsid w:val="009A23EC"/>
    <w:rsid w:val="009A2AE6"/>
    <w:rsid w:val="009A3182"/>
    <w:rsid w:val="009A37B7"/>
    <w:rsid w:val="009A4129"/>
    <w:rsid w:val="009A47B0"/>
    <w:rsid w:val="009A4988"/>
    <w:rsid w:val="009A5089"/>
    <w:rsid w:val="009A535E"/>
    <w:rsid w:val="009A5CF8"/>
    <w:rsid w:val="009A6A00"/>
    <w:rsid w:val="009A6CC1"/>
    <w:rsid w:val="009A6FB8"/>
    <w:rsid w:val="009A76A0"/>
    <w:rsid w:val="009A7FEB"/>
    <w:rsid w:val="009B02AF"/>
    <w:rsid w:val="009B13D7"/>
    <w:rsid w:val="009B27AC"/>
    <w:rsid w:val="009B2ABA"/>
    <w:rsid w:val="009B2B3F"/>
    <w:rsid w:val="009B2C1B"/>
    <w:rsid w:val="009B348D"/>
    <w:rsid w:val="009B3C95"/>
    <w:rsid w:val="009B423F"/>
    <w:rsid w:val="009B45FE"/>
    <w:rsid w:val="009B4934"/>
    <w:rsid w:val="009B50A7"/>
    <w:rsid w:val="009B516A"/>
    <w:rsid w:val="009B6D98"/>
    <w:rsid w:val="009B7023"/>
    <w:rsid w:val="009C01D5"/>
    <w:rsid w:val="009C04C8"/>
    <w:rsid w:val="009C1479"/>
    <w:rsid w:val="009C1ECF"/>
    <w:rsid w:val="009C2A40"/>
    <w:rsid w:val="009C2CF4"/>
    <w:rsid w:val="009C31AC"/>
    <w:rsid w:val="009C3899"/>
    <w:rsid w:val="009C45DE"/>
    <w:rsid w:val="009C4B31"/>
    <w:rsid w:val="009C5A4E"/>
    <w:rsid w:val="009C6331"/>
    <w:rsid w:val="009C6C56"/>
    <w:rsid w:val="009C6E85"/>
    <w:rsid w:val="009C7050"/>
    <w:rsid w:val="009C7D81"/>
    <w:rsid w:val="009C7E77"/>
    <w:rsid w:val="009D1049"/>
    <w:rsid w:val="009D10F9"/>
    <w:rsid w:val="009D1A3B"/>
    <w:rsid w:val="009D1AF6"/>
    <w:rsid w:val="009D1FF8"/>
    <w:rsid w:val="009D20A4"/>
    <w:rsid w:val="009D2C94"/>
    <w:rsid w:val="009D2F18"/>
    <w:rsid w:val="009D3225"/>
    <w:rsid w:val="009D3860"/>
    <w:rsid w:val="009D3D72"/>
    <w:rsid w:val="009D432E"/>
    <w:rsid w:val="009D4B04"/>
    <w:rsid w:val="009D5DAF"/>
    <w:rsid w:val="009D60BC"/>
    <w:rsid w:val="009D649B"/>
    <w:rsid w:val="009D67C1"/>
    <w:rsid w:val="009D73B7"/>
    <w:rsid w:val="009D7496"/>
    <w:rsid w:val="009D77E5"/>
    <w:rsid w:val="009D7DA8"/>
    <w:rsid w:val="009E1180"/>
    <w:rsid w:val="009E14F2"/>
    <w:rsid w:val="009E17F3"/>
    <w:rsid w:val="009E1952"/>
    <w:rsid w:val="009E1C6F"/>
    <w:rsid w:val="009E2B3C"/>
    <w:rsid w:val="009E310F"/>
    <w:rsid w:val="009E3350"/>
    <w:rsid w:val="009E3FE0"/>
    <w:rsid w:val="009E43E8"/>
    <w:rsid w:val="009E4CFD"/>
    <w:rsid w:val="009E4DF4"/>
    <w:rsid w:val="009E5D2B"/>
    <w:rsid w:val="009E5EF1"/>
    <w:rsid w:val="009E6469"/>
    <w:rsid w:val="009E6987"/>
    <w:rsid w:val="009E6D99"/>
    <w:rsid w:val="009E7E52"/>
    <w:rsid w:val="009F0144"/>
    <w:rsid w:val="009F0148"/>
    <w:rsid w:val="009F1041"/>
    <w:rsid w:val="009F12C5"/>
    <w:rsid w:val="009F169A"/>
    <w:rsid w:val="009F1AFF"/>
    <w:rsid w:val="009F28B9"/>
    <w:rsid w:val="009F2E81"/>
    <w:rsid w:val="009F3057"/>
    <w:rsid w:val="009F37CA"/>
    <w:rsid w:val="009F37EA"/>
    <w:rsid w:val="009F40BB"/>
    <w:rsid w:val="009F449C"/>
    <w:rsid w:val="009F4567"/>
    <w:rsid w:val="009F5277"/>
    <w:rsid w:val="009F5628"/>
    <w:rsid w:val="009F61D6"/>
    <w:rsid w:val="009F6576"/>
    <w:rsid w:val="009F69D0"/>
    <w:rsid w:val="009F7455"/>
    <w:rsid w:val="009F7D69"/>
    <w:rsid w:val="00A00059"/>
    <w:rsid w:val="00A01A04"/>
    <w:rsid w:val="00A01C6D"/>
    <w:rsid w:val="00A02D3B"/>
    <w:rsid w:val="00A031F3"/>
    <w:rsid w:val="00A037C2"/>
    <w:rsid w:val="00A040CC"/>
    <w:rsid w:val="00A04AA2"/>
    <w:rsid w:val="00A04BE3"/>
    <w:rsid w:val="00A0591A"/>
    <w:rsid w:val="00A05AED"/>
    <w:rsid w:val="00A05E6F"/>
    <w:rsid w:val="00A06D57"/>
    <w:rsid w:val="00A07317"/>
    <w:rsid w:val="00A10C33"/>
    <w:rsid w:val="00A110FF"/>
    <w:rsid w:val="00A137EC"/>
    <w:rsid w:val="00A14CC5"/>
    <w:rsid w:val="00A14EEE"/>
    <w:rsid w:val="00A14F1E"/>
    <w:rsid w:val="00A156A1"/>
    <w:rsid w:val="00A15FAA"/>
    <w:rsid w:val="00A160BB"/>
    <w:rsid w:val="00A164AC"/>
    <w:rsid w:val="00A164EF"/>
    <w:rsid w:val="00A16613"/>
    <w:rsid w:val="00A16C08"/>
    <w:rsid w:val="00A1753A"/>
    <w:rsid w:val="00A178D2"/>
    <w:rsid w:val="00A2084C"/>
    <w:rsid w:val="00A20924"/>
    <w:rsid w:val="00A22166"/>
    <w:rsid w:val="00A2302A"/>
    <w:rsid w:val="00A23A19"/>
    <w:rsid w:val="00A256BA"/>
    <w:rsid w:val="00A25BEF"/>
    <w:rsid w:val="00A25CF7"/>
    <w:rsid w:val="00A26687"/>
    <w:rsid w:val="00A26A4B"/>
    <w:rsid w:val="00A26CB9"/>
    <w:rsid w:val="00A27159"/>
    <w:rsid w:val="00A314A7"/>
    <w:rsid w:val="00A32369"/>
    <w:rsid w:val="00A323F6"/>
    <w:rsid w:val="00A325DF"/>
    <w:rsid w:val="00A32669"/>
    <w:rsid w:val="00A327DD"/>
    <w:rsid w:val="00A337E4"/>
    <w:rsid w:val="00A339C9"/>
    <w:rsid w:val="00A340CD"/>
    <w:rsid w:val="00A344C8"/>
    <w:rsid w:val="00A4015F"/>
    <w:rsid w:val="00A401F2"/>
    <w:rsid w:val="00A40402"/>
    <w:rsid w:val="00A4272E"/>
    <w:rsid w:val="00A43992"/>
    <w:rsid w:val="00A43AE6"/>
    <w:rsid w:val="00A440DA"/>
    <w:rsid w:val="00A457A0"/>
    <w:rsid w:val="00A4598B"/>
    <w:rsid w:val="00A46185"/>
    <w:rsid w:val="00A47CBF"/>
    <w:rsid w:val="00A504F9"/>
    <w:rsid w:val="00A50686"/>
    <w:rsid w:val="00A51716"/>
    <w:rsid w:val="00A529CC"/>
    <w:rsid w:val="00A533D6"/>
    <w:rsid w:val="00A537F7"/>
    <w:rsid w:val="00A54FF2"/>
    <w:rsid w:val="00A554D6"/>
    <w:rsid w:val="00A55D71"/>
    <w:rsid w:val="00A55E08"/>
    <w:rsid w:val="00A563D6"/>
    <w:rsid w:val="00A57BEF"/>
    <w:rsid w:val="00A57DE4"/>
    <w:rsid w:val="00A607B2"/>
    <w:rsid w:val="00A61C33"/>
    <w:rsid w:val="00A62419"/>
    <w:rsid w:val="00A627A8"/>
    <w:rsid w:val="00A63934"/>
    <w:rsid w:val="00A6524C"/>
    <w:rsid w:val="00A65291"/>
    <w:rsid w:val="00A65C51"/>
    <w:rsid w:val="00A65CF0"/>
    <w:rsid w:val="00A677FC"/>
    <w:rsid w:val="00A67C8F"/>
    <w:rsid w:val="00A71081"/>
    <w:rsid w:val="00A7108C"/>
    <w:rsid w:val="00A71282"/>
    <w:rsid w:val="00A7139E"/>
    <w:rsid w:val="00A7367F"/>
    <w:rsid w:val="00A74571"/>
    <w:rsid w:val="00A746AB"/>
    <w:rsid w:val="00A74924"/>
    <w:rsid w:val="00A74C3F"/>
    <w:rsid w:val="00A74CE8"/>
    <w:rsid w:val="00A74E90"/>
    <w:rsid w:val="00A74FDD"/>
    <w:rsid w:val="00A750BE"/>
    <w:rsid w:val="00A75967"/>
    <w:rsid w:val="00A75AA4"/>
    <w:rsid w:val="00A75EE3"/>
    <w:rsid w:val="00A75FB6"/>
    <w:rsid w:val="00A762B6"/>
    <w:rsid w:val="00A76B6C"/>
    <w:rsid w:val="00A771CF"/>
    <w:rsid w:val="00A809F3"/>
    <w:rsid w:val="00A80CDF"/>
    <w:rsid w:val="00A80E12"/>
    <w:rsid w:val="00A80EF3"/>
    <w:rsid w:val="00A812F5"/>
    <w:rsid w:val="00A81F92"/>
    <w:rsid w:val="00A81FAD"/>
    <w:rsid w:val="00A820DB"/>
    <w:rsid w:val="00A8246C"/>
    <w:rsid w:val="00A824E5"/>
    <w:rsid w:val="00A82EAD"/>
    <w:rsid w:val="00A83632"/>
    <w:rsid w:val="00A83C8F"/>
    <w:rsid w:val="00A83E3A"/>
    <w:rsid w:val="00A84122"/>
    <w:rsid w:val="00A84269"/>
    <w:rsid w:val="00A843B8"/>
    <w:rsid w:val="00A8440F"/>
    <w:rsid w:val="00A8578E"/>
    <w:rsid w:val="00A8682E"/>
    <w:rsid w:val="00A86D01"/>
    <w:rsid w:val="00A86D06"/>
    <w:rsid w:val="00A86F12"/>
    <w:rsid w:val="00A8768F"/>
    <w:rsid w:val="00A877DA"/>
    <w:rsid w:val="00A909D3"/>
    <w:rsid w:val="00A90A64"/>
    <w:rsid w:val="00A910D7"/>
    <w:rsid w:val="00A915CE"/>
    <w:rsid w:val="00A920CC"/>
    <w:rsid w:val="00A923F4"/>
    <w:rsid w:val="00A924B6"/>
    <w:rsid w:val="00A92F68"/>
    <w:rsid w:val="00A9326B"/>
    <w:rsid w:val="00A942B3"/>
    <w:rsid w:val="00A94CD3"/>
    <w:rsid w:val="00A94EE2"/>
    <w:rsid w:val="00A95070"/>
    <w:rsid w:val="00A954D8"/>
    <w:rsid w:val="00A95776"/>
    <w:rsid w:val="00A9591B"/>
    <w:rsid w:val="00A95991"/>
    <w:rsid w:val="00A95BC4"/>
    <w:rsid w:val="00A961A1"/>
    <w:rsid w:val="00A96D2C"/>
    <w:rsid w:val="00A97EB7"/>
    <w:rsid w:val="00AA05D1"/>
    <w:rsid w:val="00AA21C8"/>
    <w:rsid w:val="00AA2A99"/>
    <w:rsid w:val="00AA2B72"/>
    <w:rsid w:val="00AA2D7F"/>
    <w:rsid w:val="00AA31BA"/>
    <w:rsid w:val="00AA3B83"/>
    <w:rsid w:val="00AA4026"/>
    <w:rsid w:val="00AA44ED"/>
    <w:rsid w:val="00AA5CAE"/>
    <w:rsid w:val="00AA5D47"/>
    <w:rsid w:val="00AA6237"/>
    <w:rsid w:val="00AA6491"/>
    <w:rsid w:val="00AA651B"/>
    <w:rsid w:val="00AA73C7"/>
    <w:rsid w:val="00AA7A08"/>
    <w:rsid w:val="00AB1486"/>
    <w:rsid w:val="00AB207E"/>
    <w:rsid w:val="00AB3415"/>
    <w:rsid w:val="00AB3D2B"/>
    <w:rsid w:val="00AB3DAC"/>
    <w:rsid w:val="00AB4520"/>
    <w:rsid w:val="00AB4659"/>
    <w:rsid w:val="00AB4CE0"/>
    <w:rsid w:val="00AB6215"/>
    <w:rsid w:val="00AB651E"/>
    <w:rsid w:val="00AB6E8F"/>
    <w:rsid w:val="00AB7063"/>
    <w:rsid w:val="00AB7929"/>
    <w:rsid w:val="00AB7A03"/>
    <w:rsid w:val="00AC133D"/>
    <w:rsid w:val="00AC167D"/>
    <w:rsid w:val="00AC1C52"/>
    <w:rsid w:val="00AC1D86"/>
    <w:rsid w:val="00AC25B8"/>
    <w:rsid w:val="00AC27FE"/>
    <w:rsid w:val="00AC36BD"/>
    <w:rsid w:val="00AC3B85"/>
    <w:rsid w:val="00AC3F87"/>
    <w:rsid w:val="00AC43E5"/>
    <w:rsid w:val="00AC457E"/>
    <w:rsid w:val="00AC4970"/>
    <w:rsid w:val="00AC56F9"/>
    <w:rsid w:val="00AC59C6"/>
    <w:rsid w:val="00AC685F"/>
    <w:rsid w:val="00AC7530"/>
    <w:rsid w:val="00AD011A"/>
    <w:rsid w:val="00AD0892"/>
    <w:rsid w:val="00AD08CE"/>
    <w:rsid w:val="00AD14A5"/>
    <w:rsid w:val="00AD19AB"/>
    <w:rsid w:val="00AD2380"/>
    <w:rsid w:val="00AD3866"/>
    <w:rsid w:val="00AD418F"/>
    <w:rsid w:val="00AD488F"/>
    <w:rsid w:val="00AD4B22"/>
    <w:rsid w:val="00AD5910"/>
    <w:rsid w:val="00AD5F94"/>
    <w:rsid w:val="00AD5F9B"/>
    <w:rsid w:val="00AD653F"/>
    <w:rsid w:val="00AD7ADC"/>
    <w:rsid w:val="00AE0166"/>
    <w:rsid w:val="00AE1020"/>
    <w:rsid w:val="00AE1927"/>
    <w:rsid w:val="00AE29CC"/>
    <w:rsid w:val="00AE2D79"/>
    <w:rsid w:val="00AE32A4"/>
    <w:rsid w:val="00AE331B"/>
    <w:rsid w:val="00AE420E"/>
    <w:rsid w:val="00AE4909"/>
    <w:rsid w:val="00AE4C30"/>
    <w:rsid w:val="00AE4E2D"/>
    <w:rsid w:val="00AE547F"/>
    <w:rsid w:val="00AE55DB"/>
    <w:rsid w:val="00AE5A54"/>
    <w:rsid w:val="00AE6117"/>
    <w:rsid w:val="00AE692D"/>
    <w:rsid w:val="00AE6BB1"/>
    <w:rsid w:val="00AE7D80"/>
    <w:rsid w:val="00AF05FA"/>
    <w:rsid w:val="00AF0F1B"/>
    <w:rsid w:val="00AF1118"/>
    <w:rsid w:val="00AF125C"/>
    <w:rsid w:val="00AF189E"/>
    <w:rsid w:val="00AF19DE"/>
    <w:rsid w:val="00AF2754"/>
    <w:rsid w:val="00AF2794"/>
    <w:rsid w:val="00AF3A8D"/>
    <w:rsid w:val="00AF3B4A"/>
    <w:rsid w:val="00AF3D6D"/>
    <w:rsid w:val="00AF458B"/>
    <w:rsid w:val="00AF4A88"/>
    <w:rsid w:val="00AF4F2B"/>
    <w:rsid w:val="00AF54A8"/>
    <w:rsid w:val="00AF56D5"/>
    <w:rsid w:val="00AF5717"/>
    <w:rsid w:val="00AF68F4"/>
    <w:rsid w:val="00AF6D05"/>
    <w:rsid w:val="00AF7790"/>
    <w:rsid w:val="00AF7D6C"/>
    <w:rsid w:val="00AF7EBC"/>
    <w:rsid w:val="00B0046B"/>
    <w:rsid w:val="00B00772"/>
    <w:rsid w:val="00B009B9"/>
    <w:rsid w:val="00B01010"/>
    <w:rsid w:val="00B013C6"/>
    <w:rsid w:val="00B0172A"/>
    <w:rsid w:val="00B01F5E"/>
    <w:rsid w:val="00B0321D"/>
    <w:rsid w:val="00B0334D"/>
    <w:rsid w:val="00B03925"/>
    <w:rsid w:val="00B03D4E"/>
    <w:rsid w:val="00B0596B"/>
    <w:rsid w:val="00B05A6C"/>
    <w:rsid w:val="00B06A5A"/>
    <w:rsid w:val="00B06E15"/>
    <w:rsid w:val="00B07DCA"/>
    <w:rsid w:val="00B07F04"/>
    <w:rsid w:val="00B103F7"/>
    <w:rsid w:val="00B1054E"/>
    <w:rsid w:val="00B10CBA"/>
    <w:rsid w:val="00B11215"/>
    <w:rsid w:val="00B12E6E"/>
    <w:rsid w:val="00B1545D"/>
    <w:rsid w:val="00B1559B"/>
    <w:rsid w:val="00B159E5"/>
    <w:rsid w:val="00B165F3"/>
    <w:rsid w:val="00B16F08"/>
    <w:rsid w:val="00B176B2"/>
    <w:rsid w:val="00B17783"/>
    <w:rsid w:val="00B17AEE"/>
    <w:rsid w:val="00B20AB1"/>
    <w:rsid w:val="00B20B19"/>
    <w:rsid w:val="00B2448B"/>
    <w:rsid w:val="00B24772"/>
    <w:rsid w:val="00B24A26"/>
    <w:rsid w:val="00B25FB3"/>
    <w:rsid w:val="00B278BB"/>
    <w:rsid w:val="00B27F8F"/>
    <w:rsid w:val="00B30644"/>
    <w:rsid w:val="00B30AA1"/>
    <w:rsid w:val="00B30D1B"/>
    <w:rsid w:val="00B31255"/>
    <w:rsid w:val="00B31720"/>
    <w:rsid w:val="00B319B1"/>
    <w:rsid w:val="00B31E9D"/>
    <w:rsid w:val="00B3219D"/>
    <w:rsid w:val="00B322F0"/>
    <w:rsid w:val="00B323A0"/>
    <w:rsid w:val="00B325CF"/>
    <w:rsid w:val="00B33453"/>
    <w:rsid w:val="00B33FDF"/>
    <w:rsid w:val="00B3404E"/>
    <w:rsid w:val="00B343C7"/>
    <w:rsid w:val="00B346EA"/>
    <w:rsid w:val="00B352AA"/>
    <w:rsid w:val="00B35D91"/>
    <w:rsid w:val="00B37B00"/>
    <w:rsid w:val="00B40AFB"/>
    <w:rsid w:val="00B41060"/>
    <w:rsid w:val="00B41EE6"/>
    <w:rsid w:val="00B42312"/>
    <w:rsid w:val="00B4301F"/>
    <w:rsid w:val="00B43E11"/>
    <w:rsid w:val="00B43F4E"/>
    <w:rsid w:val="00B441D6"/>
    <w:rsid w:val="00B44B05"/>
    <w:rsid w:val="00B4518A"/>
    <w:rsid w:val="00B4561B"/>
    <w:rsid w:val="00B45B9D"/>
    <w:rsid w:val="00B466DD"/>
    <w:rsid w:val="00B46951"/>
    <w:rsid w:val="00B46A0C"/>
    <w:rsid w:val="00B475E4"/>
    <w:rsid w:val="00B47649"/>
    <w:rsid w:val="00B50866"/>
    <w:rsid w:val="00B511B9"/>
    <w:rsid w:val="00B513B1"/>
    <w:rsid w:val="00B51CFF"/>
    <w:rsid w:val="00B525EC"/>
    <w:rsid w:val="00B52D9F"/>
    <w:rsid w:val="00B52DAF"/>
    <w:rsid w:val="00B52EA6"/>
    <w:rsid w:val="00B53C39"/>
    <w:rsid w:val="00B53EB4"/>
    <w:rsid w:val="00B549A8"/>
    <w:rsid w:val="00B5590B"/>
    <w:rsid w:val="00B55DFD"/>
    <w:rsid w:val="00B55E04"/>
    <w:rsid w:val="00B562C1"/>
    <w:rsid w:val="00B564BD"/>
    <w:rsid w:val="00B56581"/>
    <w:rsid w:val="00B569F1"/>
    <w:rsid w:val="00B57A14"/>
    <w:rsid w:val="00B57B8F"/>
    <w:rsid w:val="00B57BE3"/>
    <w:rsid w:val="00B60FA4"/>
    <w:rsid w:val="00B61085"/>
    <w:rsid w:val="00B610DE"/>
    <w:rsid w:val="00B622D1"/>
    <w:rsid w:val="00B62490"/>
    <w:rsid w:val="00B62679"/>
    <w:rsid w:val="00B62B8A"/>
    <w:rsid w:val="00B62D9F"/>
    <w:rsid w:val="00B62EA6"/>
    <w:rsid w:val="00B638ED"/>
    <w:rsid w:val="00B63CD8"/>
    <w:rsid w:val="00B64490"/>
    <w:rsid w:val="00B64655"/>
    <w:rsid w:val="00B646D6"/>
    <w:rsid w:val="00B64811"/>
    <w:rsid w:val="00B64E62"/>
    <w:rsid w:val="00B65144"/>
    <w:rsid w:val="00B65D63"/>
    <w:rsid w:val="00B665D6"/>
    <w:rsid w:val="00B66687"/>
    <w:rsid w:val="00B67842"/>
    <w:rsid w:val="00B67971"/>
    <w:rsid w:val="00B67DCE"/>
    <w:rsid w:val="00B70806"/>
    <w:rsid w:val="00B7082E"/>
    <w:rsid w:val="00B70E54"/>
    <w:rsid w:val="00B715DA"/>
    <w:rsid w:val="00B71704"/>
    <w:rsid w:val="00B7179A"/>
    <w:rsid w:val="00B72277"/>
    <w:rsid w:val="00B725D5"/>
    <w:rsid w:val="00B72772"/>
    <w:rsid w:val="00B72EE4"/>
    <w:rsid w:val="00B7354C"/>
    <w:rsid w:val="00B73D66"/>
    <w:rsid w:val="00B75B4B"/>
    <w:rsid w:val="00B75DF4"/>
    <w:rsid w:val="00B76A30"/>
    <w:rsid w:val="00B77E4E"/>
    <w:rsid w:val="00B77FC7"/>
    <w:rsid w:val="00B77FE9"/>
    <w:rsid w:val="00B802F4"/>
    <w:rsid w:val="00B803D2"/>
    <w:rsid w:val="00B814B8"/>
    <w:rsid w:val="00B820D0"/>
    <w:rsid w:val="00B8237C"/>
    <w:rsid w:val="00B8357F"/>
    <w:rsid w:val="00B8403F"/>
    <w:rsid w:val="00B84DC4"/>
    <w:rsid w:val="00B854DF"/>
    <w:rsid w:val="00B85B82"/>
    <w:rsid w:val="00B86146"/>
    <w:rsid w:val="00B87FB2"/>
    <w:rsid w:val="00B9027F"/>
    <w:rsid w:val="00B913E2"/>
    <w:rsid w:val="00B9156A"/>
    <w:rsid w:val="00B91DB7"/>
    <w:rsid w:val="00B92408"/>
    <w:rsid w:val="00B928C9"/>
    <w:rsid w:val="00B92BFB"/>
    <w:rsid w:val="00B92E97"/>
    <w:rsid w:val="00B931FB"/>
    <w:rsid w:val="00B9336D"/>
    <w:rsid w:val="00B93E39"/>
    <w:rsid w:val="00B94029"/>
    <w:rsid w:val="00B940FC"/>
    <w:rsid w:val="00B94422"/>
    <w:rsid w:val="00B94542"/>
    <w:rsid w:val="00B949F8"/>
    <w:rsid w:val="00B94E1D"/>
    <w:rsid w:val="00B94F42"/>
    <w:rsid w:val="00B9543A"/>
    <w:rsid w:val="00B96304"/>
    <w:rsid w:val="00B96820"/>
    <w:rsid w:val="00B96CA2"/>
    <w:rsid w:val="00B96EA3"/>
    <w:rsid w:val="00B971C6"/>
    <w:rsid w:val="00B97BDC"/>
    <w:rsid w:val="00B97C2E"/>
    <w:rsid w:val="00BA0B0F"/>
    <w:rsid w:val="00BA2696"/>
    <w:rsid w:val="00BA3312"/>
    <w:rsid w:val="00BA3823"/>
    <w:rsid w:val="00BA39A1"/>
    <w:rsid w:val="00BA3A8B"/>
    <w:rsid w:val="00BA4315"/>
    <w:rsid w:val="00BA5419"/>
    <w:rsid w:val="00BA59A1"/>
    <w:rsid w:val="00BA59F8"/>
    <w:rsid w:val="00BA7A4B"/>
    <w:rsid w:val="00BA7AB3"/>
    <w:rsid w:val="00BA7CCF"/>
    <w:rsid w:val="00BB056C"/>
    <w:rsid w:val="00BB13B7"/>
    <w:rsid w:val="00BB181E"/>
    <w:rsid w:val="00BB1B02"/>
    <w:rsid w:val="00BB1BEF"/>
    <w:rsid w:val="00BB22BB"/>
    <w:rsid w:val="00BB2841"/>
    <w:rsid w:val="00BB2B55"/>
    <w:rsid w:val="00BB34DC"/>
    <w:rsid w:val="00BB3D38"/>
    <w:rsid w:val="00BB44B8"/>
    <w:rsid w:val="00BB515E"/>
    <w:rsid w:val="00BB5812"/>
    <w:rsid w:val="00BB6878"/>
    <w:rsid w:val="00BB7D92"/>
    <w:rsid w:val="00BB84BE"/>
    <w:rsid w:val="00BC13DA"/>
    <w:rsid w:val="00BC1A85"/>
    <w:rsid w:val="00BC1F79"/>
    <w:rsid w:val="00BC371B"/>
    <w:rsid w:val="00BC47B4"/>
    <w:rsid w:val="00BC4AB4"/>
    <w:rsid w:val="00BC550C"/>
    <w:rsid w:val="00BC55D2"/>
    <w:rsid w:val="00BC662A"/>
    <w:rsid w:val="00BC6795"/>
    <w:rsid w:val="00BC7150"/>
    <w:rsid w:val="00BC74F8"/>
    <w:rsid w:val="00BC7590"/>
    <w:rsid w:val="00BC7F8F"/>
    <w:rsid w:val="00BD0105"/>
    <w:rsid w:val="00BD0720"/>
    <w:rsid w:val="00BD12D6"/>
    <w:rsid w:val="00BD1864"/>
    <w:rsid w:val="00BD26CD"/>
    <w:rsid w:val="00BD2FE5"/>
    <w:rsid w:val="00BD3A72"/>
    <w:rsid w:val="00BD5530"/>
    <w:rsid w:val="00BD5B7D"/>
    <w:rsid w:val="00BD5E01"/>
    <w:rsid w:val="00BD670B"/>
    <w:rsid w:val="00BD69D5"/>
    <w:rsid w:val="00BD6EBB"/>
    <w:rsid w:val="00BD7046"/>
    <w:rsid w:val="00BD7E89"/>
    <w:rsid w:val="00BE0860"/>
    <w:rsid w:val="00BE2A9D"/>
    <w:rsid w:val="00BE2AAD"/>
    <w:rsid w:val="00BE3389"/>
    <w:rsid w:val="00BE3436"/>
    <w:rsid w:val="00BE504A"/>
    <w:rsid w:val="00BE5A5D"/>
    <w:rsid w:val="00BE5B5A"/>
    <w:rsid w:val="00BE5EF8"/>
    <w:rsid w:val="00BE676D"/>
    <w:rsid w:val="00BE767F"/>
    <w:rsid w:val="00BE7C32"/>
    <w:rsid w:val="00BF0642"/>
    <w:rsid w:val="00BF0B6A"/>
    <w:rsid w:val="00BF0C9B"/>
    <w:rsid w:val="00BF1379"/>
    <w:rsid w:val="00BF1980"/>
    <w:rsid w:val="00BF19B4"/>
    <w:rsid w:val="00BF23BE"/>
    <w:rsid w:val="00BF27AB"/>
    <w:rsid w:val="00BF3ECD"/>
    <w:rsid w:val="00BF468D"/>
    <w:rsid w:val="00BF4FD3"/>
    <w:rsid w:val="00BF4FED"/>
    <w:rsid w:val="00BF5063"/>
    <w:rsid w:val="00BF65E2"/>
    <w:rsid w:val="00BF709A"/>
    <w:rsid w:val="00BF7417"/>
    <w:rsid w:val="00BF74E8"/>
    <w:rsid w:val="00C008B8"/>
    <w:rsid w:val="00C00F26"/>
    <w:rsid w:val="00C026E4"/>
    <w:rsid w:val="00C02BBE"/>
    <w:rsid w:val="00C02CEB"/>
    <w:rsid w:val="00C03BD6"/>
    <w:rsid w:val="00C04A75"/>
    <w:rsid w:val="00C05B30"/>
    <w:rsid w:val="00C06438"/>
    <w:rsid w:val="00C06A21"/>
    <w:rsid w:val="00C0751B"/>
    <w:rsid w:val="00C07590"/>
    <w:rsid w:val="00C0D3BE"/>
    <w:rsid w:val="00C10144"/>
    <w:rsid w:val="00C10C1D"/>
    <w:rsid w:val="00C10DA8"/>
    <w:rsid w:val="00C10F2E"/>
    <w:rsid w:val="00C1120C"/>
    <w:rsid w:val="00C11880"/>
    <w:rsid w:val="00C12EEC"/>
    <w:rsid w:val="00C1305A"/>
    <w:rsid w:val="00C130F3"/>
    <w:rsid w:val="00C1342C"/>
    <w:rsid w:val="00C13F01"/>
    <w:rsid w:val="00C14130"/>
    <w:rsid w:val="00C15B70"/>
    <w:rsid w:val="00C1602E"/>
    <w:rsid w:val="00C168FE"/>
    <w:rsid w:val="00C169F2"/>
    <w:rsid w:val="00C16A81"/>
    <w:rsid w:val="00C2081A"/>
    <w:rsid w:val="00C21D6D"/>
    <w:rsid w:val="00C22EC6"/>
    <w:rsid w:val="00C22FC5"/>
    <w:rsid w:val="00C23455"/>
    <w:rsid w:val="00C23549"/>
    <w:rsid w:val="00C23605"/>
    <w:rsid w:val="00C23860"/>
    <w:rsid w:val="00C23968"/>
    <w:rsid w:val="00C242B5"/>
    <w:rsid w:val="00C24CC1"/>
    <w:rsid w:val="00C24FC9"/>
    <w:rsid w:val="00C25214"/>
    <w:rsid w:val="00C254B3"/>
    <w:rsid w:val="00C26A0C"/>
    <w:rsid w:val="00C27089"/>
    <w:rsid w:val="00C2719D"/>
    <w:rsid w:val="00C2722A"/>
    <w:rsid w:val="00C27385"/>
    <w:rsid w:val="00C2789E"/>
    <w:rsid w:val="00C27E6E"/>
    <w:rsid w:val="00C30342"/>
    <w:rsid w:val="00C30381"/>
    <w:rsid w:val="00C30916"/>
    <w:rsid w:val="00C30C92"/>
    <w:rsid w:val="00C30E80"/>
    <w:rsid w:val="00C31295"/>
    <w:rsid w:val="00C31785"/>
    <w:rsid w:val="00C31DB9"/>
    <w:rsid w:val="00C31F2B"/>
    <w:rsid w:val="00C3206B"/>
    <w:rsid w:val="00C324E9"/>
    <w:rsid w:val="00C32AE0"/>
    <w:rsid w:val="00C33D34"/>
    <w:rsid w:val="00C3490B"/>
    <w:rsid w:val="00C34EAF"/>
    <w:rsid w:val="00C356AB"/>
    <w:rsid w:val="00C36182"/>
    <w:rsid w:val="00C36185"/>
    <w:rsid w:val="00C36B98"/>
    <w:rsid w:val="00C36CC9"/>
    <w:rsid w:val="00C37923"/>
    <w:rsid w:val="00C40026"/>
    <w:rsid w:val="00C4015A"/>
    <w:rsid w:val="00C4062E"/>
    <w:rsid w:val="00C40A76"/>
    <w:rsid w:val="00C40B45"/>
    <w:rsid w:val="00C41565"/>
    <w:rsid w:val="00C41AE9"/>
    <w:rsid w:val="00C42154"/>
    <w:rsid w:val="00C4220A"/>
    <w:rsid w:val="00C42628"/>
    <w:rsid w:val="00C42C95"/>
    <w:rsid w:val="00C4313E"/>
    <w:rsid w:val="00C43160"/>
    <w:rsid w:val="00C43787"/>
    <w:rsid w:val="00C44165"/>
    <w:rsid w:val="00C45737"/>
    <w:rsid w:val="00C45976"/>
    <w:rsid w:val="00C46C15"/>
    <w:rsid w:val="00C46E33"/>
    <w:rsid w:val="00C46E58"/>
    <w:rsid w:val="00C4720B"/>
    <w:rsid w:val="00C4721F"/>
    <w:rsid w:val="00C4735F"/>
    <w:rsid w:val="00C473FC"/>
    <w:rsid w:val="00C47662"/>
    <w:rsid w:val="00C50342"/>
    <w:rsid w:val="00C50EEF"/>
    <w:rsid w:val="00C51334"/>
    <w:rsid w:val="00C51914"/>
    <w:rsid w:val="00C5252E"/>
    <w:rsid w:val="00C52E3F"/>
    <w:rsid w:val="00C54FF2"/>
    <w:rsid w:val="00C562FB"/>
    <w:rsid w:val="00C57995"/>
    <w:rsid w:val="00C611BD"/>
    <w:rsid w:val="00C6126C"/>
    <w:rsid w:val="00C62815"/>
    <w:rsid w:val="00C62C4E"/>
    <w:rsid w:val="00C62EEE"/>
    <w:rsid w:val="00C62F3A"/>
    <w:rsid w:val="00C632A6"/>
    <w:rsid w:val="00C63489"/>
    <w:rsid w:val="00C637BC"/>
    <w:rsid w:val="00C64637"/>
    <w:rsid w:val="00C64713"/>
    <w:rsid w:val="00C64A45"/>
    <w:rsid w:val="00C65272"/>
    <w:rsid w:val="00C66BBC"/>
    <w:rsid w:val="00C66E41"/>
    <w:rsid w:val="00C673AC"/>
    <w:rsid w:val="00C67553"/>
    <w:rsid w:val="00C67F4D"/>
    <w:rsid w:val="00C702D5"/>
    <w:rsid w:val="00C70434"/>
    <w:rsid w:val="00C706DC"/>
    <w:rsid w:val="00C7094A"/>
    <w:rsid w:val="00C71389"/>
    <w:rsid w:val="00C722DF"/>
    <w:rsid w:val="00C72A1E"/>
    <w:rsid w:val="00C747E8"/>
    <w:rsid w:val="00C74F34"/>
    <w:rsid w:val="00C75066"/>
    <w:rsid w:val="00C75715"/>
    <w:rsid w:val="00C77345"/>
    <w:rsid w:val="00C7762D"/>
    <w:rsid w:val="00C80761"/>
    <w:rsid w:val="00C80BDE"/>
    <w:rsid w:val="00C80CB8"/>
    <w:rsid w:val="00C80EAC"/>
    <w:rsid w:val="00C81829"/>
    <w:rsid w:val="00C8201D"/>
    <w:rsid w:val="00C83B16"/>
    <w:rsid w:val="00C83FEA"/>
    <w:rsid w:val="00C8446E"/>
    <w:rsid w:val="00C84F03"/>
    <w:rsid w:val="00C85760"/>
    <w:rsid w:val="00C85902"/>
    <w:rsid w:val="00C85E1D"/>
    <w:rsid w:val="00C8615D"/>
    <w:rsid w:val="00C867E5"/>
    <w:rsid w:val="00C86A04"/>
    <w:rsid w:val="00C87003"/>
    <w:rsid w:val="00C875CA"/>
    <w:rsid w:val="00C8777C"/>
    <w:rsid w:val="00C87833"/>
    <w:rsid w:val="00C879AB"/>
    <w:rsid w:val="00C87BFF"/>
    <w:rsid w:val="00C87DA4"/>
    <w:rsid w:val="00C901BF"/>
    <w:rsid w:val="00C90639"/>
    <w:rsid w:val="00C90BF0"/>
    <w:rsid w:val="00C9154D"/>
    <w:rsid w:val="00C918A7"/>
    <w:rsid w:val="00C91D47"/>
    <w:rsid w:val="00C91EF0"/>
    <w:rsid w:val="00C9251B"/>
    <w:rsid w:val="00C92AB6"/>
    <w:rsid w:val="00C92D66"/>
    <w:rsid w:val="00C9331A"/>
    <w:rsid w:val="00C93D9F"/>
    <w:rsid w:val="00C94826"/>
    <w:rsid w:val="00C94AA1"/>
    <w:rsid w:val="00C965C6"/>
    <w:rsid w:val="00C96753"/>
    <w:rsid w:val="00C97684"/>
    <w:rsid w:val="00C97C03"/>
    <w:rsid w:val="00CA01FD"/>
    <w:rsid w:val="00CA11EA"/>
    <w:rsid w:val="00CA15D0"/>
    <w:rsid w:val="00CA260B"/>
    <w:rsid w:val="00CA4C5A"/>
    <w:rsid w:val="00CA4F6B"/>
    <w:rsid w:val="00CA50B5"/>
    <w:rsid w:val="00CA6401"/>
    <w:rsid w:val="00CA6B2C"/>
    <w:rsid w:val="00CB10AF"/>
    <w:rsid w:val="00CB1461"/>
    <w:rsid w:val="00CB25E6"/>
    <w:rsid w:val="00CB3946"/>
    <w:rsid w:val="00CB3D16"/>
    <w:rsid w:val="00CB4153"/>
    <w:rsid w:val="00CB48BF"/>
    <w:rsid w:val="00CB4C09"/>
    <w:rsid w:val="00CB4C69"/>
    <w:rsid w:val="00CB6C4A"/>
    <w:rsid w:val="00CB79C3"/>
    <w:rsid w:val="00CB79FF"/>
    <w:rsid w:val="00CC08E0"/>
    <w:rsid w:val="00CC11ED"/>
    <w:rsid w:val="00CC130F"/>
    <w:rsid w:val="00CC1F74"/>
    <w:rsid w:val="00CC256A"/>
    <w:rsid w:val="00CC2F8B"/>
    <w:rsid w:val="00CC35E6"/>
    <w:rsid w:val="00CC3819"/>
    <w:rsid w:val="00CC3A6F"/>
    <w:rsid w:val="00CC4B70"/>
    <w:rsid w:val="00CC5BD4"/>
    <w:rsid w:val="00CC64C8"/>
    <w:rsid w:val="00CC6BBF"/>
    <w:rsid w:val="00CC77BE"/>
    <w:rsid w:val="00CC77E8"/>
    <w:rsid w:val="00CC7C42"/>
    <w:rsid w:val="00CD076A"/>
    <w:rsid w:val="00CD0B5B"/>
    <w:rsid w:val="00CD0E89"/>
    <w:rsid w:val="00CD179A"/>
    <w:rsid w:val="00CD1CAE"/>
    <w:rsid w:val="00CD2383"/>
    <w:rsid w:val="00CD44BD"/>
    <w:rsid w:val="00CD4A89"/>
    <w:rsid w:val="00CD4DB9"/>
    <w:rsid w:val="00CD51FD"/>
    <w:rsid w:val="00CD531E"/>
    <w:rsid w:val="00CD5979"/>
    <w:rsid w:val="00CD5DC3"/>
    <w:rsid w:val="00CD657D"/>
    <w:rsid w:val="00CD7D77"/>
    <w:rsid w:val="00CE027B"/>
    <w:rsid w:val="00CE0757"/>
    <w:rsid w:val="00CE18A8"/>
    <w:rsid w:val="00CE2434"/>
    <w:rsid w:val="00CE28F4"/>
    <w:rsid w:val="00CE39E4"/>
    <w:rsid w:val="00CE42BD"/>
    <w:rsid w:val="00CE4AD4"/>
    <w:rsid w:val="00CE4F57"/>
    <w:rsid w:val="00CE5186"/>
    <w:rsid w:val="00CE59C6"/>
    <w:rsid w:val="00CE59D2"/>
    <w:rsid w:val="00CE6C2A"/>
    <w:rsid w:val="00CE76B4"/>
    <w:rsid w:val="00CE77C1"/>
    <w:rsid w:val="00CE7C8B"/>
    <w:rsid w:val="00CF00B1"/>
    <w:rsid w:val="00CF12A6"/>
    <w:rsid w:val="00CF154C"/>
    <w:rsid w:val="00CF1A99"/>
    <w:rsid w:val="00CF2F2B"/>
    <w:rsid w:val="00CF3051"/>
    <w:rsid w:val="00CF3EBF"/>
    <w:rsid w:val="00CF4CE8"/>
    <w:rsid w:val="00CF5729"/>
    <w:rsid w:val="00CF61D0"/>
    <w:rsid w:val="00CF6A09"/>
    <w:rsid w:val="00CF6C70"/>
    <w:rsid w:val="00CF6E13"/>
    <w:rsid w:val="00CF7002"/>
    <w:rsid w:val="00CF790F"/>
    <w:rsid w:val="00D00537"/>
    <w:rsid w:val="00D00D1C"/>
    <w:rsid w:val="00D00D1F"/>
    <w:rsid w:val="00D011E2"/>
    <w:rsid w:val="00D01F5E"/>
    <w:rsid w:val="00D01FA0"/>
    <w:rsid w:val="00D0216B"/>
    <w:rsid w:val="00D02262"/>
    <w:rsid w:val="00D02D88"/>
    <w:rsid w:val="00D03973"/>
    <w:rsid w:val="00D046E3"/>
    <w:rsid w:val="00D04B9F"/>
    <w:rsid w:val="00D04C60"/>
    <w:rsid w:val="00D05086"/>
    <w:rsid w:val="00D050CA"/>
    <w:rsid w:val="00D05A4B"/>
    <w:rsid w:val="00D06608"/>
    <w:rsid w:val="00D06A69"/>
    <w:rsid w:val="00D10797"/>
    <w:rsid w:val="00D10B6F"/>
    <w:rsid w:val="00D1155A"/>
    <w:rsid w:val="00D11670"/>
    <w:rsid w:val="00D1220B"/>
    <w:rsid w:val="00D123A6"/>
    <w:rsid w:val="00D12777"/>
    <w:rsid w:val="00D12E48"/>
    <w:rsid w:val="00D13B8A"/>
    <w:rsid w:val="00D13E39"/>
    <w:rsid w:val="00D140F8"/>
    <w:rsid w:val="00D14296"/>
    <w:rsid w:val="00D14F02"/>
    <w:rsid w:val="00D15803"/>
    <w:rsid w:val="00D1580C"/>
    <w:rsid w:val="00D1593E"/>
    <w:rsid w:val="00D15A6F"/>
    <w:rsid w:val="00D1724A"/>
    <w:rsid w:val="00D17777"/>
    <w:rsid w:val="00D17BFF"/>
    <w:rsid w:val="00D200BB"/>
    <w:rsid w:val="00D206F6"/>
    <w:rsid w:val="00D2153A"/>
    <w:rsid w:val="00D22112"/>
    <w:rsid w:val="00D2262D"/>
    <w:rsid w:val="00D22E32"/>
    <w:rsid w:val="00D22EB0"/>
    <w:rsid w:val="00D23750"/>
    <w:rsid w:val="00D2405F"/>
    <w:rsid w:val="00D24239"/>
    <w:rsid w:val="00D244BA"/>
    <w:rsid w:val="00D260E3"/>
    <w:rsid w:val="00D26650"/>
    <w:rsid w:val="00D26B28"/>
    <w:rsid w:val="00D271E8"/>
    <w:rsid w:val="00D279AD"/>
    <w:rsid w:val="00D30314"/>
    <w:rsid w:val="00D309C1"/>
    <w:rsid w:val="00D315A2"/>
    <w:rsid w:val="00D31A52"/>
    <w:rsid w:val="00D31CBD"/>
    <w:rsid w:val="00D32374"/>
    <w:rsid w:val="00D325B7"/>
    <w:rsid w:val="00D32C9C"/>
    <w:rsid w:val="00D3330F"/>
    <w:rsid w:val="00D33633"/>
    <w:rsid w:val="00D33B18"/>
    <w:rsid w:val="00D33D82"/>
    <w:rsid w:val="00D348DF"/>
    <w:rsid w:val="00D34E6B"/>
    <w:rsid w:val="00D35823"/>
    <w:rsid w:val="00D368B3"/>
    <w:rsid w:val="00D36A8C"/>
    <w:rsid w:val="00D3765D"/>
    <w:rsid w:val="00D3785C"/>
    <w:rsid w:val="00D403C8"/>
    <w:rsid w:val="00D40594"/>
    <w:rsid w:val="00D407E6"/>
    <w:rsid w:val="00D4147E"/>
    <w:rsid w:val="00D41608"/>
    <w:rsid w:val="00D41626"/>
    <w:rsid w:val="00D429E6"/>
    <w:rsid w:val="00D42F57"/>
    <w:rsid w:val="00D4315A"/>
    <w:rsid w:val="00D43D39"/>
    <w:rsid w:val="00D43FC2"/>
    <w:rsid w:val="00D444D0"/>
    <w:rsid w:val="00D44790"/>
    <w:rsid w:val="00D447A0"/>
    <w:rsid w:val="00D44916"/>
    <w:rsid w:val="00D501DF"/>
    <w:rsid w:val="00D51F3C"/>
    <w:rsid w:val="00D52306"/>
    <w:rsid w:val="00D52EC8"/>
    <w:rsid w:val="00D53BF4"/>
    <w:rsid w:val="00D53E83"/>
    <w:rsid w:val="00D543F8"/>
    <w:rsid w:val="00D54515"/>
    <w:rsid w:val="00D54A43"/>
    <w:rsid w:val="00D54FA1"/>
    <w:rsid w:val="00D54FCD"/>
    <w:rsid w:val="00D556C0"/>
    <w:rsid w:val="00D55D6E"/>
    <w:rsid w:val="00D5634A"/>
    <w:rsid w:val="00D57AF6"/>
    <w:rsid w:val="00D57C1F"/>
    <w:rsid w:val="00D57D03"/>
    <w:rsid w:val="00D6009F"/>
    <w:rsid w:val="00D6010C"/>
    <w:rsid w:val="00D619CB"/>
    <w:rsid w:val="00D61CF5"/>
    <w:rsid w:val="00D61FA4"/>
    <w:rsid w:val="00D62530"/>
    <w:rsid w:val="00D62974"/>
    <w:rsid w:val="00D62B90"/>
    <w:rsid w:val="00D62DE8"/>
    <w:rsid w:val="00D6309A"/>
    <w:rsid w:val="00D63AB5"/>
    <w:rsid w:val="00D63EB6"/>
    <w:rsid w:val="00D6413C"/>
    <w:rsid w:val="00D6499C"/>
    <w:rsid w:val="00D654BF"/>
    <w:rsid w:val="00D657D6"/>
    <w:rsid w:val="00D66510"/>
    <w:rsid w:val="00D66D58"/>
    <w:rsid w:val="00D674BC"/>
    <w:rsid w:val="00D677AA"/>
    <w:rsid w:val="00D70501"/>
    <w:rsid w:val="00D7114C"/>
    <w:rsid w:val="00D713E8"/>
    <w:rsid w:val="00D71A04"/>
    <w:rsid w:val="00D71DD0"/>
    <w:rsid w:val="00D71E2F"/>
    <w:rsid w:val="00D72424"/>
    <w:rsid w:val="00D730D2"/>
    <w:rsid w:val="00D730E1"/>
    <w:rsid w:val="00D7345B"/>
    <w:rsid w:val="00D73A7B"/>
    <w:rsid w:val="00D7497D"/>
    <w:rsid w:val="00D75270"/>
    <w:rsid w:val="00D757A9"/>
    <w:rsid w:val="00D75AA9"/>
    <w:rsid w:val="00D76315"/>
    <w:rsid w:val="00D76882"/>
    <w:rsid w:val="00D76E15"/>
    <w:rsid w:val="00D7741F"/>
    <w:rsid w:val="00D77E7D"/>
    <w:rsid w:val="00D8081B"/>
    <w:rsid w:val="00D808DD"/>
    <w:rsid w:val="00D80F21"/>
    <w:rsid w:val="00D83F1D"/>
    <w:rsid w:val="00D840C3"/>
    <w:rsid w:val="00D84523"/>
    <w:rsid w:val="00D8456B"/>
    <w:rsid w:val="00D8685E"/>
    <w:rsid w:val="00D86C1E"/>
    <w:rsid w:val="00D86F21"/>
    <w:rsid w:val="00D8732B"/>
    <w:rsid w:val="00D87867"/>
    <w:rsid w:val="00D9009F"/>
    <w:rsid w:val="00D91283"/>
    <w:rsid w:val="00D91315"/>
    <w:rsid w:val="00D91636"/>
    <w:rsid w:val="00D91F52"/>
    <w:rsid w:val="00D920E5"/>
    <w:rsid w:val="00D92B33"/>
    <w:rsid w:val="00D92B3C"/>
    <w:rsid w:val="00D93269"/>
    <w:rsid w:val="00D93628"/>
    <w:rsid w:val="00D9368E"/>
    <w:rsid w:val="00D9398D"/>
    <w:rsid w:val="00D94345"/>
    <w:rsid w:val="00D94528"/>
    <w:rsid w:val="00D94B47"/>
    <w:rsid w:val="00D9638D"/>
    <w:rsid w:val="00D96483"/>
    <w:rsid w:val="00D96F9F"/>
    <w:rsid w:val="00D97600"/>
    <w:rsid w:val="00DA1016"/>
    <w:rsid w:val="00DA1962"/>
    <w:rsid w:val="00DA2347"/>
    <w:rsid w:val="00DA24FC"/>
    <w:rsid w:val="00DA25D1"/>
    <w:rsid w:val="00DA2BE2"/>
    <w:rsid w:val="00DA31D1"/>
    <w:rsid w:val="00DA343E"/>
    <w:rsid w:val="00DA4794"/>
    <w:rsid w:val="00DA596D"/>
    <w:rsid w:val="00DA6362"/>
    <w:rsid w:val="00DA68A1"/>
    <w:rsid w:val="00DA696E"/>
    <w:rsid w:val="00DA771A"/>
    <w:rsid w:val="00DA7A9B"/>
    <w:rsid w:val="00DB035F"/>
    <w:rsid w:val="00DB08CE"/>
    <w:rsid w:val="00DB2A12"/>
    <w:rsid w:val="00DB2EEE"/>
    <w:rsid w:val="00DB3E62"/>
    <w:rsid w:val="00DB4287"/>
    <w:rsid w:val="00DB4A2E"/>
    <w:rsid w:val="00DB56B0"/>
    <w:rsid w:val="00DB5A19"/>
    <w:rsid w:val="00DB5F0F"/>
    <w:rsid w:val="00DB635F"/>
    <w:rsid w:val="00DB6739"/>
    <w:rsid w:val="00DB69A6"/>
    <w:rsid w:val="00DB6DB6"/>
    <w:rsid w:val="00DB765B"/>
    <w:rsid w:val="00DB7C80"/>
    <w:rsid w:val="00DC0D16"/>
    <w:rsid w:val="00DC149B"/>
    <w:rsid w:val="00DC189B"/>
    <w:rsid w:val="00DC19E0"/>
    <w:rsid w:val="00DC1BCF"/>
    <w:rsid w:val="00DC20B3"/>
    <w:rsid w:val="00DC2D0A"/>
    <w:rsid w:val="00DC2D24"/>
    <w:rsid w:val="00DC3084"/>
    <w:rsid w:val="00DC40A2"/>
    <w:rsid w:val="00DC485A"/>
    <w:rsid w:val="00DC4A1D"/>
    <w:rsid w:val="00DC51D2"/>
    <w:rsid w:val="00DC5280"/>
    <w:rsid w:val="00DC5576"/>
    <w:rsid w:val="00DC65A7"/>
    <w:rsid w:val="00DC7884"/>
    <w:rsid w:val="00DC7ED8"/>
    <w:rsid w:val="00DD1714"/>
    <w:rsid w:val="00DD1779"/>
    <w:rsid w:val="00DD2B90"/>
    <w:rsid w:val="00DD2D12"/>
    <w:rsid w:val="00DD32EB"/>
    <w:rsid w:val="00DD3F70"/>
    <w:rsid w:val="00DD4284"/>
    <w:rsid w:val="00DD473C"/>
    <w:rsid w:val="00DD4BA0"/>
    <w:rsid w:val="00DD4C0F"/>
    <w:rsid w:val="00DD5DC2"/>
    <w:rsid w:val="00DD77B0"/>
    <w:rsid w:val="00DE0A77"/>
    <w:rsid w:val="00DE1391"/>
    <w:rsid w:val="00DE177C"/>
    <w:rsid w:val="00DE1CD7"/>
    <w:rsid w:val="00DE3232"/>
    <w:rsid w:val="00DE3692"/>
    <w:rsid w:val="00DE5898"/>
    <w:rsid w:val="00DE58BD"/>
    <w:rsid w:val="00DE5943"/>
    <w:rsid w:val="00DE6488"/>
    <w:rsid w:val="00DE6962"/>
    <w:rsid w:val="00DE6B47"/>
    <w:rsid w:val="00DE6F92"/>
    <w:rsid w:val="00DE78F0"/>
    <w:rsid w:val="00DE7AE2"/>
    <w:rsid w:val="00DE7C94"/>
    <w:rsid w:val="00DF01A9"/>
    <w:rsid w:val="00DF0341"/>
    <w:rsid w:val="00DF0D41"/>
    <w:rsid w:val="00DF164D"/>
    <w:rsid w:val="00DF17B2"/>
    <w:rsid w:val="00DF1E8F"/>
    <w:rsid w:val="00DF1EA4"/>
    <w:rsid w:val="00DF1FE2"/>
    <w:rsid w:val="00DF2191"/>
    <w:rsid w:val="00DF29C3"/>
    <w:rsid w:val="00DF2F75"/>
    <w:rsid w:val="00DF4129"/>
    <w:rsid w:val="00DF4197"/>
    <w:rsid w:val="00DF4780"/>
    <w:rsid w:val="00DF47E6"/>
    <w:rsid w:val="00DF4B83"/>
    <w:rsid w:val="00DF4FCC"/>
    <w:rsid w:val="00DF5EDA"/>
    <w:rsid w:val="00DF64E1"/>
    <w:rsid w:val="00DF66A9"/>
    <w:rsid w:val="00DF7F9D"/>
    <w:rsid w:val="00E0035A"/>
    <w:rsid w:val="00E007CC"/>
    <w:rsid w:val="00E00AFA"/>
    <w:rsid w:val="00E00B3E"/>
    <w:rsid w:val="00E00ECB"/>
    <w:rsid w:val="00E01081"/>
    <w:rsid w:val="00E02367"/>
    <w:rsid w:val="00E02B92"/>
    <w:rsid w:val="00E02D4B"/>
    <w:rsid w:val="00E03F55"/>
    <w:rsid w:val="00E04BA6"/>
    <w:rsid w:val="00E0559B"/>
    <w:rsid w:val="00E057C7"/>
    <w:rsid w:val="00E05BE6"/>
    <w:rsid w:val="00E05E83"/>
    <w:rsid w:val="00E06538"/>
    <w:rsid w:val="00E06544"/>
    <w:rsid w:val="00E066CA"/>
    <w:rsid w:val="00E06D8B"/>
    <w:rsid w:val="00E0739E"/>
    <w:rsid w:val="00E07617"/>
    <w:rsid w:val="00E076A0"/>
    <w:rsid w:val="00E07F33"/>
    <w:rsid w:val="00E10624"/>
    <w:rsid w:val="00E108B3"/>
    <w:rsid w:val="00E11573"/>
    <w:rsid w:val="00E116BF"/>
    <w:rsid w:val="00E116EE"/>
    <w:rsid w:val="00E11B55"/>
    <w:rsid w:val="00E126A1"/>
    <w:rsid w:val="00E126FE"/>
    <w:rsid w:val="00E12B37"/>
    <w:rsid w:val="00E132E5"/>
    <w:rsid w:val="00E132F7"/>
    <w:rsid w:val="00E13813"/>
    <w:rsid w:val="00E13CE3"/>
    <w:rsid w:val="00E14CE9"/>
    <w:rsid w:val="00E152E8"/>
    <w:rsid w:val="00E15EB4"/>
    <w:rsid w:val="00E16462"/>
    <w:rsid w:val="00E17817"/>
    <w:rsid w:val="00E17909"/>
    <w:rsid w:val="00E17940"/>
    <w:rsid w:val="00E17BBA"/>
    <w:rsid w:val="00E17C95"/>
    <w:rsid w:val="00E2021A"/>
    <w:rsid w:val="00E2034B"/>
    <w:rsid w:val="00E204F9"/>
    <w:rsid w:val="00E21A62"/>
    <w:rsid w:val="00E21DEE"/>
    <w:rsid w:val="00E22020"/>
    <w:rsid w:val="00E22169"/>
    <w:rsid w:val="00E22749"/>
    <w:rsid w:val="00E22BBA"/>
    <w:rsid w:val="00E22D1B"/>
    <w:rsid w:val="00E23725"/>
    <w:rsid w:val="00E23F27"/>
    <w:rsid w:val="00E2402D"/>
    <w:rsid w:val="00E248B3"/>
    <w:rsid w:val="00E25339"/>
    <w:rsid w:val="00E255BC"/>
    <w:rsid w:val="00E26F26"/>
    <w:rsid w:val="00E2714D"/>
    <w:rsid w:val="00E274D8"/>
    <w:rsid w:val="00E276C8"/>
    <w:rsid w:val="00E27977"/>
    <w:rsid w:val="00E27BE7"/>
    <w:rsid w:val="00E30E81"/>
    <w:rsid w:val="00E31209"/>
    <w:rsid w:val="00E312D4"/>
    <w:rsid w:val="00E31995"/>
    <w:rsid w:val="00E31F8A"/>
    <w:rsid w:val="00E325EF"/>
    <w:rsid w:val="00E32A57"/>
    <w:rsid w:val="00E33273"/>
    <w:rsid w:val="00E33AE0"/>
    <w:rsid w:val="00E33C71"/>
    <w:rsid w:val="00E33F43"/>
    <w:rsid w:val="00E356B0"/>
    <w:rsid w:val="00E362DD"/>
    <w:rsid w:val="00E36C0D"/>
    <w:rsid w:val="00E3735B"/>
    <w:rsid w:val="00E3753D"/>
    <w:rsid w:val="00E4018D"/>
    <w:rsid w:val="00E40F08"/>
    <w:rsid w:val="00E41ECE"/>
    <w:rsid w:val="00E42B37"/>
    <w:rsid w:val="00E430F7"/>
    <w:rsid w:val="00E432CC"/>
    <w:rsid w:val="00E43912"/>
    <w:rsid w:val="00E44C62"/>
    <w:rsid w:val="00E460C4"/>
    <w:rsid w:val="00E46689"/>
    <w:rsid w:val="00E46857"/>
    <w:rsid w:val="00E46990"/>
    <w:rsid w:val="00E46C9A"/>
    <w:rsid w:val="00E507A6"/>
    <w:rsid w:val="00E5192F"/>
    <w:rsid w:val="00E51D10"/>
    <w:rsid w:val="00E52C33"/>
    <w:rsid w:val="00E54104"/>
    <w:rsid w:val="00E54B8E"/>
    <w:rsid w:val="00E54E1C"/>
    <w:rsid w:val="00E5507E"/>
    <w:rsid w:val="00E5609F"/>
    <w:rsid w:val="00E561FC"/>
    <w:rsid w:val="00E56715"/>
    <w:rsid w:val="00E56CB1"/>
    <w:rsid w:val="00E572FD"/>
    <w:rsid w:val="00E57571"/>
    <w:rsid w:val="00E604A8"/>
    <w:rsid w:val="00E612E8"/>
    <w:rsid w:val="00E6168F"/>
    <w:rsid w:val="00E635C4"/>
    <w:rsid w:val="00E64D0B"/>
    <w:rsid w:val="00E64F81"/>
    <w:rsid w:val="00E650AC"/>
    <w:rsid w:val="00E6520F"/>
    <w:rsid w:val="00E65D20"/>
    <w:rsid w:val="00E6625A"/>
    <w:rsid w:val="00E6642E"/>
    <w:rsid w:val="00E6749B"/>
    <w:rsid w:val="00E679BC"/>
    <w:rsid w:val="00E7007B"/>
    <w:rsid w:val="00E714C5"/>
    <w:rsid w:val="00E71932"/>
    <w:rsid w:val="00E719CA"/>
    <w:rsid w:val="00E72603"/>
    <w:rsid w:val="00E72D61"/>
    <w:rsid w:val="00E737DB"/>
    <w:rsid w:val="00E74215"/>
    <w:rsid w:val="00E74554"/>
    <w:rsid w:val="00E74F98"/>
    <w:rsid w:val="00E75037"/>
    <w:rsid w:val="00E7518F"/>
    <w:rsid w:val="00E7539C"/>
    <w:rsid w:val="00E7552C"/>
    <w:rsid w:val="00E760B7"/>
    <w:rsid w:val="00E76998"/>
    <w:rsid w:val="00E76AC4"/>
    <w:rsid w:val="00E77BFB"/>
    <w:rsid w:val="00E77F3C"/>
    <w:rsid w:val="00E8118C"/>
    <w:rsid w:val="00E81894"/>
    <w:rsid w:val="00E81C6B"/>
    <w:rsid w:val="00E821AB"/>
    <w:rsid w:val="00E82677"/>
    <w:rsid w:val="00E82C27"/>
    <w:rsid w:val="00E82CEB"/>
    <w:rsid w:val="00E83511"/>
    <w:rsid w:val="00E83C0C"/>
    <w:rsid w:val="00E83EC7"/>
    <w:rsid w:val="00E842BE"/>
    <w:rsid w:val="00E84529"/>
    <w:rsid w:val="00E847F4"/>
    <w:rsid w:val="00E84B8F"/>
    <w:rsid w:val="00E857A0"/>
    <w:rsid w:val="00E86927"/>
    <w:rsid w:val="00E86E31"/>
    <w:rsid w:val="00E90470"/>
    <w:rsid w:val="00E90968"/>
    <w:rsid w:val="00E91334"/>
    <w:rsid w:val="00E9183F"/>
    <w:rsid w:val="00E91DEC"/>
    <w:rsid w:val="00E91EDA"/>
    <w:rsid w:val="00E92859"/>
    <w:rsid w:val="00E9318F"/>
    <w:rsid w:val="00E93214"/>
    <w:rsid w:val="00E93656"/>
    <w:rsid w:val="00E93682"/>
    <w:rsid w:val="00E93D9A"/>
    <w:rsid w:val="00E93F00"/>
    <w:rsid w:val="00E9566E"/>
    <w:rsid w:val="00E9593A"/>
    <w:rsid w:val="00E95D75"/>
    <w:rsid w:val="00E9673E"/>
    <w:rsid w:val="00E967E2"/>
    <w:rsid w:val="00EA06A5"/>
    <w:rsid w:val="00EA1E59"/>
    <w:rsid w:val="00EA32E7"/>
    <w:rsid w:val="00EA3980"/>
    <w:rsid w:val="00EA3B0A"/>
    <w:rsid w:val="00EA468E"/>
    <w:rsid w:val="00EA4FA1"/>
    <w:rsid w:val="00EA6A5A"/>
    <w:rsid w:val="00EA7A46"/>
    <w:rsid w:val="00EA7E93"/>
    <w:rsid w:val="00EB03D7"/>
    <w:rsid w:val="00EB100D"/>
    <w:rsid w:val="00EB1AD3"/>
    <w:rsid w:val="00EB2CAF"/>
    <w:rsid w:val="00EB2D42"/>
    <w:rsid w:val="00EB2EB8"/>
    <w:rsid w:val="00EB3209"/>
    <w:rsid w:val="00EB32D4"/>
    <w:rsid w:val="00EB3B99"/>
    <w:rsid w:val="00EB43BA"/>
    <w:rsid w:val="00EB4669"/>
    <w:rsid w:val="00EB46CC"/>
    <w:rsid w:val="00EB47FA"/>
    <w:rsid w:val="00EB4BC9"/>
    <w:rsid w:val="00EB4E5B"/>
    <w:rsid w:val="00EB5010"/>
    <w:rsid w:val="00EB50C7"/>
    <w:rsid w:val="00EB54F7"/>
    <w:rsid w:val="00EB579F"/>
    <w:rsid w:val="00EB5964"/>
    <w:rsid w:val="00EB638C"/>
    <w:rsid w:val="00EB6964"/>
    <w:rsid w:val="00EB6A15"/>
    <w:rsid w:val="00EB6BF6"/>
    <w:rsid w:val="00EB6FF0"/>
    <w:rsid w:val="00EB780C"/>
    <w:rsid w:val="00EC010D"/>
    <w:rsid w:val="00EC0B1B"/>
    <w:rsid w:val="00EC17ED"/>
    <w:rsid w:val="00EC227C"/>
    <w:rsid w:val="00EC22E2"/>
    <w:rsid w:val="00EC261B"/>
    <w:rsid w:val="00EC300C"/>
    <w:rsid w:val="00EC3932"/>
    <w:rsid w:val="00EC41F5"/>
    <w:rsid w:val="00EC48DC"/>
    <w:rsid w:val="00EC4F68"/>
    <w:rsid w:val="00EC5FFC"/>
    <w:rsid w:val="00EC6AF8"/>
    <w:rsid w:val="00EC6EE8"/>
    <w:rsid w:val="00EC6F3B"/>
    <w:rsid w:val="00EC74C1"/>
    <w:rsid w:val="00EC76A7"/>
    <w:rsid w:val="00EC7879"/>
    <w:rsid w:val="00EC7A52"/>
    <w:rsid w:val="00EC7AA2"/>
    <w:rsid w:val="00EC7BAB"/>
    <w:rsid w:val="00ED08D2"/>
    <w:rsid w:val="00ED1073"/>
    <w:rsid w:val="00ED29BA"/>
    <w:rsid w:val="00ED35D0"/>
    <w:rsid w:val="00ED3832"/>
    <w:rsid w:val="00ED441B"/>
    <w:rsid w:val="00ED49C4"/>
    <w:rsid w:val="00ED508C"/>
    <w:rsid w:val="00ED59FA"/>
    <w:rsid w:val="00ED6063"/>
    <w:rsid w:val="00ED6757"/>
    <w:rsid w:val="00EE01FD"/>
    <w:rsid w:val="00EE0E4B"/>
    <w:rsid w:val="00EE12A8"/>
    <w:rsid w:val="00EE1625"/>
    <w:rsid w:val="00EE1712"/>
    <w:rsid w:val="00EE17EF"/>
    <w:rsid w:val="00EE1808"/>
    <w:rsid w:val="00EE1D8A"/>
    <w:rsid w:val="00EE2006"/>
    <w:rsid w:val="00EE2F19"/>
    <w:rsid w:val="00EE3D71"/>
    <w:rsid w:val="00EE46C0"/>
    <w:rsid w:val="00EE562F"/>
    <w:rsid w:val="00EE5E3A"/>
    <w:rsid w:val="00EE6BAF"/>
    <w:rsid w:val="00EE7260"/>
    <w:rsid w:val="00EE753E"/>
    <w:rsid w:val="00EF01C1"/>
    <w:rsid w:val="00EF0325"/>
    <w:rsid w:val="00EF2720"/>
    <w:rsid w:val="00EF3475"/>
    <w:rsid w:val="00EF3493"/>
    <w:rsid w:val="00EF3F04"/>
    <w:rsid w:val="00EF5324"/>
    <w:rsid w:val="00EF5438"/>
    <w:rsid w:val="00EF5C8D"/>
    <w:rsid w:val="00EF63B5"/>
    <w:rsid w:val="00F00547"/>
    <w:rsid w:val="00F00D59"/>
    <w:rsid w:val="00F01313"/>
    <w:rsid w:val="00F018DC"/>
    <w:rsid w:val="00F02501"/>
    <w:rsid w:val="00F02733"/>
    <w:rsid w:val="00F02DE8"/>
    <w:rsid w:val="00F0371B"/>
    <w:rsid w:val="00F03AF0"/>
    <w:rsid w:val="00F05040"/>
    <w:rsid w:val="00F05EFD"/>
    <w:rsid w:val="00F06ABE"/>
    <w:rsid w:val="00F06C4E"/>
    <w:rsid w:val="00F07C43"/>
    <w:rsid w:val="00F07D60"/>
    <w:rsid w:val="00F107A8"/>
    <w:rsid w:val="00F10815"/>
    <w:rsid w:val="00F110C1"/>
    <w:rsid w:val="00F1207C"/>
    <w:rsid w:val="00F12596"/>
    <w:rsid w:val="00F130BE"/>
    <w:rsid w:val="00F13882"/>
    <w:rsid w:val="00F13886"/>
    <w:rsid w:val="00F13ACC"/>
    <w:rsid w:val="00F13DC5"/>
    <w:rsid w:val="00F144CF"/>
    <w:rsid w:val="00F14A44"/>
    <w:rsid w:val="00F15B81"/>
    <w:rsid w:val="00F15BBF"/>
    <w:rsid w:val="00F161A9"/>
    <w:rsid w:val="00F16C75"/>
    <w:rsid w:val="00F17184"/>
    <w:rsid w:val="00F1731D"/>
    <w:rsid w:val="00F17ADA"/>
    <w:rsid w:val="00F205C2"/>
    <w:rsid w:val="00F205F9"/>
    <w:rsid w:val="00F21369"/>
    <w:rsid w:val="00F21C95"/>
    <w:rsid w:val="00F22483"/>
    <w:rsid w:val="00F2333B"/>
    <w:rsid w:val="00F23386"/>
    <w:rsid w:val="00F234EC"/>
    <w:rsid w:val="00F242AE"/>
    <w:rsid w:val="00F244B8"/>
    <w:rsid w:val="00F24B99"/>
    <w:rsid w:val="00F24F33"/>
    <w:rsid w:val="00F2604E"/>
    <w:rsid w:val="00F26B4F"/>
    <w:rsid w:val="00F26EDB"/>
    <w:rsid w:val="00F27B10"/>
    <w:rsid w:val="00F27B72"/>
    <w:rsid w:val="00F2E386"/>
    <w:rsid w:val="00F30147"/>
    <w:rsid w:val="00F301AB"/>
    <w:rsid w:val="00F30321"/>
    <w:rsid w:val="00F315D6"/>
    <w:rsid w:val="00F3247D"/>
    <w:rsid w:val="00F32505"/>
    <w:rsid w:val="00F329CC"/>
    <w:rsid w:val="00F3471B"/>
    <w:rsid w:val="00F34A91"/>
    <w:rsid w:val="00F34E85"/>
    <w:rsid w:val="00F35864"/>
    <w:rsid w:val="00F35F24"/>
    <w:rsid w:val="00F366E4"/>
    <w:rsid w:val="00F370C5"/>
    <w:rsid w:val="00F3752D"/>
    <w:rsid w:val="00F408A7"/>
    <w:rsid w:val="00F42D89"/>
    <w:rsid w:val="00F43920"/>
    <w:rsid w:val="00F439E1"/>
    <w:rsid w:val="00F458C8"/>
    <w:rsid w:val="00F45ED4"/>
    <w:rsid w:val="00F45FAC"/>
    <w:rsid w:val="00F4600E"/>
    <w:rsid w:val="00F46AC8"/>
    <w:rsid w:val="00F47F5C"/>
    <w:rsid w:val="00F5018D"/>
    <w:rsid w:val="00F50309"/>
    <w:rsid w:val="00F5099C"/>
    <w:rsid w:val="00F50DBB"/>
    <w:rsid w:val="00F51211"/>
    <w:rsid w:val="00F51D19"/>
    <w:rsid w:val="00F52F43"/>
    <w:rsid w:val="00F53306"/>
    <w:rsid w:val="00F5407E"/>
    <w:rsid w:val="00F54D80"/>
    <w:rsid w:val="00F55BB5"/>
    <w:rsid w:val="00F56E13"/>
    <w:rsid w:val="00F603C1"/>
    <w:rsid w:val="00F6178E"/>
    <w:rsid w:val="00F61B9A"/>
    <w:rsid w:val="00F61BD8"/>
    <w:rsid w:val="00F636E6"/>
    <w:rsid w:val="00F63A83"/>
    <w:rsid w:val="00F63B92"/>
    <w:rsid w:val="00F64253"/>
    <w:rsid w:val="00F653D0"/>
    <w:rsid w:val="00F6557F"/>
    <w:rsid w:val="00F65AE8"/>
    <w:rsid w:val="00F660B1"/>
    <w:rsid w:val="00F668A4"/>
    <w:rsid w:val="00F66B27"/>
    <w:rsid w:val="00F66C61"/>
    <w:rsid w:val="00F67273"/>
    <w:rsid w:val="00F7016B"/>
    <w:rsid w:val="00F71048"/>
    <w:rsid w:val="00F7105E"/>
    <w:rsid w:val="00F71121"/>
    <w:rsid w:val="00F7117F"/>
    <w:rsid w:val="00F71364"/>
    <w:rsid w:val="00F7159D"/>
    <w:rsid w:val="00F7209E"/>
    <w:rsid w:val="00F73CB0"/>
    <w:rsid w:val="00F73F97"/>
    <w:rsid w:val="00F75597"/>
    <w:rsid w:val="00F7615E"/>
    <w:rsid w:val="00F76194"/>
    <w:rsid w:val="00F77258"/>
    <w:rsid w:val="00F77BC3"/>
    <w:rsid w:val="00F80738"/>
    <w:rsid w:val="00F80ED6"/>
    <w:rsid w:val="00F82306"/>
    <w:rsid w:val="00F8290B"/>
    <w:rsid w:val="00F82E3D"/>
    <w:rsid w:val="00F83BED"/>
    <w:rsid w:val="00F8408F"/>
    <w:rsid w:val="00F843F0"/>
    <w:rsid w:val="00F85278"/>
    <w:rsid w:val="00F86BB3"/>
    <w:rsid w:val="00F86D7C"/>
    <w:rsid w:val="00F8715D"/>
    <w:rsid w:val="00F873AA"/>
    <w:rsid w:val="00F87644"/>
    <w:rsid w:val="00F87E56"/>
    <w:rsid w:val="00F87F49"/>
    <w:rsid w:val="00F903D2"/>
    <w:rsid w:val="00F906DE"/>
    <w:rsid w:val="00F90C15"/>
    <w:rsid w:val="00F92EA0"/>
    <w:rsid w:val="00F93D23"/>
    <w:rsid w:val="00F94ADC"/>
    <w:rsid w:val="00F94C09"/>
    <w:rsid w:val="00F9503B"/>
    <w:rsid w:val="00F968AD"/>
    <w:rsid w:val="00F974B8"/>
    <w:rsid w:val="00F97BC8"/>
    <w:rsid w:val="00F97E86"/>
    <w:rsid w:val="00FA0028"/>
    <w:rsid w:val="00FA02BE"/>
    <w:rsid w:val="00FA0643"/>
    <w:rsid w:val="00FA09FA"/>
    <w:rsid w:val="00FA1C89"/>
    <w:rsid w:val="00FA24AE"/>
    <w:rsid w:val="00FA2A1A"/>
    <w:rsid w:val="00FA2CB6"/>
    <w:rsid w:val="00FA3423"/>
    <w:rsid w:val="00FA3534"/>
    <w:rsid w:val="00FA41D7"/>
    <w:rsid w:val="00FA489E"/>
    <w:rsid w:val="00FA58E6"/>
    <w:rsid w:val="00FA5D8C"/>
    <w:rsid w:val="00FA6204"/>
    <w:rsid w:val="00FA8681"/>
    <w:rsid w:val="00FB03A4"/>
    <w:rsid w:val="00FB1871"/>
    <w:rsid w:val="00FB194B"/>
    <w:rsid w:val="00FB1FB9"/>
    <w:rsid w:val="00FB23FE"/>
    <w:rsid w:val="00FB31E9"/>
    <w:rsid w:val="00FB3362"/>
    <w:rsid w:val="00FB425E"/>
    <w:rsid w:val="00FB4469"/>
    <w:rsid w:val="00FB465C"/>
    <w:rsid w:val="00FB4C34"/>
    <w:rsid w:val="00FB516C"/>
    <w:rsid w:val="00FB60B9"/>
    <w:rsid w:val="00FB61BA"/>
    <w:rsid w:val="00FB6C98"/>
    <w:rsid w:val="00FC11ED"/>
    <w:rsid w:val="00FC130F"/>
    <w:rsid w:val="00FC21D8"/>
    <w:rsid w:val="00FC2A70"/>
    <w:rsid w:val="00FC2BF1"/>
    <w:rsid w:val="00FC3C38"/>
    <w:rsid w:val="00FC3DBA"/>
    <w:rsid w:val="00FC4145"/>
    <w:rsid w:val="00FC4209"/>
    <w:rsid w:val="00FC5400"/>
    <w:rsid w:val="00FC6D1E"/>
    <w:rsid w:val="00FC7560"/>
    <w:rsid w:val="00FD0163"/>
    <w:rsid w:val="00FD056D"/>
    <w:rsid w:val="00FD0A72"/>
    <w:rsid w:val="00FD10ED"/>
    <w:rsid w:val="00FD163D"/>
    <w:rsid w:val="00FD173F"/>
    <w:rsid w:val="00FD31E1"/>
    <w:rsid w:val="00FD3807"/>
    <w:rsid w:val="00FD432A"/>
    <w:rsid w:val="00FD59BD"/>
    <w:rsid w:val="00FD5C3D"/>
    <w:rsid w:val="00FD5F49"/>
    <w:rsid w:val="00FD6338"/>
    <w:rsid w:val="00FD65E7"/>
    <w:rsid w:val="00FD6C36"/>
    <w:rsid w:val="00FD6FA1"/>
    <w:rsid w:val="00FD761C"/>
    <w:rsid w:val="00FE0120"/>
    <w:rsid w:val="00FE1879"/>
    <w:rsid w:val="00FE1AA2"/>
    <w:rsid w:val="00FE1AB9"/>
    <w:rsid w:val="00FE1AE0"/>
    <w:rsid w:val="00FE1E11"/>
    <w:rsid w:val="00FE289D"/>
    <w:rsid w:val="00FE2E31"/>
    <w:rsid w:val="00FE3CA9"/>
    <w:rsid w:val="00FE3DE9"/>
    <w:rsid w:val="00FE3E96"/>
    <w:rsid w:val="00FE3ED8"/>
    <w:rsid w:val="00FE4070"/>
    <w:rsid w:val="00FE4918"/>
    <w:rsid w:val="00FE54BA"/>
    <w:rsid w:val="00FE54EF"/>
    <w:rsid w:val="00FE5A5C"/>
    <w:rsid w:val="00FE6C7E"/>
    <w:rsid w:val="00FE7565"/>
    <w:rsid w:val="00FE782D"/>
    <w:rsid w:val="00FE78B7"/>
    <w:rsid w:val="00FF0134"/>
    <w:rsid w:val="00FF0A88"/>
    <w:rsid w:val="00FF209B"/>
    <w:rsid w:val="00FF28FF"/>
    <w:rsid w:val="00FF3619"/>
    <w:rsid w:val="00FF4BE0"/>
    <w:rsid w:val="00FF4FCE"/>
    <w:rsid w:val="00FF5034"/>
    <w:rsid w:val="00FF6326"/>
    <w:rsid w:val="00FF6452"/>
    <w:rsid w:val="00FF7992"/>
    <w:rsid w:val="00FF7CDD"/>
    <w:rsid w:val="010B6BD4"/>
    <w:rsid w:val="0123EF84"/>
    <w:rsid w:val="01244A2A"/>
    <w:rsid w:val="01279FDA"/>
    <w:rsid w:val="012955C9"/>
    <w:rsid w:val="012DB94C"/>
    <w:rsid w:val="0135FAED"/>
    <w:rsid w:val="01365401"/>
    <w:rsid w:val="0136F254"/>
    <w:rsid w:val="013D5B13"/>
    <w:rsid w:val="013E89F6"/>
    <w:rsid w:val="0147138C"/>
    <w:rsid w:val="014803D0"/>
    <w:rsid w:val="0152898A"/>
    <w:rsid w:val="0166CCCB"/>
    <w:rsid w:val="0169A301"/>
    <w:rsid w:val="016ACCD6"/>
    <w:rsid w:val="016EFD11"/>
    <w:rsid w:val="0187DE54"/>
    <w:rsid w:val="018DA46D"/>
    <w:rsid w:val="0192DD55"/>
    <w:rsid w:val="01A4DE68"/>
    <w:rsid w:val="01A69F3E"/>
    <w:rsid w:val="01BBB01F"/>
    <w:rsid w:val="01D55335"/>
    <w:rsid w:val="01DCAF06"/>
    <w:rsid w:val="01E66613"/>
    <w:rsid w:val="01F60B01"/>
    <w:rsid w:val="01F8A560"/>
    <w:rsid w:val="02124AB9"/>
    <w:rsid w:val="025E6526"/>
    <w:rsid w:val="02608C44"/>
    <w:rsid w:val="0266C32D"/>
    <w:rsid w:val="026781D6"/>
    <w:rsid w:val="02686942"/>
    <w:rsid w:val="0291627D"/>
    <w:rsid w:val="02927FB7"/>
    <w:rsid w:val="029317B3"/>
    <w:rsid w:val="029923DA"/>
    <w:rsid w:val="02A4CE7F"/>
    <w:rsid w:val="02B7A4E8"/>
    <w:rsid w:val="02C0FB96"/>
    <w:rsid w:val="02DE7932"/>
    <w:rsid w:val="02E3E1F0"/>
    <w:rsid w:val="02EF121D"/>
    <w:rsid w:val="030F1C09"/>
    <w:rsid w:val="032D9DF0"/>
    <w:rsid w:val="034AC71F"/>
    <w:rsid w:val="0356F25A"/>
    <w:rsid w:val="03585CE5"/>
    <w:rsid w:val="038255C8"/>
    <w:rsid w:val="0385FE80"/>
    <w:rsid w:val="0392F7A2"/>
    <w:rsid w:val="03931907"/>
    <w:rsid w:val="0398D738"/>
    <w:rsid w:val="03AD823D"/>
    <w:rsid w:val="03C202C3"/>
    <w:rsid w:val="03C210EB"/>
    <w:rsid w:val="03C4328D"/>
    <w:rsid w:val="03DA2B3F"/>
    <w:rsid w:val="03E29DA9"/>
    <w:rsid w:val="03E5EC59"/>
    <w:rsid w:val="03F8C930"/>
    <w:rsid w:val="040A22CE"/>
    <w:rsid w:val="040CF883"/>
    <w:rsid w:val="04147F10"/>
    <w:rsid w:val="0427AA5A"/>
    <w:rsid w:val="044355ED"/>
    <w:rsid w:val="04446054"/>
    <w:rsid w:val="0444AD94"/>
    <w:rsid w:val="0445151C"/>
    <w:rsid w:val="044BF722"/>
    <w:rsid w:val="04518F07"/>
    <w:rsid w:val="046647FA"/>
    <w:rsid w:val="0473FADE"/>
    <w:rsid w:val="047BA733"/>
    <w:rsid w:val="047E3660"/>
    <w:rsid w:val="04802A29"/>
    <w:rsid w:val="0488550B"/>
    <w:rsid w:val="048D6D86"/>
    <w:rsid w:val="048E9DB5"/>
    <w:rsid w:val="04932C5E"/>
    <w:rsid w:val="049716C2"/>
    <w:rsid w:val="04A32074"/>
    <w:rsid w:val="04AB954F"/>
    <w:rsid w:val="04B5BC3A"/>
    <w:rsid w:val="04BF61F8"/>
    <w:rsid w:val="04D92368"/>
    <w:rsid w:val="04E4C48E"/>
    <w:rsid w:val="04E787D6"/>
    <w:rsid w:val="04EAFAF4"/>
    <w:rsid w:val="04F18722"/>
    <w:rsid w:val="050C6B79"/>
    <w:rsid w:val="05215C05"/>
    <w:rsid w:val="0524B535"/>
    <w:rsid w:val="0524D4C0"/>
    <w:rsid w:val="052AE133"/>
    <w:rsid w:val="0537250D"/>
    <w:rsid w:val="05399B9F"/>
    <w:rsid w:val="05399BF5"/>
    <w:rsid w:val="05400A6D"/>
    <w:rsid w:val="054B40A3"/>
    <w:rsid w:val="054C08F0"/>
    <w:rsid w:val="057339F4"/>
    <w:rsid w:val="05DA3278"/>
    <w:rsid w:val="05F16EAE"/>
    <w:rsid w:val="05FCC6EC"/>
    <w:rsid w:val="063FC753"/>
    <w:rsid w:val="06522E82"/>
    <w:rsid w:val="0652A6C5"/>
    <w:rsid w:val="06652E2A"/>
    <w:rsid w:val="06686DA2"/>
    <w:rsid w:val="066C156A"/>
    <w:rsid w:val="066EF28A"/>
    <w:rsid w:val="0677DA88"/>
    <w:rsid w:val="0678F820"/>
    <w:rsid w:val="067E6C8F"/>
    <w:rsid w:val="067FBE4D"/>
    <w:rsid w:val="068D3007"/>
    <w:rsid w:val="068DDE9B"/>
    <w:rsid w:val="06C2B5A7"/>
    <w:rsid w:val="06CFEBAD"/>
    <w:rsid w:val="06D59DC5"/>
    <w:rsid w:val="06F706F7"/>
    <w:rsid w:val="06F88623"/>
    <w:rsid w:val="07131551"/>
    <w:rsid w:val="072C27CC"/>
    <w:rsid w:val="0734359F"/>
    <w:rsid w:val="073746FC"/>
    <w:rsid w:val="073BF3BB"/>
    <w:rsid w:val="073DEE43"/>
    <w:rsid w:val="073F2751"/>
    <w:rsid w:val="07792826"/>
    <w:rsid w:val="07892109"/>
    <w:rsid w:val="07A084D3"/>
    <w:rsid w:val="07A88C3D"/>
    <w:rsid w:val="07BE368A"/>
    <w:rsid w:val="07C02AE6"/>
    <w:rsid w:val="07D45D7B"/>
    <w:rsid w:val="07DE2AC2"/>
    <w:rsid w:val="080A6217"/>
    <w:rsid w:val="0817337C"/>
    <w:rsid w:val="081CD22F"/>
    <w:rsid w:val="083EEA0C"/>
    <w:rsid w:val="0866C638"/>
    <w:rsid w:val="0875DCC6"/>
    <w:rsid w:val="088E1DBF"/>
    <w:rsid w:val="0893006E"/>
    <w:rsid w:val="08947B75"/>
    <w:rsid w:val="08A789B4"/>
    <w:rsid w:val="08C8EEA4"/>
    <w:rsid w:val="08C94583"/>
    <w:rsid w:val="08CAD095"/>
    <w:rsid w:val="08CD01A5"/>
    <w:rsid w:val="08E8D22F"/>
    <w:rsid w:val="08FC5C0C"/>
    <w:rsid w:val="09111556"/>
    <w:rsid w:val="091C991B"/>
    <w:rsid w:val="0924D49B"/>
    <w:rsid w:val="0925EA69"/>
    <w:rsid w:val="094943B8"/>
    <w:rsid w:val="0962B129"/>
    <w:rsid w:val="097EA32B"/>
    <w:rsid w:val="09879AD9"/>
    <w:rsid w:val="099C0DDD"/>
    <w:rsid w:val="099D7293"/>
    <w:rsid w:val="09A45AED"/>
    <w:rsid w:val="09A466AC"/>
    <w:rsid w:val="09BA08A3"/>
    <w:rsid w:val="09BA8A2D"/>
    <w:rsid w:val="09CADF14"/>
    <w:rsid w:val="09CFBD3C"/>
    <w:rsid w:val="09E51F28"/>
    <w:rsid w:val="09E6EC3D"/>
    <w:rsid w:val="09E79A60"/>
    <w:rsid w:val="09EADEAA"/>
    <w:rsid w:val="0A0DDD42"/>
    <w:rsid w:val="0A10BAFC"/>
    <w:rsid w:val="0A1E4F91"/>
    <w:rsid w:val="0A202984"/>
    <w:rsid w:val="0A288EC5"/>
    <w:rsid w:val="0A2C16E7"/>
    <w:rsid w:val="0A4A2FC6"/>
    <w:rsid w:val="0A61F65B"/>
    <w:rsid w:val="0A6E3D83"/>
    <w:rsid w:val="0A8C6873"/>
    <w:rsid w:val="0A913BED"/>
    <w:rsid w:val="0A996F14"/>
    <w:rsid w:val="0A9C1A18"/>
    <w:rsid w:val="0A9CF69F"/>
    <w:rsid w:val="0ABBBB06"/>
    <w:rsid w:val="0AE11A8A"/>
    <w:rsid w:val="0B026E94"/>
    <w:rsid w:val="0B030FDB"/>
    <w:rsid w:val="0B11AADD"/>
    <w:rsid w:val="0B28C831"/>
    <w:rsid w:val="0B2AB16C"/>
    <w:rsid w:val="0B328ED5"/>
    <w:rsid w:val="0B4C19D8"/>
    <w:rsid w:val="0B64CA8E"/>
    <w:rsid w:val="0B6967A4"/>
    <w:rsid w:val="0B6C92F6"/>
    <w:rsid w:val="0B6FBC1D"/>
    <w:rsid w:val="0B70083F"/>
    <w:rsid w:val="0B72390D"/>
    <w:rsid w:val="0BA07B9C"/>
    <w:rsid w:val="0BB12093"/>
    <w:rsid w:val="0BC691AB"/>
    <w:rsid w:val="0BD5FF3F"/>
    <w:rsid w:val="0BEFEBF3"/>
    <w:rsid w:val="0BF269C3"/>
    <w:rsid w:val="0BF2B94A"/>
    <w:rsid w:val="0BFA45B8"/>
    <w:rsid w:val="0C0A6BFA"/>
    <w:rsid w:val="0C0FEFF2"/>
    <w:rsid w:val="0C123E89"/>
    <w:rsid w:val="0C2305B5"/>
    <w:rsid w:val="0C2BDE56"/>
    <w:rsid w:val="0C3A2C41"/>
    <w:rsid w:val="0C452013"/>
    <w:rsid w:val="0C4FB98E"/>
    <w:rsid w:val="0C593165"/>
    <w:rsid w:val="0C5F2B91"/>
    <w:rsid w:val="0C90B809"/>
    <w:rsid w:val="0CB2B29F"/>
    <w:rsid w:val="0CB5EC72"/>
    <w:rsid w:val="0CCD1AE3"/>
    <w:rsid w:val="0CEAC9C2"/>
    <w:rsid w:val="0CF542DD"/>
    <w:rsid w:val="0D0BC6B1"/>
    <w:rsid w:val="0D195A46"/>
    <w:rsid w:val="0D19DCA3"/>
    <w:rsid w:val="0D31A445"/>
    <w:rsid w:val="0D42EA41"/>
    <w:rsid w:val="0D4D6C3B"/>
    <w:rsid w:val="0D66984C"/>
    <w:rsid w:val="0D6B2200"/>
    <w:rsid w:val="0D79EED3"/>
    <w:rsid w:val="0D850E49"/>
    <w:rsid w:val="0D946E7A"/>
    <w:rsid w:val="0DAAA402"/>
    <w:rsid w:val="0DAB7F13"/>
    <w:rsid w:val="0DCE5B56"/>
    <w:rsid w:val="0DD017DE"/>
    <w:rsid w:val="0DD198C3"/>
    <w:rsid w:val="0DD5F925"/>
    <w:rsid w:val="0DD61082"/>
    <w:rsid w:val="0DDA0F42"/>
    <w:rsid w:val="0DDDD8C7"/>
    <w:rsid w:val="0DDECA5D"/>
    <w:rsid w:val="0DE74BA3"/>
    <w:rsid w:val="0DEF2FF7"/>
    <w:rsid w:val="0DF5EE2E"/>
    <w:rsid w:val="0DF71779"/>
    <w:rsid w:val="0DF948DD"/>
    <w:rsid w:val="0E1B7A17"/>
    <w:rsid w:val="0E1E1D02"/>
    <w:rsid w:val="0E30DA5D"/>
    <w:rsid w:val="0E3D9AC6"/>
    <w:rsid w:val="0E4E34AD"/>
    <w:rsid w:val="0E5BB00A"/>
    <w:rsid w:val="0E61D87D"/>
    <w:rsid w:val="0E6E3452"/>
    <w:rsid w:val="0EA65066"/>
    <w:rsid w:val="0EA6518A"/>
    <w:rsid w:val="0EB09A9A"/>
    <w:rsid w:val="0EB4E8DB"/>
    <w:rsid w:val="0EBCB1F2"/>
    <w:rsid w:val="0EDB4419"/>
    <w:rsid w:val="0EE9AAD7"/>
    <w:rsid w:val="0EEC75D7"/>
    <w:rsid w:val="0EECE974"/>
    <w:rsid w:val="0EF23387"/>
    <w:rsid w:val="0F18B432"/>
    <w:rsid w:val="0F1DD843"/>
    <w:rsid w:val="0F1DE602"/>
    <w:rsid w:val="0F212E7B"/>
    <w:rsid w:val="0F3FF0CA"/>
    <w:rsid w:val="0F4EC08E"/>
    <w:rsid w:val="0F59BD3D"/>
    <w:rsid w:val="0F5F5DB4"/>
    <w:rsid w:val="0F878220"/>
    <w:rsid w:val="0F8F4DC1"/>
    <w:rsid w:val="0F913B04"/>
    <w:rsid w:val="0F9D3A01"/>
    <w:rsid w:val="0FA6CFF8"/>
    <w:rsid w:val="0FAE4F01"/>
    <w:rsid w:val="0FB8A1E9"/>
    <w:rsid w:val="0FCA4CB4"/>
    <w:rsid w:val="0FD0D58E"/>
    <w:rsid w:val="0FDA5E4A"/>
    <w:rsid w:val="0FE467EC"/>
    <w:rsid w:val="0FE91C04"/>
    <w:rsid w:val="0FEFC2DB"/>
    <w:rsid w:val="0FEFC3C3"/>
    <w:rsid w:val="1017A4EF"/>
    <w:rsid w:val="10217CCD"/>
    <w:rsid w:val="10271B28"/>
    <w:rsid w:val="1029E032"/>
    <w:rsid w:val="1032E2F7"/>
    <w:rsid w:val="103588DC"/>
    <w:rsid w:val="103EF190"/>
    <w:rsid w:val="105BA7A5"/>
    <w:rsid w:val="106805A5"/>
    <w:rsid w:val="10690009"/>
    <w:rsid w:val="1078F76C"/>
    <w:rsid w:val="10811C79"/>
    <w:rsid w:val="10939722"/>
    <w:rsid w:val="109F58C9"/>
    <w:rsid w:val="10ADBEBD"/>
    <w:rsid w:val="10CB9845"/>
    <w:rsid w:val="10D0506E"/>
    <w:rsid w:val="10D232A4"/>
    <w:rsid w:val="10DAE6D6"/>
    <w:rsid w:val="10ECE367"/>
    <w:rsid w:val="10F7C036"/>
    <w:rsid w:val="10FDCA6B"/>
    <w:rsid w:val="1103E4BD"/>
    <w:rsid w:val="110B07DB"/>
    <w:rsid w:val="11100AC0"/>
    <w:rsid w:val="11141C4D"/>
    <w:rsid w:val="111DDE20"/>
    <w:rsid w:val="11247F99"/>
    <w:rsid w:val="112B1E22"/>
    <w:rsid w:val="113069CC"/>
    <w:rsid w:val="11356FD6"/>
    <w:rsid w:val="117AC3C3"/>
    <w:rsid w:val="117D00DC"/>
    <w:rsid w:val="118D7EF3"/>
    <w:rsid w:val="11A96971"/>
    <w:rsid w:val="11C86220"/>
    <w:rsid w:val="11D4B6B3"/>
    <w:rsid w:val="11D507A6"/>
    <w:rsid w:val="11D6522E"/>
    <w:rsid w:val="11F3E695"/>
    <w:rsid w:val="12058E1C"/>
    <w:rsid w:val="1215088A"/>
    <w:rsid w:val="12167825"/>
    <w:rsid w:val="121794A7"/>
    <w:rsid w:val="121D4F2E"/>
    <w:rsid w:val="121E2A67"/>
    <w:rsid w:val="124C5C15"/>
    <w:rsid w:val="126D1DEA"/>
    <w:rsid w:val="1270AA6C"/>
    <w:rsid w:val="127167EC"/>
    <w:rsid w:val="1273D609"/>
    <w:rsid w:val="12A0BE49"/>
    <w:rsid w:val="12BE070C"/>
    <w:rsid w:val="12C1DCE9"/>
    <w:rsid w:val="12C2CE51"/>
    <w:rsid w:val="12C7653F"/>
    <w:rsid w:val="12E0C033"/>
    <w:rsid w:val="12F2CAB4"/>
    <w:rsid w:val="132C2996"/>
    <w:rsid w:val="1334BC57"/>
    <w:rsid w:val="13380412"/>
    <w:rsid w:val="13423B25"/>
    <w:rsid w:val="135216EC"/>
    <w:rsid w:val="1352F9B2"/>
    <w:rsid w:val="1356509D"/>
    <w:rsid w:val="1369B880"/>
    <w:rsid w:val="138D8AC8"/>
    <w:rsid w:val="139058D4"/>
    <w:rsid w:val="13916D48"/>
    <w:rsid w:val="13A2536D"/>
    <w:rsid w:val="13A4DB3C"/>
    <w:rsid w:val="13B997F6"/>
    <w:rsid w:val="13CEA1AA"/>
    <w:rsid w:val="13D67283"/>
    <w:rsid w:val="13EAF557"/>
    <w:rsid w:val="13FC1EFF"/>
    <w:rsid w:val="13FC3B1C"/>
    <w:rsid w:val="1421C077"/>
    <w:rsid w:val="1432E47D"/>
    <w:rsid w:val="144DB10B"/>
    <w:rsid w:val="1461C919"/>
    <w:rsid w:val="146FAFF7"/>
    <w:rsid w:val="1472CACB"/>
    <w:rsid w:val="147FC744"/>
    <w:rsid w:val="1485EE09"/>
    <w:rsid w:val="148B9942"/>
    <w:rsid w:val="1493651A"/>
    <w:rsid w:val="149F11ED"/>
    <w:rsid w:val="149F72CA"/>
    <w:rsid w:val="14C3F514"/>
    <w:rsid w:val="14C82042"/>
    <w:rsid w:val="14E2395F"/>
    <w:rsid w:val="14EF0B71"/>
    <w:rsid w:val="14F42BC4"/>
    <w:rsid w:val="14FAD3DA"/>
    <w:rsid w:val="15136507"/>
    <w:rsid w:val="152472C1"/>
    <w:rsid w:val="15532B61"/>
    <w:rsid w:val="156D9C11"/>
    <w:rsid w:val="15762B83"/>
    <w:rsid w:val="15841B35"/>
    <w:rsid w:val="158FA798"/>
    <w:rsid w:val="158FE051"/>
    <w:rsid w:val="1599A590"/>
    <w:rsid w:val="159BF9AC"/>
    <w:rsid w:val="15AB21F1"/>
    <w:rsid w:val="15AF096B"/>
    <w:rsid w:val="15BAF022"/>
    <w:rsid w:val="15CECB7B"/>
    <w:rsid w:val="15D722D4"/>
    <w:rsid w:val="15E61217"/>
    <w:rsid w:val="15ED108A"/>
    <w:rsid w:val="15FAC80C"/>
    <w:rsid w:val="15FE4205"/>
    <w:rsid w:val="15FE8F45"/>
    <w:rsid w:val="160EAC00"/>
    <w:rsid w:val="161EF649"/>
    <w:rsid w:val="1622F4E6"/>
    <w:rsid w:val="16422636"/>
    <w:rsid w:val="16534FAF"/>
    <w:rsid w:val="1653826E"/>
    <w:rsid w:val="1654E6E0"/>
    <w:rsid w:val="165800EF"/>
    <w:rsid w:val="1662C659"/>
    <w:rsid w:val="168D65D3"/>
    <w:rsid w:val="168F3EA8"/>
    <w:rsid w:val="16932916"/>
    <w:rsid w:val="16B22750"/>
    <w:rsid w:val="16B80135"/>
    <w:rsid w:val="16B91B07"/>
    <w:rsid w:val="16C179E1"/>
    <w:rsid w:val="16D51DBD"/>
    <w:rsid w:val="16D6D0E0"/>
    <w:rsid w:val="16D6F437"/>
    <w:rsid w:val="16D9DA36"/>
    <w:rsid w:val="16E82082"/>
    <w:rsid w:val="16EDB993"/>
    <w:rsid w:val="16F74160"/>
    <w:rsid w:val="16FCCBF8"/>
    <w:rsid w:val="170046C7"/>
    <w:rsid w:val="17005D7C"/>
    <w:rsid w:val="17028506"/>
    <w:rsid w:val="1706BCE0"/>
    <w:rsid w:val="170A3355"/>
    <w:rsid w:val="171FA078"/>
    <w:rsid w:val="172660AE"/>
    <w:rsid w:val="17349AF8"/>
    <w:rsid w:val="174AD7F4"/>
    <w:rsid w:val="174BF0B9"/>
    <w:rsid w:val="174E2692"/>
    <w:rsid w:val="17641F54"/>
    <w:rsid w:val="1779F4D7"/>
    <w:rsid w:val="177FC5BE"/>
    <w:rsid w:val="17835B41"/>
    <w:rsid w:val="178B35EE"/>
    <w:rsid w:val="179230B1"/>
    <w:rsid w:val="17A9EAEF"/>
    <w:rsid w:val="17B08125"/>
    <w:rsid w:val="17B4209F"/>
    <w:rsid w:val="17BCB661"/>
    <w:rsid w:val="17BE2A48"/>
    <w:rsid w:val="17C1851C"/>
    <w:rsid w:val="17DEA065"/>
    <w:rsid w:val="17E45910"/>
    <w:rsid w:val="17EFCD26"/>
    <w:rsid w:val="1808750D"/>
    <w:rsid w:val="18123DCC"/>
    <w:rsid w:val="18148A61"/>
    <w:rsid w:val="181921A1"/>
    <w:rsid w:val="1824FB02"/>
    <w:rsid w:val="1839C39B"/>
    <w:rsid w:val="183B95A8"/>
    <w:rsid w:val="183DC796"/>
    <w:rsid w:val="184C4865"/>
    <w:rsid w:val="18555833"/>
    <w:rsid w:val="185FB21C"/>
    <w:rsid w:val="1885FE2D"/>
    <w:rsid w:val="188684C7"/>
    <w:rsid w:val="188C5BDB"/>
    <w:rsid w:val="18918551"/>
    <w:rsid w:val="189C0912"/>
    <w:rsid w:val="189C4B1C"/>
    <w:rsid w:val="18C5F263"/>
    <w:rsid w:val="18D2EC94"/>
    <w:rsid w:val="18DCEDA6"/>
    <w:rsid w:val="18E2723C"/>
    <w:rsid w:val="1905A0F8"/>
    <w:rsid w:val="19092FCF"/>
    <w:rsid w:val="190C7892"/>
    <w:rsid w:val="191F6B52"/>
    <w:rsid w:val="1924F530"/>
    <w:rsid w:val="192A6CE2"/>
    <w:rsid w:val="193F0A3E"/>
    <w:rsid w:val="194C1D64"/>
    <w:rsid w:val="1957BE2F"/>
    <w:rsid w:val="19589E70"/>
    <w:rsid w:val="19727983"/>
    <w:rsid w:val="197F0447"/>
    <w:rsid w:val="19880CAA"/>
    <w:rsid w:val="198F0F4E"/>
    <w:rsid w:val="1992AF69"/>
    <w:rsid w:val="199CF824"/>
    <w:rsid w:val="199DFA5B"/>
    <w:rsid w:val="19A40DE7"/>
    <w:rsid w:val="19B64816"/>
    <w:rsid w:val="19C24DC1"/>
    <w:rsid w:val="19DA651E"/>
    <w:rsid w:val="19E8C7E0"/>
    <w:rsid w:val="19ED4D5E"/>
    <w:rsid w:val="19F864CE"/>
    <w:rsid w:val="19FA8572"/>
    <w:rsid w:val="1A0A91D0"/>
    <w:rsid w:val="1A228BCD"/>
    <w:rsid w:val="1A23BA2D"/>
    <w:rsid w:val="1A37B4D1"/>
    <w:rsid w:val="1A4F5597"/>
    <w:rsid w:val="1A5214CE"/>
    <w:rsid w:val="1A59F26E"/>
    <w:rsid w:val="1A61EFA4"/>
    <w:rsid w:val="1A6C3FD5"/>
    <w:rsid w:val="1A7FC139"/>
    <w:rsid w:val="1A833B6A"/>
    <w:rsid w:val="1A8F2E0D"/>
    <w:rsid w:val="1AA35BC8"/>
    <w:rsid w:val="1AA8CD66"/>
    <w:rsid w:val="1AB061AB"/>
    <w:rsid w:val="1ABE4CAB"/>
    <w:rsid w:val="1ACC62A1"/>
    <w:rsid w:val="1AD9E659"/>
    <w:rsid w:val="1AE4357E"/>
    <w:rsid w:val="1AF719DF"/>
    <w:rsid w:val="1AF8AFB3"/>
    <w:rsid w:val="1AFC3730"/>
    <w:rsid w:val="1B1528DA"/>
    <w:rsid w:val="1B17EC5F"/>
    <w:rsid w:val="1B1AC8B6"/>
    <w:rsid w:val="1B1B6175"/>
    <w:rsid w:val="1B202EA8"/>
    <w:rsid w:val="1B2E2C43"/>
    <w:rsid w:val="1B49DE8E"/>
    <w:rsid w:val="1B59476B"/>
    <w:rsid w:val="1B5C4946"/>
    <w:rsid w:val="1B6D95AB"/>
    <w:rsid w:val="1B767756"/>
    <w:rsid w:val="1B88A7E1"/>
    <w:rsid w:val="1B891D66"/>
    <w:rsid w:val="1B8F7424"/>
    <w:rsid w:val="1B976A9B"/>
    <w:rsid w:val="1BAC9AFE"/>
    <w:rsid w:val="1BB9C721"/>
    <w:rsid w:val="1BC201B1"/>
    <w:rsid w:val="1BCC61E8"/>
    <w:rsid w:val="1BF8EF6A"/>
    <w:rsid w:val="1BF93519"/>
    <w:rsid w:val="1BFB1C24"/>
    <w:rsid w:val="1BFE7FB1"/>
    <w:rsid w:val="1BFF21D5"/>
    <w:rsid w:val="1C02CA2C"/>
    <w:rsid w:val="1C0C86E6"/>
    <w:rsid w:val="1C26CEEA"/>
    <w:rsid w:val="1C42DA68"/>
    <w:rsid w:val="1C5350C5"/>
    <w:rsid w:val="1C53C216"/>
    <w:rsid w:val="1C6C3274"/>
    <w:rsid w:val="1C6CAC64"/>
    <w:rsid w:val="1C90AC87"/>
    <w:rsid w:val="1C98D399"/>
    <w:rsid w:val="1CA6FA27"/>
    <w:rsid w:val="1CB34D22"/>
    <w:rsid w:val="1CC81CA9"/>
    <w:rsid w:val="1CCFB498"/>
    <w:rsid w:val="1CF8F8FB"/>
    <w:rsid w:val="1D07FCB0"/>
    <w:rsid w:val="1D0E3600"/>
    <w:rsid w:val="1D1E5C7E"/>
    <w:rsid w:val="1D206C15"/>
    <w:rsid w:val="1D2071C5"/>
    <w:rsid w:val="1D250DCF"/>
    <w:rsid w:val="1D25542D"/>
    <w:rsid w:val="1D2771EF"/>
    <w:rsid w:val="1D413327"/>
    <w:rsid w:val="1D44F391"/>
    <w:rsid w:val="1D559782"/>
    <w:rsid w:val="1D5B992B"/>
    <w:rsid w:val="1D62E2D3"/>
    <w:rsid w:val="1D670FB9"/>
    <w:rsid w:val="1DA865F2"/>
    <w:rsid w:val="1DA99277"/>
    <w:rsid w:val="1DAB5DC0"/>
    <w:rsid w:val="1DDEFA12"/>
    <w:rsid w:val="1DE51025"/>
    <w:rsid w:val="1DFA2DE7"/>
    <w:rsid w:val="1DFB85E3"/>
    <w:rsid w:val="1E0D52DD"/>
    <w:rsid w:val="1E1D6519"/>
    <w:rsid w:val="1E1E2319"/>
    <w:rsid w:val="1E24205A"/>
    <w:rsid w:val="1E2FBB8D"/>
    <w:rsid w:val="1E3D07A9"/>
    <w:rsid w:val="1E685007"/>
    <w:rsid w:val="1E6A75D9"/>
    <w:rsid w:val="1E6EAD72"/>
    <w:rsid w:val="1E799EA3"/>
    <w:rsid w:val="1E8E5489"/>
    <w:rsid w:val="1EA34C03"/>
    <w:rsid w:val="1EA49929"/>
    <w:rsid w:val="1EA6F10A"/>
    <w:rsid w:val="1EA97380"/>
    <w:rsid w:val="1EB080BB"/>
    <w:rsid w:val="1ED7AE4B"/>
    <w:rsid w:val="1EDC00FA"/>
    <w:rsid w:val="1EDE9ECA"/>
    <w:rsid w:val="1EE1CD0A"/>
    <w:rsid w:val="1EE5E30E"/>
    <w:rsid w:val="1EE91C41"/>
    <w:rsid w:val="1EF3FA64"/>
    <w:rsid w:val="1F0084B7"/>
    <w:rsid w:val="1F06250D"/>
    <w:rsid w:val="1F0E4E75"/>
    <w:rsid w:val="1F26B845"/>
    <w:rsid w:val="1F2CD5AA"/>
    <w:rsid w:val="1F2CF371"/>
    <w:rsid w:val="1F3E9126"/>
    <w:rsid w:val="1F4149E2"/>
    <w:rsid w:val="1F57029E"/>
    <w:rsid w:val="1F5C17BA"/>
    <w:rsid w:val="1F678B3A"/>
    <w:rsid w:val="1F68AE21"/>
    <w:rsid w:val="1F7102EE"/>
    <w:rsid w:val="1F7A6D90"/>
    <w:rsid w:val="1F7D8ED7"/>
    <w:rsid w:val="1F81613C"/>
    <w:rsid w:val="1F8BFBEE"/>
    <w:rsid w:val="1F9C60C8"/>
    <w:rsid w:val="1FAC61F7"/>
    <w:rsid w:val="1FADFCC8"/>
    <w:rsid w:val="1FBA026E"/>
    <w:rsid w:val="1FBA7945"/>
    <w:rsid w:val="1FE0A460"/>
    <w:rsid w:val="1FE70DC8"/>
    <w:rsid w:val="1FEDDAA1"/>
    <w:rsid w:val="1FF449B0"/>
    <w:rsid w:val="1FFB76ED"/>
    <w:rsid w:val="201E57B8"/>
    <w:rsid w:val="202AC567"/>
    <w:rsid w:val="2034BE45"/>
    <w:rsid w:val="2043BB8A"/>
    <w:rsid w:val="204DFFC8"/>
    <w:rsid w:val="205458C9"/>
    <w:rsid w:val="205BF2FA"/>
    <w:rsid w:val="2067AA33"/>
    <w:rsid w:val="2076C6F4"/>
    <w:rsid w:val="207B0866"/>
    <w:rsid w:val="2080A3F1"/>
    <w:rsid w:val="2081B36F"/>
    <w:rsid w:val="20828561"/>
    <w:rsid w:val="208E510C"/>
    <w:rsid w:val="2098231B"/>
    <w:rsid w:val="209B45C2"/>
    <w:rsid w:val="20B162A1"/>
    <w:rsid w:val="20C415B0"/>
    <w:rsid w:val="20CD9949"/>
    <w:rsid w:val="210AF19D"/>
    <w:rsid w:val="212C8D1E"/>
    <w:rsid w:val="213F66EA"/>
    <w:rsid w:val="21448B19"/>
    <w:rsid w:val="2167875E"/>
    <w:rsid w:val="216DB80F"/>
    <w:rsid w:val="218AE2DD"/>
    <w:rsid w:val="219234FF"/>
    <w:rsid w:val="219D12C9"/>
    <w:rsid w:val="21C11FB7"/>
    <w:rsid w:val="21D7C07B"/>
    <w:rsid w:val="21DE551C"/>
    <w:rsid w:val="21E74C24"/>
    <w:rsid w:val="21EFEAE4"/>
    <w:rsid w:val="21F4A31D"/>
    <w:rsid w:val="21FCF7CE"/>
    <w:rsid w:val="22115F2E"/>
    <w:rsid w:val="2217DDDB"/>
    <w:rsid w:val="221F5744"/>
    <w:rsid w:val="22313DA6"/>
    <w:rsid w:val="22388C1B"/>
    <w:rsid w:val="22443C9B"/>
    <w:rsid w:val="22565F54"/>
    <w:rsid w:val="226BBA50"/>
    <w:rsid w:val="227003D2"/>
    <w:rsid w:val="227AC692"/>
    <w:rsid w:val="227DB20B"/>
    <w:rsid w:val="22895B61"/>
    <w:rsid w:val="22994C1F"/>
    <w:rsid w:val="22AC8DC3"/>
    <w:rsid w:val="22B44FB6"/>
    <w:rsid w:val="22E9B0F4"/>
    <w:rsid w:val="22F765C5"/>
    <w:rsid w:val="22FE4BA5"/>
    <w:rsid w:val="23075C73"/>
    <w:rsid w:val="231DBEEE"/>
    <w:rsid w:val="2322A60A"/>
    <w:rsid w:val="23254156"/>
    <w:rsid w:val="232A13B4"/>
    <w:rsid w:val="232CA4E3"/>
    <w:rsid w:val="234164F5"/>
    <w:rsid w:val="23434245"/>
    <w:rsid w:val="235374A0"/>
    <w:rsid w:val="235C0C3A"/>
    <w:rsid w:val="23658449"/>
    <w:rsid w:val="236A4F66"/>
    <w:rsid w:val="236F38E5"/>
    <w:rsid w:val="237BDE55"/>
    <w:rsid w:val="237C6316"/>
    <w:rsid w:val="23B0A976"/>
    <w:rsid w:val="23B1A820"/>
    <w:rsid w:val="23B7ACE3"/>
    <w:rsid w:val="23CB776D"/>
    <w:rsid w:val="23CFA8E9"/>
    <w:rsid w:val="23ECCA92"/>
    <w:rsid w:val="24120407"/>
    <w:rsid w:val="241683CE"/>
    <w:rsid w:val="2418E4E4"/>
    <w:rsid w:val="2420E9E2"/>
    <w:rsid w:val="242F06A4"/>
    <w:rsid w:val="2430047A"/>
    <w:rsid w:val="243185B4"/>
    <w:rsid w:val="24439E63"/>
    <w:rsid w:val="245EDD63"/>
    <w:rsid w:val="246167F7"/>
    <w:rsid w:val="24628FC6"/>
    <w:rsid w:val="2467A7D7"/>
    <w:rsid w:val="246B7277"/>
    <w:rsid w:val="2470B8C2"/>
    <w:rsid w:val="2478F052"/>
    <w:rsid w:val="247C0348"/>
    <w:rsid w:val="2492B8D0"/>
    <w:rsid w:val="2493B603"/>
    <w:rsid w:val="2494CAA0"/>
    <w:rsid w:val="24AC32D6"/>
    <w:rsid w:val="24E50E2D"/>
    <w:rsid w:val="250CF356"/>
    <w:rsid w:val="25245D0B"/>
    <w:rsid w:val="2526C32C"/>
    <w:rsid w:val="252788BB"/>
    <w:rsid w:val="25296E27"/>
    <w:rsid w:val="252C43DF"/>
    <w:rsid w:val="2536D870"/>
    <w:rsid w:val="25543778"/>
    <w:rsid w:val="2557745D"/>
    <w:rsid w:val="255D4AE8"/>
    <w:rsid w:val="255EA4F4"/>
    <w:rsid w:val="2571A193"/>
    <w:rsid w:val="257570B2"/>
    <w:rsid w:val="2577C717"/>
    <w:rsid w:val="25795FF7"/>
    <w:rsid w:val="258603AE"/>
    <w:rsid w:val="25A7A494"/>
    <w:rsid w:val="25B52E51"/>
    <w:rsid w:val="25C655D4"/>
    <w:rsid w:val="25CD06D8"/>
    <w:rsid w:val="25D54D28"/>
    <w:rsid w:val="25EFA2C3"/>
    <w:rsid w:val="25F9359C"/>
    <w:rsid w:val="25FA330B"/>
    <w:rsid w:val="25FCE89C"/>
    <w:rsid w:val="25FE6027"/>
    <w:rsid w:val="26186F2B"/>
    <w:rsid w:val="2623CFED"/>
    <w:rsid w:val="262FC9D4"/>
    <w:rsid w:val="2637C49B"/>
    <w:rsid w:val="263BE206"/>
    <w:rsid w:val="263C147E"/>
    <w:rsid w:val="2648E785"/>
    <w:rsid w:val="26563240"/>
    <w:rsid w:val="26742E2D"/>
    <w:rsid w:val="2678A8E8"/>
    <w:rsid w:val="267D35B7"/>
    <w:rsid w:val="268A5838"/>
    <w:rsid w:val="2693ACFC"/>
    <w:rsid w:val="26940E90"/>
    <w:rsid w:val="26A64FC7"/>
    <w:rsid w:val="26B87889"/>
    <w:rsid w:val="26BECA38"/>
    <w:rsid w:val="26D4EB1A"/>
    <w:rsid w:val="26DAA35D"/>
    <w:rsid w:val="26DDEAAF"/>
    <w:rsid w:val="26E2886C"/>
    <w:rsid w:val="26F09CBC"/>
    <w:rsid w:val="26F0BA46"/>
    <w:rsid w:val="270B969C"/>
    <w:rsid w:val="2718888C"/>
    <w:rsid w:val="271C70F2"/>
    <w:rsid w:val="271CBA6E"/>
    <w:rsid w:val="27354F28"/>
    <w:rsid w:val="273640CF"/>
    <w:rsid w:val="273ACE4D"/>
    <w:rsid w:val="273E1CF6"/>
    <w:rsid w:val="273EA83B"/>
    <w:rsid w:val="27428848"/>
    <w:rsid w:val="27524D60"/>
    <w:rsid w:val="275388DD"/>
    <w:rsid w:val="27664363"/>
    <w:rsid w:val="27720545"/>
    <w:rsid w:val="2790B4D5"/>
    <w:rsid w:val="279D6EA5"/>
    <w:rsid w:val="279F4899"/>
    <w:rsid w:val="27AE367B"/>
    <w:rsid w:val="27BB90AE"/>
    <w:rsid w:val="27BD16F5"/>
    <w:rsid w:val="27C75CA0"/>
    <w:rsid w:val="27CE4279"/>
    <w:rsid w:val="27CE77BD"/>
    <w:rsid w:val="27D8617B"/>
    <w:rsid w:val="27D9D689"/>
    <w:rsid w:val="27DF4D0F"/>
    <w:rsid w:val="27F415D6"/>
    <w:rsid w:val="27FE1150"/>
    <w:rsid w:val="2801CF6B"/>
    <w:rsid w:val="2802083D"/>
    <w:rsid w:val="2806D735"/>
    <w:rsid w:val="280CC597"/>
    <w:rsid w:val="28120F77"/>
    <w:rsid w:val="2829FC86"/>
    <w:rsid w:val="283F50DC"/>
    <w:rsid w:val="28530138"/>
    <w:rsid w:val="285D2AD4"/>
    <w:rsid w:val="287FAF10"/>
    <w:rsid w:val="288E3EA0"/>
    <w:rsid w:val="28948D2E"/>
    <w:rsid w:val="28A03793"/>
    <w:rsid w:val="28BC9DAE"/>
    <w:rsid w:val="28C20A6B"/>
    <w:rsid w:val="28CCD60B"/>
    <w:rsid w:val="28D261B4"/>
    <w:rsid w:val="28D460F9"/>
    <w:rsid w:val="28DE35D7"/>
    <w:rsid w:val="28FBD1B2"/>
    <w:rsid w:val="28FFA347"/>
    <w:rsid w:val="2931D3CD"/>
    <w:rsid w:val="29408DD5"/>
    <w:rsid w:val="2941FBDE"/>
    <w:rsid w:val="294A6143"/>
    <w:rsid w:val="29636466"/>
    <w:rsid w:val="296676F5"/>
    <w:rsid w:val="2970CFF1"/>
    <w:rsid w:val="2974E375"/>
    <w:rsid w:val="298B3A99"/>
    <w:rsid w:val="29923FC8"/>
    <w:rsid w:val="29936636"/>
    <w:rsid w:val="299FDA33"/>
    <w:rsid w:val="29AB8832"/>
    <w:rsid w:val="29C70A7A"/>
    <w:rsid w:val="29D9A7B9"/>
    <w:rsid w:val="29DA61EE"/>
    <w:rsid w:val="2A0792DB"/>
    <w:rsid w:val="2A1DEB5F"/>
    <w:rsid w:val="2A1E9D39"/>
    <w:rsid w:val="2A3907F8"/>
    <w:rsid w:val="2A45F41D"/>
    <w:rsid w:val="2A4BCBCB"/>
    <w:rsid w:val="2A4D8756"/>
    <w:rsid w:val="2A5546E4"/>
    <w:rsid w:val="2A7733EA"/>
    <w:rsid w:val="2A7CD9B7"/>
    <w:rsid w:val="2A7F5EBE"/>
    <w:rsid w:val="2A82A5B1"/>
    <w:rsid w:val="2A88DAB5"/>
    <w:rsid w:val="2AA17E42"/>
    <w:rsid w:val="2AAA09C7"/>
    <w:rsid w:val="2AAA6E74"/>
    <w:rsid w:val="2AC4B038"/>
    <w:rsid w:val="2AF24B83"/>
    <w:rsid w:val="2AF33252"/>
    <w:rsid w:val="2B0B1849"/>
    <w:rsid w:val="2B2E1029"/>
    <w:rsid w:val="2B3FE699"/>
    <w:rsid w:val="2B4C3059"/>
    <w:rsid w:val="2B4D1FDA"/>
    <w:rsid w:val="2B5D3938"/>
    <w:rsid w:val="2B5E086D"/>
    <w:rsid w:val="2B69F3D4"/>
    <w:rsid w:val="2B7B82C1"/>
    <w:rsid w:val="2B9B244A"/>
    <w:rsid w:val="2BA0A39B"/>
    <w:rsid w:val="2BA4E3FC"/>
    <w:rsid w:val="2BA667D0"/>
    <w:rsid w:val="2BB50809"/>
    <w:rsid w:val="2BB67A5A"/>
    <w:rsid w:val="2BB9065B"/>
    <w:rsid w:val="2BE164BD"/>
    <w:rsid w:val="2BE5EE1A"/>
    <w:rsid w:val="2BF38404"/>
    <w:rsid w:val="2BFE2898"/>
    <w:rsid w:val="2C00E2FF"/>
    <w:rsid w:val="2C0E744D"/>
    <w:rsid w:val="2C252CBC"/>
    <w:rsid w:val="2C3234AA"/>
    <w:rsid w:val="2C3FD81A"/>
    <w:rsid w:val="2C5E3796"/>
    <w:rsid w:val="2C60D5BE"/>
    <w:rsid w:val="2C6277E2"/>
    <w:rsid w:val="2C6447B1"/>
    <w:rsid w:val="2C6780E7"/>
    <w:rsid w:val="2C69748F"/>
    <w:rsid w:val="2C6A706E"/>
    <w:rsid w:val="2C7364EB"/>
    <w:rsid w:val="2C78DA9E"/>
    <w:rsid w:val="2C86A38F"/>
    <w:rsid w:val="2C91D329"/>
    <w:rsid w:val="2CA57CCE"/>
    <w:rsid w:val="2CAA8581"/>
    <w:rsid w:val="2CB6E176"/>
    <w:rsid w:val="2CB6F87E"/>
    <w:rsid w:val="2CD77DF6"/>
    <w:rsid w:val="2CEDF51D"/>
    <w:rsid w:val="2CEE67FE"/>
    <w:rsid w:val="2D04C89C"/>
    <w:rsid w:val="2D18EA96"/>
    <w:rsid w:val="2D2E69E0"/>
    <w:rsid w:val="2D356B4A"/>
    <w:rsid w:val="2D38B4A1"/>
    <w:rsid w:val="2D40D0E9"/>
    <w:rsid w:val="2D61AFC3"/>
    <w:rsid w:val="2D65AE5F"/>
    <w:rsid w:val="2D6DB817"/>
    <w:rsid w:val="2D6F49AA"/>
    <w:rsid w:val="2D6FAB18"/>
    <w:rsid w:val="2D7CA1CC"/>
    <w:rsid w:val="2DA8BE65"/>
    <w:rsid w:val="2DAFB1A3"/>
    <w:rsid w:val="2DB50D75"/>
    <w:rsid w:val="2DB8EC28"/>
    <w:rsid w:val="2DD2ED41"/>
    <w:rsid w:val="2DE3D6BD"/>
    <w:rsid w:val="2E329FEA"/>
    <w:rsid w:val="2E33BB4E"/>
    <w:rsid w:val="2E4838D4"/>
    <w:rsid w:val="2E4C194F"/>
    <w:rsid w:val="2E5B1BDE"/>
    <w:rsid w:val="2E67B59D"/>
    <w:rsid w:val="2E7298DD"/>
    <w:rsid w:val="2E839589"/>
    <w:rsid w:val="2E8DC63A"/>
    <w:rsid w:val="2E91ED98"/>
    <w:rsid w:val="2E9AA298"/>
    <w:rsid w:val="2EB1EF49"/>
    <w:rsid w:val="2EBB3229"/>
    <w:rsid w:val="2ECF59E1"/>
    <w:rsid w:val="2EE8A0F2"/>
    <w:rsid w:val="2EE924B3"/>
    <w:rsid w:val="2EFB4F56"/>
    <w:rsid w:val="2F017C62"/>
    <w:rsid w:val="2F13E967"/>
    <w:rsid w:val="2F17BB76"/>
    <w:rsid w:val="2F1AB3DB"/>
    <w:rsid w:val="2F23BA0A"/>
    <w:rsid w:val="2F3A86B1"/>
    <w:rsid w:val="2F3C8DC7"/>
    <w:rsid w:val="2F3CB0C8"/>
    <w:rsid w:val="2F3E6B07"/>
    <w:rsid w:val="2F461A02"/>
    <w:rsid w:val="2F529119"/>
    <w:rsid w:val="2F5529B7"/>
    <w:rsid w:val="2F600ACC"/>
    <w:rsid w:val="2F802817"/>
    <w:rsid w:val="2F832119"/>
    <w:rsid w:val="2F8E8EFC"/>
    <w:rsid w:val="2F9E0DBC"/>
    <w:rsid w:val="2FBEC350"/>
    <w:rsid w:val="2FC9CE96"/>
    <w:rsid w:val="2FCBB4F3"/>
    <w:rsid w:val="2FCDA9F8"/>
    <w:rsid w:val="2FD2E9B8"/>
    <w:rsid w:val="2FE449F2"/>
    <w:rsid w:val="2FE7FACE"/>
    <w:rsid w:val="2FF2DD42"/>
    <w:rsid w:val="30043911"/>
    <w:rsid w:val="30107C51"/>
    <w:rsid w:val="3019774A"/>
    <w:rsid w:val="30380EC0"/>
    <w:rsid w:val="3048683D"/>
    <w:rsid w:val="304946A6"/>
    <w:rsid w:val="3053AB6A"/>
    <w:rsid w:val="3061429E"/>
    <w:rsid w:val="307096EB"/>
    <w:rsid w:val="3078623C"/>
    <w:rsid w:val="30848CF6"/>
    <w:rsid w:val="3093039E"/>
    <w:rsid w:val="30986234"/>
    <w:rsid w:val="30A183AE"/>
    <w:rsid w:val="30AD6D43"/>
    <w:rsid w:val="30B04FFA"/>
    <w:rsid w:val="30EBA564"/>
    <w:rsid w:val="30F9B49A"/>
    <w:rsid w:val="30FE92D9"/>
    <w:rsid w:val="30FFBFF7"/>
    <w:rsid w:val="3103AEA6"/>
    <w:rsid w:val="3116AA1E"/>
    <w:rsid w:val="311747BD"/>
    <w:rsid w:val="3122FAA8"/>
    <w:rsid w:val="3124E31E"/>
    <w:rsid w:val="31416CAE"/>
    <w:rsid w:val="31426666"/>
    <w:rsid w:val="3147DDA7"/>
    <w:rsid w:val="3147FC91"/>
    <w:rsid w:val="3168E669"/>
    <w:rsid w:val="319D0A4E"/>
    <w:rsid w:val="31A8416F"/>
    <w:rsid w:val="31ADC03E"/>
    <w:rsid w:val="31AF74EC"/>
    <w:rsid w:val="31B33513"/>
    <w:rsid w:val="31B61D29"/>
    <w:rsid w:val="31FDFEBE"/>
    <w:rsid w:val="3206EA45"/>
    <w:rsid w:val="320CFAC0"/>
    <w:rsid w:val="320DE68D"/>
    <w:rsid w:val="32106A3B"/>
    <w:rsid w:val="3217AD9C"/>
    <w:rsid w:val="321F12F6"/>
    <w:rsid w:val="322DD66C"/>
    <w:rsid w:val="3239C29D"/>
    <w:rsid w:val="3254EBBF"/>
    <w:rsid w:val="326CFF3F"/>
    <w:rsid w:val="32777D04"/>
    <w:rsid w:val="32927BA7"/>
    <w:rsid w:val="32B001E1"/>
    <w:rsid w:val="32B0D451"/>
    <w:rsid w:val="32B91D79"/>
    <w:rsid w:val="32BEC928"/>
    <w:rsid w:val="32C08DDA"/>
    <w:rsid w:val="32CA2296"/>
    <w:rsid w:val="32DB41DF"/>
    <w:rsid w:val="32F3E41D"/>
    <w:rsid w:val="3308434B"/>
    <w:rsid w:val="331E4E49"/>
    <w:rsid w:val="3325D400"/>
    <w:rsid w:val="3328B7CF"/>
    <w:rsid w:val="3350E6C4"/>
    <w:rsid w:val="336E6A33"/>
    <w:rsid w:val="33717689"/>
    <w:rsid w:val="338AA9D8"/>
    <w:rsid w:val="339B8EAD"/>
    <w:rsid w:val="339CB8FD"/>
    <w:rsid w:val="33AE84CE"/>
    <w:rsid w:val="33B27760"/>
    <w:rsid w:val="33C3EEF2"/>
    <w:rsid w:val="33CB365F"/>
    <w:rsid w:val="33CDD0AD"/>
    <w:rsid w:val="33CF6471"/>
    <w:rsid w:val="33D0F147"/>
    <w:rsid w:val="33D9EB32"/>
    <w:rsid w:val="33DD665A"/>
    <w:rsid w:val="33E87CE7"/>
    <w:rsid w:val="34028CA8"/>
    <w:rsid w:val="3408CFA0"/>
    <w:rsid w:val="341F6D40"/>
    <w:rsid w:val="34234678"/>
    <w:rsid w:val="343900AC"/>
    <w:rsid w:val="343CB571"/>
    <w:rsid w:val="343FB92C"/>
    <w:rsid w:val="3445F55C"/>
    <w:rsid w:val="344D6BAE"/>
    <w:rsid w:val="344EF5A9"/>
    <w:rsid w:val="345077EA"/>
    <w:rsid w:val="3481066D"/>
    <w:rsid w:val="34814AEF"/>
    <w:rsid w:val="348564EF"/>
    <w:rsid w:val="34882CF3"/>
    <w:rsid w:val="34A71FC9"/>
    <w:rsid w:val="34AC5322"/>
    <w:rsid w:val="34D28101"/>
    <w:rsid w:val="34D2F734"/>
    <w:rsid w:val="35031F7D"/>
    <w:rsid w:val="35084F00"/>
    <w:rsid w:val="35086AC0"/>
    <w:rsid w:val="350C0022"/>
    <w:rsid w:val="352D0077"/>
    <w:rsid w:val="356FE37E"/>
    <w:rsid w:val="358D109E"/>
    <w:rsid w:val="35A5F417"/>
    <w:rsid w:val="35BE7419"/>
    <w:rsid w:val="35D6BECA"/>
    <w:rsid w:val="35EA452C"/>
    <w:rsid w:val="35EA8006"/>
    <w:rsid w:val="35ECB164"/>
    <w:rsid w:val="35EE9A98"/>
    <w:rsid w:val="35F2D34F"/>
    <w:rsid w:val="361E0574"/>
    <w:rsid w:val="36227882"/>
    <w:rsid w:val="362F56C0"/>
    <w:rsid w:val="363C2241"/>
    <w:rsid w:val="3655BD89"/>
    <w:rsid w:val="365CFB3D"/>
    <w:rsid w:val="36629A9B"/>
    <w:rsid w:val="36669DF9"/>
    <w:rsid w:val="366EFEBA"/>
    <w:rsid w:val="367CC393"/>
    <w:rsid w:val="367E4AFC"/>
    <w:rsid w:val="36812FA0"/>
    <w:rsid w:val="368565A7"/>
    <w:rsid w:val="36899376"/>
    <w:rsid w:val="368CC14E"/>
    <w:rsid w:val="36A74124"/>
    <w:rsid w:val="36B3F36D"/>
    <w:rsid w:val="36C3DBBA"/>
    <w:rsid w:val="36C51BAE"/>
    <w:rsid w:val="36CDFB54"/>
    <w:rsid w:val="36D5DC77"/>
    <w:rsid w:val="36EBCDD0"/>
    <w:rsid w:val="36FD6501"/>
    <w:rsid w:val="36FEB0D4"/>
    <w:rsid w:val="36FF4B3A"/>
    <w:rsid w:val="370162BB"/>
    <w:rsid w:val="37089209"/>
    <w:rsid w:val="3710C532"/>
    <w:rsid w:val="3711C926"/>
    <w:rsid w:val="371A4842"/>
    <w:rsid w:val="3723C4D8"/>
    <w:rsid w:val="3727E5F2"/>
    <w:rsid w:val="372BFFA5"/>
    <w:rsid w:val="373A41E5"/>
    <w:rsid w:val="3742CE6C"/>
    <w:rsid w:val="374AEE27"/>
    <w:rsid w:val="375012A7"/>
    <w:rsid w:val="37673D82"/>
    <w:rsid w:val="37758DC9"/>
    <w:rsid w:val="37802845"/>
    <w:rsid w:val="378D0311"/>
    <w:rsid w:val="37AC53EC"/>
    <w:rsid w:val="37C11966"/>
    <w:rsid w:val="37C24802"/>
    <w:rsid w:val="37C2C0FE"/>
    <w:rsid w:val="37DE746C"/>
    <w:rsid w:val="37FCDFBF"/>
    <w:rsid w:val="3809CEDB"/>
    <w:rsid w:val="3854A731"/>
    <w:rsid w:val="3864F94F"/>
    <w:rsid w:val="387D110D"/>
    <w:rsid w:val="387F86FD"/>
    <w:rsid w:val="3899C783"/>
    <w:rsid w:val="389DDD85"/>
    <w:rsid w:val="38B87F28"/>
    <w:rsid w:val="38CE2435"/>
    <w:rsid w:val="38D38862"/>
    <w:rsid w:val="38E13F95"/>
    <w:rsid w:val="38F32730"/>
    <w:rsid w:val="3905856B"/>
    <w:rsid w:val="391F66FA"/>
    <w:rsid w:val="3934B7FB"/>
    <w:rsid w:val="393B3E36"/>
    <w:rsid w:val="395F2598"/>
    <w:rsid w:val="39930E4E"/>
    <w:rsid w:val="3993B0BB"/>
    <w:rsid w:val="399FE4F2"/>
    <w:rsid w:val="39A0E773"/>
    <w:rsid w:val="39A991AD"/>
    <w:rsid w:val="39BDB577"/>
    <w:rsid w:val="39C2A6CB"/>
    <w:rsid w:val="39C8D654"/>
    <w:rsid w:val="39DAA787"/>
    <w:rsid w:val="39FBF0B4"/>
    <w:rsid w:val="3A04EE95"/>
    <w:rsid w:val="3A19D716"/>
    <w:rsid w:val="3A22922D"/>
    <w:rsid w:val="3A2CF32C"/>
    <w:rsid w:val="3A3505C3"/>
    <w:rsid w:val="3A384CD4"/>
    <w:rsid w:val="3A3908E2"/>
    <w:rsid w:val="3A4519FA"/>
    <w:rsid w:val="3A46B27F"/>
    <w:rsid w:val="3A61EA39"/>
    <w:rsid w:val="3A727D7D"/>
    <w:rsid w:val="3A85574A"/>
    <w:rsid w:val="3A88C7B6"/>
    <w:rsid w:val="3A9EDB11"/>
    <w:rsid w:val="3AA93DB0"/>
    <w:rsid w:val="3AB94C03"/>
    <w:rsid w:val="3AC88031"/>
    <w:rsid w:val="3ACF1ECF"/>
    <w:rsid w:val="3AD39788"/>
    <w:rsid w:val="3AD9E749"/>
    <w:rsid w:val="3AEEE320"/>
    <w:rsid w:val="3AF0F68A"/>
    <w:rsid w:val="3AF5F3B5"/>
    <w:rsid w:val="3AFC52D0"/>
    <w:rsid w:val="3AFEEEED"/>
    <w:rsid w:val="3B010A75"/>
    <w:rsid w:val="3B028B28"/>
    <w:rsid w:val="3B16BDE9"/>
    <w:rsid w:val="3B2DFB2B"/>
    <w:rsid w:val="3B32EA0C"/>
    <w:rsid w:val="3B4846AB"/>
    <w:rsid w:val="3B5835CD"/>
    <w:rsid w:val="3B6A3B4C"/>
    <w:rsid w:val="3B87297E"/>
    <w:rsid w:val="3B8F1FCB"/>
    <w:rsid w:val="3B931BB8"/>
    <w:rsid w:val="3BB66626"/>
    <w:rsid w:val="3BBE8AC1"/>
    <w:rsid w:val="3BC1BA3F"/>
    <w:rsid w:val="3BC8EEDC"/>
    <w:rsid w:val="3BCFCA5C"/>
    <w:rsid w:val="3BD193DD"/>
    <w:rsid w:val="3BD356C6"/>
    <w:rsid w:val="3BDC415E"/>
    <w:rsid w:val="3BE2F410"/>
    <w:rsid w:val="3BE454D6"/>
    <w:rsid w:val="3BE4D074"/>
    <w:rsid w:val="3BE64022"/>
    <w:rsid w:val="3BF6397D"/>
    <w:rsid w:val="3C1A00F7"/>
    <w:rsid w:val="3C1BE610"/>
    <w:rsid w:val="3C1F6BDB"/>
    <w:rsid w:val="3C2DE941"/>
    <w:rsid w:val="3C351E67"/>
    <w:rsid w:val="3C443CBC"/>
    <w:rsid w:val="3C658820"/>
    <w:rsid w:val="3C78BD33"/>
    <w:rsid w:val="3C7BC388"/>
    <w:rsid w:val="3C9F811B"/>
    <w:rsid w:val="3CCC188A"/>
    <w:rsid w:val="3CCF71F1"/>
    <w:rsid w:val="3CD96EF7"/>
    <w:rsid w:val="3CDE7C2D"/>
    <w:rsid w:val="3CE472F5"/>
    <w:rsid w:val="3CE9F9E9"/>
    <w:rsid w:val="3CEBF405"/>
    <w:rsid w:val="3CECF6EF"/>
    <w:rsid w:val="3CEF8A0F"/>
    <w:rsid w:val="3D045FF4"/>
    <w:rsid w:val="3D122AC1"/>
    <w:rsid w:val="3D1C3904"/>
    <w:rsid w:val="3D252555"/>
    <w:rsid w:val="3D3DC826"/>
    <w:rsid w:val="3D4BA098"/>
    <w:rsid w:val="3D523687"/>
    <w:rsid w:val="3D558508"/>
    <w:rsid w:val="3D66E91A"/>
    <w:rsid w:val="3D7D6FEA"/>
    <w:rsid w:val="3D84E3B7"/>
    <w:rsid w:val="3D982325"/>
    <w:rsid w:val="3D98EDCF"/>
    <w:rsid w:val="3DA1F184"/>
    <w:rsid w:val="3DB5EBFD"/>
    <w:rsid w:val="3DBAA9D5"/>
    <w:rsid w:val="3DBCE1FC"/>
    <w:rsid w:val="3DC8E8A4"/>
    <w:rsid w:val="3DD2167F"/>
    <w:rsid w:val="3DD5BEFC"/>
    <w:rsid w:val="3DD8C658"/>
    <w:rsid w:val="3DDAE45C"/>
    <w:rsid w:val="3DE1DB8C"/>
    <w:rsid w:val="3DF9F9B9"/>
    <w:rsid w:val="3E0A267D"/>
    <w:rsid w:val="3E180E68"/>
    <w:rsid w:val="3E283269"/>
    <w:rsid w:val="3E2A86CA"/>
    <w:rsid w:val="3E3F1B65"/>
    <w:rsid w:val="3E4F4D89"/>
    <w:rsid w:val="3E562647"/>
    <w:rsid w:val="3E638CE1"/>
    <w:rsid w:val="3E63C07A"/>
    <w:rsid w:val="3E6875E6"/>
    <w:rsid w:val="3E75FDA7"/>
    <w:rsid w:val="3E7F72A6"/>
    <w:rsid w:val="3E96136E"/>
    <w:rsid w:val="3EA3E4CC"/>
    <w:rsid w:val="3EA6CCCE"/>
    <w:rsid w:val="3EB17BD6"/>
    <w:rsid w:val="3EDFAA0A"/>
    <w:rsid w:val="3EE026C0"/>
    <w:rsid w:val="3EE62020"/>
    <w:rsid w:val="3EE670AF"/>
    <w:rsid w:val="3EE89104"/>
    <w:rsid w:val="3EF1704F"/>
    <w:rsid w:val="3EFC648E"/>
    <w:rsid w:val="3F09B939"/>
    <w:rsid w:val="3F1BF598"/>
    <w:rsid w:val="3F3661B9"/>
    <w:rsid w:val="3F46680E"/>
    <w:rsid w:val="3F536FCD"/>
    <w:rsid w:val="3F6FF795"/>
    <w:rsid w:val="3F7450C0"/>
    <w:rsid w:val="3F785BDE"/>
    <w:rsid w:val="3F7B0AEC"/>
    <w:rsid w:val="3F8D7A53"/>
    <w:rsid w:val="3F936992"/>
    <w:rsid w:val="3F959753"/>
    <w:rsid w:val="3FA7AA70"/>
    <w:rsid w:val="3FAB0909"/>
    <w:rsid w:val="3FD116D2"/>
    <w:rsid w:val="3FEBA399"/>
    <w:rsid w:val="3FEBB63E"/>
    <w:rsid w:val="3FF47411"/>
    <w:rsid w:val="4002CB23"/>
    <w:rsid w:val="40220A4F"/>
    <w:rsid w:val="40344864"/>
    <w:rsid w:val="40359996"/>
    <w:rsid w:val="40386900"/>
    <w:rsid w:val="403A2A40"/>
    <w:rsid w:val="403E2E7B"/>
    <w:rsid w:val="403FD5B1"/>
    <w:rsid w:val="4040F11A"/>
    <w:rsid w:val="405920A0"/>
    <w:rsid w:val="40595064"/>
    <w:rsid w:val="4089CBD2"/>
    <w:rsid w:val="40944819"/>
    <w:rsid w:val="4099725F"/>
    <w:rsid w:val="40A2899F"/>
    <w:rsid w:val="40A471FF"/>
    <w:rsid w:val="40A4A445"/>
    <w:rsid w:val="40AAF9D4"/>
    <w:rsid w:val="40B9493B"/>
    <w:rsid w:val="40BAFB9F"/>
    <w:rsid w:val="40C1626E"/>
    <w:rsid w:val="40C1E7C4"/>
    <w:rsid w:val="40D3A6AA"/>
    <w:rsid w:val="40D67815"/>
    <w:rsid w:val="40E38A77"/>
    <w:rsid w:val="40E58568"/>
    <w:rsid w:val="40EDB6F6"/>
    <w:rsid w:val="410D2412"/>
    <w:rsid w:val="411899BC"/>
    <w:rsid w:val="412AAB94"/>
    <w:rsid w:val="4135F0D0"/>
    <w:rsid w:val="4137AC06"/>
    <w:rsid w:val="413E34D8"/>
    <w:rsid w:val="4151E44D"/>
    <w:rsid w:val="41527406"/>
    <w:rsid w:val="415388CF"/>
    <w:rsid w:val="415A7F91"/>
    <w:rsid w:val="415BBA35"/>
    <w:rsid w:val="415C5F5B"/>
    <w:rsid w:val="415D09EE"/>
    <w:rsid w:val="4167A26C"/>
    <w:rsid w:val="416D0662"/>
    <w:rsid w:val="41805287"/>
    <w:rsid w:val="4184FBBF"/>
    <w:rsid w:val="418CF7D1"/>
    <w:rsid w:val="41A7C283"/>
    <w:rsid w:val="41A7F097"/>
    <w:rsid w:val="41B5F8BD"/>
    <w:rsid w:val="41B8359F"/>
    <w:rsid w:val="41C0F9F8"/>
    <w:rsid w:val="41C31354"/>
    <w:rsid w:val="41C4E460"/>
    <w:rsid w:val="41C8F348"/>
    <w:rsid w:val="41DABE9D"/>
    <w:rsid w:val="41EA4708"/>
    <w:rsid w:val="41EAE0F4"/>
    <w:rsid w:val="41FAE6EE"/>
    <w:rsid w:val="4210B64E"/>
    <w:rsid w:val="4213D70A"/>
    <w:rsid w:val="421DC0E2"/>
    <w:rsid w:val="423236D0"/>
    <w:rsid w:val="42462EDA"/>
    <w:rsid w:val="424B7D4A"/>
    <w:rsid w:val="424F037A"/>
    <w:rsid w:val="42580E8D"/>
    <w:rsid w:val="426D92D8"/>
    <w:rsid w:val="428BA82A"/>
    <w:rsid w:val="428C45DE"/>
    <w:rsid w:val="42973ACA"/>
    <w:rsid w:val="42AAF51F"/>
    <w:rsid w:val="42B47B24"/>
    <w:rsid w:val="42C6D737"/>
    <w:rsid w:val="42E2C7C5"/>
    <w:rsid w:val="43060BAA"/>
    <w:rsid w:val="430B45C9"/>
    <w:rsid w:val="4310FEAF"/>
    <w:rsid w:val="4318CEF3"/>
    <w:rsid w:val="432241FD"/>
    <w:rsid w:val="43238B75"/>
    <w:rsid w:val="43242FDE"/>
    <w:rsid w:val="432DE088"/>
    <w:rsid w:val="434082B4"/>
    <w:rsid w:val="43473ACC"/>
    <w:rsid w:val="43478509"/>
    <w:rsid w:val="4353E225"/>
    <w:rsid w:val="4360CEE2"/>
    <w:rsid w:val="4373C106"/>
    <w:rsid w:val="4389FFC6"/>
    <w:rsid w:val="43953D9E"/>
    <w:rsid w:val="43A71163"/>
    <w:rsid w:val="43E87FF8"/>
    <w:rsid w:val="43EE05F5"/>
    <w:rsid w:val="43F8000A"/>
    <w:rsid w:val="43FC0DC8"/>
    <w:rsid w:val="441F383D"/>
    <w:rsid w:val="4432C9B4"/>
    <w:rsid w:val="443A483C"/>
    <w:rsid w:val="443D4545"/>
    <w:rsid w:val="445AC473"/>
    <w:rsid w:val="445F068B"/>
    <w:rsid w:val="4473BF7F"/>
    <w:rsid w:val="44791DF3"/>
    <w:rsid w:val="4484C813"/>
    <w:rsid w:val="4488BD60"/>
    <w:rsid w:val="448B778C"/>
    <w:rsid w:val="44A14482"/>
    <w:rsid w:val="44ABA865"/>
    <w:rsid w:val="44AC9E53"/>
    <w:rsid w:val="44AD557E"/>
    <w:rsid w:val="44BE37D8"/>
    <w:rsid w:val="44C57EA9"/>
    <w:rsid w:val="44CF4B78"/>
    <w:rsid w:val="44D76A2A"/>
    <w:rsid w:val="44DB2094"/>
    <w:rsid w:val="44E213C9"/>
    <w:rsid w:val="44E58D0D"/>
    <w:rsid w:val="450F0B7B"/>
    <w:rsid w:val="451A49AF"/>
    <w:rsid w:val="453D868B"/>
    <w:rsid w:val="4542D072"/>
    <w:rsid w:val="4543E2E9"/>
    <w:rsid w:val="45720EBF"/>
    <w:rsid w:val="4597DE29"/>
    <w:rsid w:val="45A1B2B5"/>
    <w:rsid w:val="45C6C0B8"/>
    <w:rsid w:val="45E626DE"/>
    <w:rsid w:val="45F51DC7"/>
    <w:rsid w:val="45F9E656"/>
    <w:rsid w:val="45FA7B81"/>
    <w:rsid w:val="460E265A"/>
    <w:rsid w:val="46169C72"/>
    <w:rsid w:val="461E956C"/>
    <w:rsid w:val="462BDA5C"/>
    <w:rsid w:val="462CDDEE"/>
    <w:rsid w:val="463EF2E1"/>
    <w:rsid w:val="465D69A8"/>
    <w:rsid w:val="46624CF4"/>
    <w:rsid w:val="46696F27"/>
    <w:rsid w:val="46782376"/>
    <w:rsid w:val="4688EAD6"/>
    <w:rsid w:val="46BDB82B"/>
    <w:rsid w:val="46BDDC82"/>
    <w:rsid w:val="46D1409A"/>
    <w:rsid w:val="46EBF803"/>
    <w:rsid w:val="46EC11F9"/>
    <w:rsid w:val="46EF341F"/>
    <w:rsid w:val="47067D3E"/>
    <w:rsid w:val="472ED682"/>
    <w:rsid w:val="47455955"/>
    <w:rsid w:val="474672E0"/>
    <w:rsid w:val="474C7AAC"/>
    <w:rsid w:val="47526EB5"/>
    <w:rsid w:val="476A650E"/>
    <w:rsid w:val="47709DC0"/>
    <w:rsid w:val="4771BE96"/>
    <w:rsid w:val="478789B0"/>
    <w:rsid w:val="478EFEE9"/>
    <w:rsid w:val="479149CF"/>
    <w:rsid w:val="4795B4A1"/>
    <w:rsid w:val="47AF6182"/>
    <w:rsid w:val="47C22607"/>
    <w:rsid w:val="47D64E30"/>
    <w:rsid w:val="47D70271"/>
    <w:rsid w:val="47D9571D"/>
    <w:rsid w:val="47EB3E76"/>
    <w:rsid w:val="47F3930D"/>
    <w:rsid w:val="47FC1BF1"/>
    <w:rsid w:val="480BB8E5"/>
    <w:rsid w:val="480FD778"/>
    <w:rsid w:val="4810FF73"/>
    <w:rsid w:val="48163049"/>
    <w:rsid w:val="48185240"/>
    <w:rsid w:val="481A083A"/>
    <w:rsid w:val="481B6098"/>
    <w:rsid w:val="4829679A"/>
    <w:rsid w:val="482AA793"/>
    <w:rsid w:val="482C9C36"/>
    <w:rsid w:val="483694AB"/>
    <w:rsid w:val="483A9C25"/>
    <w:rsid w:val="483F4F0B"/>
    <w:rsid w:val="48448A73"/>
    <w:rsid w:val="48506963"/>
    <w:rsid w:val="4888BAF3"/>
    <w:rsid w:val="48921354"/>
    <w:rsid w:val="4899966A"/>
    <w:rsid w:val="48A10E3B"/>
    <w:rsid w:val="48AA8454"/>
    <w:rsid w:val="48BDB494"/>
    <w:rsid w:val="48C442CC"/>
    <w:rsid w:val="48CC1F69"/>
    <w:rsid w:val="48D1AD21"/>
    <w:rsid w:val="48DFDDC9"/>
    <w:rsid w:val="48E00A50"/>
    <w:rsid w:val="48EEA014"/>
    <w:rsid w:val="48F715F5"/>
    <w:rsid w:val="48FCB01D"/>
    <w:rsid w:val="48FFB857"/>
    <w:rsid w:val="490D50BE"/>
    <w:rsid w:val="4919B23C"/>
    <w:rsid w:val="493CB5DD"/>
    <w:rsid w:val="493EF9B8"/>
    <w:rsid w:val="494D2890"/>
    <w:rsid w:val="494DD29E"/>
    <w:rsid w:val="495F5ECB"/>
    <w:rsid w:val="496442F4"/>
    <w:rsid w:val="4967F18B"/>
    <w:rsid w:val="497E9E6F"/>
    <w:rsid w:val="49838971"/>
    <w:rsid w:val="49A3D095"/>
    <w:rsid w:val="49AF6463"/>
    <w:rsid w:val="49C321DE"/>
    <w:rsid w:val="49E32AFD"/>
    <w:rsid w:val="49F8B66D"/>
    <w:rsid w:val="4A0CE069"/>
    <w:rsid w:val="4A17A2EE"/>
    <w:rsid w:val="4A187686"/>
    <w:rsid w:val="4A1E9385"/>
    <w:rsid w:val="4A1F03FC"/>
    <w:rsid w:val="4A1FD53D"/>
    <w:rsid w:val="4A28F793"/>
    <w:rsid w:val="4A463BB6"/>
    <w:rsid w:val="4A4EAC91"/>
    <w:rsid w:val="4A5154C5"/>
    <w:rsid w:val="4A566E15"/>
    <w:rsid w:val="4A653F51"/>
    <w:rsid w:val="4A6E5C7F"/>
    <w:rsid w:val="4A6F7D25"/>
    <w:rsid w:val="4A73D4DF"/>
    <w:rsid w:val="4A745633"/>
    <w:rsid w:val="4A884986"/>
    <w:rsid w:val="4A9167DD"/>
    <w:rsid w:val="4A952A54"/>
    <w:rsid w:val="4AA030F3"/>
    <w:rsid w:val="4AA42A9A"/>
    <w:rsid w:val="4ABF34AB"/>
    <w:rsid w:val="4ABF549B"/>
    <w:rsid w:val="4AC74F00"/>
    <w:rsid w:val="4AD577B7"/>
    <w:rsid w:val="4AD94DD6"/>
    <w:rsid w:val="4AE6383D"/>
    <w:rsid w:val="4B0A3CC7"/>
    <w:rsid w:val="4B0B0F69"/>
    <w:rsid w:val="4B23A364"/>
    <w:rsid w:val="4B2C8408"/>
    <w:rsid w:val="4B2E4475"/>
    <w:rsid w:val="4B309CFD"/>
    <w:rsid w:val="4B4FDEB2"/>
    <w:rsid w:val="4B57528F"/>
    <w:rsid w:val="4B5A24EC"/>
    <w:rsid w:val="4B5F3F25"/>
    <w:rsid w:val="4B7D99DC"/>
    <w:rsid w:val="4B86EC3F"/>
    <w:rsid w:val="4BA2C221"/>
    <w:rsid w:val="4BC1AF97"/>
    <w:rsid w:val="4BD4C87D"/>
    <w:rsid w:val="4BDCA920"/>
    <w:rsid w:val="4BE065D8"/>
    <w:rsid w:val="4C00F9AE"/>
    <w:rsid w:val="4C071FAD"/>
    <w:rsid w:val="4C15974A"/>
    <w:rsid w:val="4C1F97C1"/>
    <w:rsid w:val="4C2F168D"/>
    <w:rsid w:val="4C3E409F"/>
    <w:rsid w:val="4C671E5C"/>
    <w:rsid w:val="4C67AF3D"/>
    <w:rsid w:val="4C6CC908"/>
    <w:rsid w:val="4C79FA8B"/>
    <w:rsid w:val="4C823A3D"/>
    <w:rsid w:val="4C8AB33D"/>
    <w:rsid w:val="4C931751"/>
    <w:rsid w:val="4C95D2CB"/>
    <w:rsid w:val="4CC251A1"/>
    <w:rsid w:val="4CC7B5ED"/>
    <w:rsid w:val="4CC825CE"/>
    <w:rsid w:val="4CCA9103"/>
    <w:rsid w:val="4CD87313"/>
    <w:rsid w:val="4CDECDFE"/>
    <w:rsid w:val="4CDFB269"/>
    <w:rsid w:val="4CE434FD"/>
    <w:rsid w:val="4D008F9C"/>
    <w:rsid w:val="4D0C8D6B"/>
    <w:rsid w:val="4D1A3736"/>
    <w:rsid w:val="4D2C44E1"/>
    <w:rsid w:val="4D4215D4"/>
    <w:rsid w:val="4D51BC57"/>
    <w:rsid w:val="4D5CD4DC"/>
    <w:rsid w:val="4D62556C"/>
    <w:rsid w:val="4D687982"/>
    <w:rsid w:val="4D6DB190"/>
    <w:rsid w:val="4D7D7C8B"/>
    <w:rsid w:val="4D7EF8B7"/>
    <w:rsid w:val="4DA24508"/>
    <w:rsid w:val="4DABCA48"/>
    <w:rsid w:val="4DABF3B1"/>
    <w:rsid w:val="4DB5A8D1"/>
    <w:rsid w:val="4DB9D179"/>
    <w:rsid w:val="4DBBE7FF"/>
    <w:rsid w:val="4DCAE798"/>
    <w:rsid w:val="4DCDB59C"/>
    <w:rsid w:val="4DD40F7A"/>
    <w:rsid w:val="4DDC3FE1"/>
    <w:rsid w:val="4DF16C93"/>
    <w:rsid w:val="4DF93AF4"/>
    <w:rsid w:val="4E033702"/>
    <w:rsid w:val="4E145F13"/>
    <w:rsid w:val="4E1B9BC0"/>
    <w:rsid w:val="4E2EA877"/>
    <w:rsid w:val="4E2F6927"/>
    <w:rsid w:val="4E3EB789"/>
    <w:rsid w:val="4E652413"/>
    <w:rsid w:val="4E678234"/>
    <w:rsid w:val="4E731276"/>
    <w:rsid w:val="4E7619D9"/>
    <w:rsid w:val="4E7DF75B"/>
    <w:rsid w:val="4E8790EC"/>
    <w:rsid w:val="4EAC0330"/>
    <w:rsid w:val="4EAF84C2"/>
    <w:rsid w:val="4EB17D0D"/>
    <w:rsid w:val="4F025EE7"/>
    <w:rsid w:val="4F194CEC"/>
    <w:rsid w:val="4F224890"/>
    <w:rsid w:val="4F2BA39E"/>
    <w:rsid w:val="4F4EC84A"/>
    <w:rsid w:val="4F5942AE"/>
    <w:rsid w:val="4F751011"/>
    <w:rsid w:val="4F7920B8"/>
    <w:rsid w:val="4F842740"/>
    <w:rsid w:val="4F85A67A"/>
    <w:rsid w:val="4F887B9C"/>
    <w:rsid w:val="4F8B09F6"/>
    <w:rsid w:val="4F981384"/>
    <w:rsid w:val="4F9C3C16"/>
    <w:rsid w:val="4F9D64FA"/>
    <w:rsid w:val="4FA58454"/>
    <w:rsid w:val="4FC9EB02"/>
    <w:rsid w:val="4FD5263A"/>
    <w:rsid w:val="4FEA2C12"/>
    <w:rsid w:val="4FF25437"/>
    <w:rsid w:val="4FFA20C1"/>
    <w:rsid w:val="500365AC"/>
    <w:rsid w:val="500EFAB7"/>
    <w:rsid w:val="5030AFDE"/>
    <w:rsid w:val="503110D3"/>
    <w:rsid w:val="50333193"/>
    <w:rsid w:val="504D09A6"/>
    <w:rsid w:val="5065198E"/>
    <w:rsid w:val="50773073"/>
    <w:rsid w:val="50819EB9"/>
    <w:rsid w:val="508A866B"/>
    <w:rsid w:val="50918D34"/>
    <w:rsid w:val="509432AB"/>
    <w:rsid w:val="50995629"/>
    <w:rsid w:val="509DE15C"/>
    <w:rsid w:val="50B94E2C"/>
    <w:rsid w:val="50B9E5ED"/>
    <w:rsid w:val="50BFBE17"/>
    <w:rsid w:val="50CD859F"/>
    <w:rsid w:val="50D229B4"/>
    <w:rsid w:val="50DA90D0"/>
    <w:rsid w:val="50FA27CB"/>
    <w:rsid w:val="50FE3501"/>
    <w:rsid w:val="510BDFD1"/>
    <w:rsid w:val="510D3C4C"/>
    <w:rsid w:val="51154886"/>
    <w:rsid w:val="5129E6BD"/>
    <w:rsid w:val="51476E65"/>
    <w:rsid w:val="514B8A01"/>
    <w:rsid w:val="514CD3E9"/>
    <w:rsid w:val="515A3FBA"/>
    <w:rsid w:val="515B10CC"/>
    <w:rsid w:val="51613F45"/>
    <w:rsid w:val="5170B1FE"/>
    <w:rsid w:val="51735EAC"/>
    <w:rsid w:val="517EEE34"/>
    <w:rsid w:val="518038DC"/>
    <w:rsid w:val="51809908"/>
    <w:rsid w:val="51943A7E"/>
    <w:rsid w:val="519733AA"/>
    <w:rsid w:val="519A04A7"/>
    <w:rsid w:val="51ACA1F8"/>
    <w:rsid w:val="51AFAEDE"/>
    <w:rsid w:val="51BA564F"/>
    <w:rsid w:val="51C96670"/>
    <w:rsid w:val="51D25625"/>
    <w:rsid w:val="51DDFCB1"/>
    <w:rsid w:val="52044E58"/>
    <w:rsid w:val="521BE789"/>
    <w:rsid w:val="5239E72D"/>
    <w:rsid w:val="52443186"/>
    <w:rsid w:val="524AA30C"/>
    <w:rsid w:val="525091C7"/>
    <w:rsid w:val="52517766"/>
    <w:rsid w:val="525814DE"/>
    <w:rsid w:val="526D62E3"/>
    <w:rsid w:val="52703C58"/>
    <w:rsid w:val="527C977C"/>
    <w:rsid w:val="528FF982"/>
    <w:rsid w:val="52B7A0D1"/>
    <w:rsid w:val="52BC2473"/>
    <w:rsid w:val="52D01312"/>
    <w:rsid w:val="52D3D0C8"/>
    <w:rsid w:val="52EB4965"/>
    <w:rsid w:val="5317DC8E"/>
    <w:rsid w:val="5326F28B"/>
    <w:rsid w:val="53469B79"/>
    <w:rsid w:val="535647D3"/>
    <w:rsid w:val="5357ACFF"/>
    <w:rsid w:val="5372A26D"/>
    <w:rsid w:val="5372AB60"/>
    <w:rsid w:val="538440B0"/>
    <w:rsid w:val="538643B1"/>
    <w:rsid w:val="538E3228"/>
    <w:rsid w:val="539285B1"/>
    <w:rsid w:val="539A13DB"/>
    <w:rsid w:val="539A430D"/>
    <w:rsid w:val="53A01F42"/>
    <w:rsid w:val="53B06150"/>
    <w:rsid w:val="53B2A101"/>
    <w:rsid w:val="53CB658C"/>
    <w:rsid w:val="53DA1FCD"/>
    <w:rsid w:val="53E80516"/>
    <w:rsid w:val="53EC6390"/>
    <w:rsid w:val="53EEBF57"/>
    <w:rsid w:val="53F474FF"/>
    <w:rsid w:val="5400F670"/>
    <w:rsid w:val="540ABDF2"/>
    <w:rsid w:val="540D1305"/>
    <w:rsid w:val="54100B08"/>
    <w:rsid w:val="54295BCF"/>
    <w:rsid w:val="542E5A22"/>
    <w:rsid w:val="5434A503"/>
    <w:rsid w:val="54391952"/>
    <w:rsid w:val="5447F1BE"/>
    <w:rsid w:val="5458F080"/>
    <w:rsid w:val="54623092"/>
    <w:rsid w:val="54925628"/>
    <w:rsid w:val="54A022F1"/>
    <w:rsid w:val="54AAC043"/>
    <w:rsid w:val="54AFCDAF"/>
    <w:rsid w:val="54B2573E"/>
    <w:rsid w:val="54BDB568"/>
    <w:rsid w:val="54C42C1F"/>
    <w:rsid w:val="54D79CA0"/>
    <w:rsid w:val="54EB5308"/>
    <w:rsid w:val="54F4B016"/>
    <w:rsid w:val="54FC4CED"/>
    <w:rsid w:val="54FECBC4"/>
    <w:rsid w:val="551C8F15"/>
    <w:rsid w:val="5522B791"/>
    <w:rsid w:val="55259A39"/>
    <w:rsid w:val="5535C3F1"/>
    <w:rsid w:val="553973FD"/>
    <w:rsid w:val="553CEAB8"/>
    <w:rsid w:val="553F6CEB"/>
    <w:rsid w:val="556143D4"/>
    <w:rsid w:val="556891DD"/>
    <w:rsid w:val="557813CE"/>
    <w:rsid w:val="5586A98A"/>
    <w:rsid w:val="55935FE5"/>
    <w:rsid w:val="55A7C791"/>
    <w:rsid w:val="55B518EA"/>
    <w:rsid w:val="55C64A08"/>
    <w:rsid w:val="55C96003"/>
    <w:rsid w:val="55DE1589"/>
    <w:rsid w:val="55E13499"/>
    <w:rsid w:val="55E76828"/>
    <w:rsid w:val="55E88E93"/>
    <w:rsid w:val="55EAF4BF"/>
    <w:rsid w:val="55ED32BD"/>
    <w:rsid w:val="55F1C9F2"/>
    <w:rsid w:val="55F9B545"/>
    <w:rsid w:val="5600CB94"/>
    <w:rsid w:val="5606D2B1"/>
    <w:rsid w:val="5608B068"/>
    <w:rsid w:val="560E61C1"/>
    <w:rsid w:val="561ACEB3"/>
    <w:rsid w:val="562183F2"/>
    <w:rsid w:val="5626432B"/>
    <w:rsid w:val="562A8A1C"/>
    <w:rsid w:val="5638384F"/>
    <w:rsid w:val="563E4C48"/>
    <w:rsid w:val="56406FB1"/>
    <w:rsid w:val="56497904"/>
    <w:rsid w:val="564EA9B3"/>
    <w:rsid w:val="565603F9"/>
    <w:rsid w:val="565C0544"/>
    <w:rsid w:val="56876F49"/>
    <w:rsid w:val="568E4740"/>
    <w:rsid w:val="569634C6"/>
    <w:rsid w:val="56A15818"/>
    <w:rsid w:val="56ACA770"/>
    <w:rsid w:val="56B10A87"/>
    <w:rsid w:val="56B9D7E5"/>
    <w:rsid w:val="56BD438B"/>
    <w:rsid w:val="56BEF1EA"/>
    <w:rsid w:val="56C11DEA"/>
    <w:rsid w:val="56C7FA0A"/>
    <w:rsid w:val="56CC6064"/>
    <w:rsid w:val="56D8C5EF"/>
    <w:rsid w:val="56DDB5B0"/>
    <w:rsid w:val="56E882A5"/>
    <w:rsid w:val="56F8F24F"/>
    <w:rsid w:val="56FF5AF0"/>
    <w:rsid w:val="570951FB"/>
    <w:rsid w:val="5712BAAE"/>
    <w:rsid w:val="57245AC6"/>
    <w:rsid w:val="57451B2E"/>
    <w:rsid w:val="5750E72E"/>
    <w:rsid w:val="5765FA85"/>
    <w:rsid w:val="57686F9C"/>
    <w:rsid w:val="576A9A8A"/>
    <w:rsid w:val="576E2C65"/>
    <w:rsid w:val="57719F87"/>
    <w:rsid w:val="5777DFFB"/>
    <w:rsid w:val="57793149"/>
    <w:rsid w:val="5780C03E"/>
    <w:rsid w:val="57823119"/>
    <w:rsid w:val="57896750"/>
    <w:rsid w:val="578BE1DB"/>
    <w:rsid w:val="579501A2"/>
    <w:rsid w:val="579A2E8D"/>
    <w:rsid w:val="57AA389D"/>
    <w:rsid w:val="57B20E70"/>
    <w:rsid w:val="57B31F33"/>
    <w:rsid w:val="57BCFA20"/>
    <w:rsid w:val="57C1E80A"/>
    <w:rsid w:val="57C35A7F"/>
    <w:rsid w:val="57D68F8A"/>
    <w:rsid w:val="57EDA0CE"/>
    <w:rsid w:val="58029C2A"/>
    <w:rsid w:val="583A2EAF"/>
    <w:rsid w:val="5840D0A6"/>
    <w:rsid w:val="58422572"/>
    <w:rsid w:val="584438D6"/>
    <w:rsid w:val="58456D3A"/>
    <w:rsid w:val="584B5FE0"/>
    <w:rsid w:val="584F3B7B"/>
    <w:rsid w:val="585C18F2"/>
    <w:rsid w:val="58673C85"/>
    <w:rsid w:val="587063C2"/>
    <w:rsid w:val="5881AB57"/>
    <w:rsid w:val="589410F4"/>
    <w:rsid w:val="5896CF7A"/>
    <w:rsid w:val="589D02AE"/>
    <w:rsid w:val="589E8C1D"/>
    <w:rsid w:val="58C22770"/>
    <w:rsid w:val="58C882C2"/>
    <w:rsid w:val="58FB59DB"/>
    <w:rsid w:val="591AEFEC"/>
    <w:rsid w:val="591C24D5"/>
    <w:rsid w:val="5936FF9A"/>
    <w:rsid w:val="595618C8"/>
    <w:rsid w:val="596BB6D6"/>
    <w:rsid w:val="5977084F"/>
    <w:rsid w:val="5982BDC9"/>
    <w:rsid w:val="5988BE03"/>
    <w:rsid w:val="5989504B"/>
    <w:rsid w:val="59A3E007"/>
    <w:rsid w:val="59A8FF45"/>
    <w:rsid w:val="59C514F1"/>
    <w:rsid w:val="59C67B36"/>
    <w:rsid w:val="59CEDAD9"/>
    <w:rsid w:val="59D1E816"/>
    <w:rsid w:val="59E84214"/>
    <w:rsid w:val="59EB1073"/>
    <w:rsid w:val="59F5150D"/>
    <w:rsid w:val="59F6B29E"/>
    <w:rsid w:val="5A006CAC"/>
    <w:rsid w:val="5A034117"/>
    <w:rsid w:val="5A0D1FA2"/>
    <w:rsid w:val="5A11F188"/>
    <w:rsid w:val="5A22CA2B"/>
    <w:rsid w:val="5A2F60D2"/>
    <w:rsid w:val="5A47BDB8"/>
    <w:rsid w:val="5A6033BC"/>
    <w:rsid w:val="5A6FEA63"/>
    <w:rsid w:val="5A7DBABD"/>
    <w:rsid w:val="5A825E9F"/>
    <w:rsid w:val="5A9B0B67"/>
    <w:rsid w:val="5AA2D2B8"/>
    <w:rsid w:val="5AAF9F88"/>
    <w:rsid w:val="5ABED52B"/>
    <w:rsid w:val="5AD1B7B2"/>
    <w:rsid w:val="5ADD72CA"/>
    <w:rsid w:val="5AECD3F0"/>
    <w:rsid w:val="5AF23976"/>
    <w:rsid w:val="5AFBA406"/>
    <w:rsid w:val="5B147946"/>
    <w:rsid w:val="5B16CA30"/>
    <w:rsid w:val="5B1F862F"/>
    <w:rsid w:val="5B2177EF"/>
    <w:rsid w:val="5B267F58"/>
    <w:rsid w:val="5B2BB617"/>
    <w:rsid w:val="5B2FB994"/>
    <w:rsid w:val="5B5D0552"/>
    <w:rsid w:val="5B633F24"/>
    <w:rsid w:val="5B682AD8"/>
    <w:rsid w:val="5B6DB877"/>
    <w:rsid w:val="5B7728AF"/>
    <w:rsid w:val="5B881FF1"/>
    <w:rsid w:val="5BAC2CF0"/>
    <w:rsid w:val="5BACCFBD"/>
    <w:rsid w:val="5BAF62CF"/>
    <w:rsid w:val="5BB10277"/>
    <w:rsid w:val="5BB1E467"/>
    <w:rsid w:val="5BB4E4DB"/>
    <w:rsid w:val="5BBF6921"/>
    <w:rsid w:val="5BC6351F"/>
    <w:rsid w:val="5BE749FB"/>
    <w:rsid w:val="5BEC544C"/>
    <w:rsid w:val="5C13DE1C"/>
    <w:rsid w:val="5C164387"/>
    <w:rsid w:val="5C2530FD"/>
    <w:rsid w:val="5C29F1FA"/>
    <w:rsid w:val="5C41BFB7"/>
    <w:rsid w:val="5C502054"/>
    <w:rsid w:val="5C5D9B15"/>
    <w:rsid w:val="5C68A5A3"/>
    <w:rsid w:val="5C7899F1"/>
    <w:rsid w:val="5C85A1DE"/>
    <w:rsid w:val="5C8F732C"/>
    <w:rsid w:val="5C96CBA2"/>
    <w:rsid w:val="5C96DC9E"/>
    <w:rsid w:val="5C97C070"/>
    <w:rsid w:val="5CCB89F5"/>
    <w:rsid w:val="5CCB9654"/>
    <w:rsid w:val="5CCDFAA9"/>
    <w:rsid w:val="5CD5D89D"/>
    <w:rsid w:val="5CE806CF"/>
    <w:rsid w:val="5D05764A"/>
    <w:rsid w:val="5D14069D"/>
    <w:rsid w:val="5D367BF8"/>
    <w:rsid w:val="5D3E9DFA"/>
    <w:rsid w:val="5D4C5984"/>
    <w:rsid w:val="5D4D90EB"/>
    <w:rsid w:val="5D644F4A"/>
    <w:rsid w:val="5D6B363A"/>
    <w:rsid w:val="5D79FB61"/>
    <w:rsid w:val="5DA6E1FA"/>
    <w:rsid w:val="5DA784A7"/>
    <w:rsid w:val="5DAC329F"/>
    <w:rsid w:val="5DAEB1EB"/>
    <w:rsid w:val="5DB1703A"/>
    <w:rsid w:val="5DBA1212"/>
    <w:rsid w:val="5DC4F62D"/>
    <w:rsid w:val="5DD11F7F"/>
    <w:rsid w:val="5DD2E37F"/>
    <w:rsid w:val="5DD4FBFB"/>
    <w:rsid w:val="5DEDD473"/>
    <w:rsid w:val="5DF17002"/>
    <w:rsid w:val="5DF811B7"/>
    <w:rsid w:val="5E001ABF"/>
    <w:rsid w:val="5E189F61"/>
    <w:rsid w:val="5E1DC210"/>
    <w:rsid w:val="5E20FE08"/>
    <w:rsid w:val="5E24F8E5"/>
    <w:rsid w:val="5E2F2DB1"/>
    <w:rsid w:val="5E34C1DA"/>
    <w:rsid w:val="5E3D9406"/>
    <w:rsid w:val="5E3DC156"/>
    <w:rsid w:val="5E4998F2"/>
    <w:rsid w:val="5E5AEAA4"/>
    <w:rsid w:val="5E6BA95D"/>
    <w:rsid w:val="5E6DDBD0"/>
    <w:rsid w:val="5E7A9822"/>
    <w:rsid w:val="5E86A33D"/>
    <w:rsid w:val="5E93C290"/>
    <w:rsid w:val="5EA94905"/>
    <w:rsid w:val="5EB9E1C8"/>
    <w:rsid w:val="5EBEA625"/>
    <w:rsid w:val="5EC31484"/>
    <w:rsid w:val="5EC96E9A"/>
    <w:rsid w:val="5ED37ACE"/>
    <w:rsid w:val="5EDAB650"/>
    <w:rsid w:val="5EDD4C8A"/>
    <w:rsid w:val="5EED9612"/>
    <w:rsid w:val="5EF7C00C"/>
    <w:rsid w:val="5EFD65DE"/>
    <w:rsid w:val="5F02FA45"/>
    <w:rsid w:val="5F059EC1"/>
    <w:rsid w:val="5F0BE384"/>
    <w:rsid w:val="5F20DAFC"/>
    <w:rsid w:val="5F21715E"/>
    <w:rsid w:val="5F238B0E"/>
    <w:rsid w:val="5F3291E0"/>
    <w:rsid w:val="5F4B2820"/>
    <w:rsid w:val="5F4D5F7C"/>
    <w:rsid w:val="5F4DD56F"/>
    <w:rsid w:val="5F7E3843"/>
    <w:rsid w:val="5F812D79"/>
    <w:rsid w:val="5F82B27A"/>
    <w:rsid w:val="5F9AE9B9"/>
    <w:rsid w:val="5FA646BA"/>
    <w:rsid w:val="5FB0E3ED"/>
    <w:rsid w:val="5FBEE601"/>
    <w:rsid w:val="5FC12128"/>
    <w:rsid w:val="5FD4063B"/>
    <w:rsid w:val="5FEC9BAE"/>
    <w:rsid w:val="5FFC8572"/>
    <w:rsid w:val="5FFF993C"/>
    <w:rsid w:val="5FFFD77B"/>
    <w:rsid w:val="600509EF"/>
    <w:rsid w:val="600E1E44"/>
    <w:rsid w:val="60243346"/>
    <w:rsid w:val="6025EB16"/>
    <w:rsid w:val="6045B3C4"/>
    <w:rsid w:val="60514391"/>
    <w:rsid w:val="605DDEEA"/>
    <w:rsid w:val="606B65BA"/>
    <w:rsid w:val="606B7AB3"/>
    <w:rsid w:val="608BEAAA"/>
    <w:rsid w:val="60A35508"/>
    <w:rsid w:val="60BDB979"/>
    <w:rsid w:val="60D72D64"/>
    <w:rsid w:val="60E14156"/>
    <w:rsid w:val="611004FD"/>
    <w:rsid w:val="61101607"/>
    <w:rsid w:val="61115D10"/>
    <w:rsid w:val="6111A633"/>
    <w:rsid w:val="6131D5F1"/>
    <w:rsid w:val="61443056"/>
    <w:rsid w:val="6149A527"/>
    <w:rsid w:val="614BBA78"/>
    <w:rsid w:val="614C35A2"/>
    <w:rsid w:val="61511468"/>
    <w:rsid w:val="61767E1C"/>
    <w:rsid w:val="6182A532"/>
    <w:rsid w:val="6183F098"/>
    <w:rsid w:val="618D15BC"/>
    <w:rsid w:val="619093DB"/>
    <w:rsid w:val="61953385"/>
    <w:rsid w:val="61B10562"/>
    <w:rsid w:val="61BFF5D1"/>
    <w:rsid w:val="61C075AD"/>
    <w:rsid w:val="61C9554D"/>
    <w:rsid w:val="61CCBC37"/>
    <w:rsid w:val="61CFA56F"/>
    <w:rsid w:val="61D76465"/>
    <w:rsid w:val="61DC5B35"/>
    <w:rsid w:val="61DDE75D"/>
    <w:rsid w:val="61E2EB85"/>
    <w:rsid w:val="61F54A21"/>
    <w:rsid w:val="61FFD7A2"/>
    <w:rsid w:val="62197E6C"/>
    <w:rsid w:val="6235ADD5"/>
    <w:rsid w:val="6258E085"/>
    <w:rsid w:val="626F2154"/>
    <w:rsid w:val="628D8335"/>
    <w:rsid w:val="62976549"/>
    <w:rsid w:val="62A835F6"/>
    <w:rsid w:val="62A8C654"/>
    <w:rsid w:val="62A97704"/>
    <w:rsid w:val="62C3052A"/>
    <w:rsid w:val="62D3BB96"/>
    <w:rsid w:val="62D81C80"/>
    <w:rsid w:val="62E884AF"/>
    <w:rsid w:val="6306FA84"/>
    <w:rsid w:val="630827B3"/>
    <w:rsid w:val="63132451"/>
    <w:rsid w:val="6315C3CB"/>
    <w:rsid w:val="631A90AB"/>
    <w:rsid w:val="6346AC7B"/>
    <w:rsid w:val="634760C3"/>
    <w:rsid w:val="6350C285"/>
    <w:rsid w:val="6352A357"/>
    <w:rsid w:val="635D0FCE"/>
    <w:rsid w:val="63751FBA"/>
    <w:rsid w:val="6377E667"/>
    <w:rsid w:val="63861D88"/>
    <w:rsid w:val="63864E2F"/>
    <w:rsid w:val="63880EDF"/>
    <w:rsid w:val="638EFC14"/>
    <w:rsid w:val="6395ECA4"/>
    <w:rsid w:val="63963578"/>
    <w:rsid w:val="63A19405"/>
    <w:rsid w:val="63BA9191"/>
    <w:rsid w:val="63BFCEC5"/>
    <w:rsid w:val="63E3DAF2"/>
    <w:rsid w:val="63F9CC77"/>
    <w:rsid w:val="640365F0"/>
    <w:rsid w:val="6403E7BF"/>
    <w:rsid w:val="640C6C52"/>
    <w:rsid w:val="640D2FE3"/>
    <w:rsid w:val="641A425C"/>
    <w:rsid w:val="64206A1D"/>
    <w:rsid w:val="6424F9E5"/>
    <w:rsid w:val="64485451"/>
    <w:rsid w:val="64494DD2"/>
    <w:rsid w:val="645B97FE"/>
    <w:rsid w:val="646F859A"/>
    <w:rsid w:val="648007A8"/>
    <w:rsid w:val="64871A5F"/>
    <w:rsid w:val="649B7342"/>
    <w:rsid w:val="64A17EFC"/>
    <w:rsid w:val="64A70CCA"/>
    <w:rsid w:val="64B25AF4"/>
    <w:rsid w:val="64BEBE59"/>
    <w:rsid w:val="64C777DC"/>
    <w:rsid w:val="64D864B4"/>
    <w:rsid w:val="64DCA6EC"/>
    <w:rsid w:val="64EE0EBB"/>
    <w:rsid w:val="650318EB"/>
    <w:rsid w:val="651B723F"/>
    <w:rsid w:val="651F1882"/>
    <w:rsid w:val="6529622C"/>
    <w:rsid w:val="6535C7A5"/>
    <w:rsid w:val="654E2421"/>
    <w:rsid w:val="65708D63"/>
    <w:rsid w:val="657F0A69"/>
    <w:rsid w:val="6598E6EC"/>
    <w:rsid w:val="65AF6FAB"/>
    <w:rsid w:val="65C725F0"/>
    <w:rsid w:val="65CA5ECD"/>
    <w:rsid w:val="65F12FC3"/>
    <w:rsid w:val="65FB875B"/>
    <w:rsid w:val="660FAB98"/>
    <w:rsid w:val="66130F6E"/>
    <w:rsid w:val="66277822"/>
    <w:rsid w:val="6631323F"/>
    <w:rsid w:val="6634F12A"/>
    <w:rsid w:val="66623E2B"/>
    <w:rsid w:val="66675B23"/>
    <w:rsid w:val="6690C97C"/>
    <w:rsid w:val="66C34608"/>
    <w:rsid w:val="66C8524A"/>
    <w:rsid w:val="66D19806"/>
    <w:rsid w:val="66E129C9"/>
    <w:rsid w:val="66E45EDF"/>
    <w:rsid w:val="66F2AD02"/>
    <w:rsid w:val="66FEA997"/>
    <w:rsid w:val="66FFC6DA"/>
    <w:rsid w:val="6707431F"/>
    <w:rsid w:val="670AF70F"/>
    <w:rsid w:val="67164B08"/>
    <w:rsid w:val="67175617"/>
    <w:rsid w:val="672657FD"/>
    <w:rsid w:val="6727E4BC"/>
    <w:rsid w:val="6756E4AE"/>
    <w:rsid w:val="675D32E4"/>
    <w:rsid w:val="675F1A25"/>
    <w:rsid w:val="675FF50F"/>
    <w:rsid w:val="677501E7"/>
    <w:rsid w:val="678C0328"/>
    <w:rsid w:val="67A5DB9E"/>
    <w:rsid w:val="67A72D4F"/>
    <w:rsid w:val="67AC0ACB"/>
    <w:rsid w:val="67C033B8"/>
    <w:rsid w:val="67C63D40"/>
    <w:rsid w:val="68041E99"/>
    <w:rsid w:val="682DD469"/>
    <w:rsid w:val="684F746F"/>
    <w:rsid w:val="685CBB6F"/>
    <w:rsid w:val="685D7479"/>
    <w:rsid w:val="686C0126"/>
    <w:rsid w:val="68721B74"/>
    <w:rsid w:val="6884F861"/>
    <w:rsid w:val="688D7B68"/>
    <w:rsid w:val="68903114"/>
    <w:rsid w:val="68946249"/>
    <w:rsid w:val="689A48AE"/>
    <w:rsid w:val="68AD4FD1"/>
    <w:rsid w:val="68BFF8C6"/>
    <w:rsid w:val="68CFF88E"/>
    <w:rsid w:val="68FFB1B6"/>
    <w:rsid w:val="691D51AC"/>
    <w:rsid w:val="69289BB4"/>
    <w:rsid w:val="692C8C81"/>
    <w:rsid w:val="69441A3E"/>
    <w:rsid w:val="694E2D60"/>
    <w:rsid w:val="69846BE7"/>
    <w:rsid w:val="698F4A7D"/>
    <w:rsid w:val="69A3A743"/>
    <w:rsid w:val="69D81853"/>
    <w:rsid w:val="69EA69EA"/>
    <w:rsid w:val="69F37140"/>
    <w:rsid w:val="6A0429BF"/>
    <w:rsid w:val="6A099938"/>
    <w:rsid w:val="6A14143D"/>
    <w:rsid w:val="6A21032F"/>
    <w:rsid w:val="6A61BBBB"/>
    <w:rsid w:val="6A6331BF"/>
    <w:rsid w:val="6A6826EF"/>
    <w:rsid w:val="6A77F912"/>
    <w:rsid w:val="6A7EA3AB"/>
    <w:rsid w:val="6A87C1F8"/>
    <w:rsid w:val="6A8F5125"/>
    <w:rsid w:val="6A94D3A6"/>
    <w:rsid w:val="6A96F1BF"/>
    <w:rsid w:val="6A9F8466"/>
    <w:rsid w:val="6AB98EF4"/>
    <w:rsid w:val="6AC191C3"/>
    <w:rsid w:val="6ACCB245"/>
    <w:rsid w:val="6ADBFEB1"/>
    <w:rsid w:val="6AEE5E89"/>
    <w:rsid w:val="6AF11321"/>
    <w:rsid w:val="6AF4F730"/>
    <w:rsid w:val="6B13BCD8"/>
    <w:rsid w:val="6B1A6D57"/>
    <w:rsid w:val="6B23D8E2"/>
    <w:rsid w:val="6B7031D9"/>
    <w:rsid w:val="6B78FC87"/>
    <w:rsid w:val="6B863A4B"/>
    <w:rsid w:val="6B89549F"/>
    <w:rsid w:val="6B895D2C"/>
    <w:rsid w:val="6B8CA54D"/>
    <w:rsid w:val="6BA50929"/>
    <w:rsid w:val="6BBE8F26"/>
    <w:rsid w:val="6BC44F40"/>
    <w:rsid w:val="6BF71E24"/>
    <w:rsid w:val="6BF95BD6"/>
    <w:rsid w:val="6BFCB8E7"/>
    <w:rsid w:val="6C12C2E6"/>
    <w:rsid w:val="6C15855D"/>
    <w:rsid w:val="6C1EFA65"/>
    <w:rsid w:val="6C23037A"/>
    <w:rsid w:val="6C2377E4"/>
    <w:rsid w:val="6C357FEE"/>
    <w:rsid w:val="6C6E502D"/>
    <w:rsid w:val="6C73E4F5"/>
    <w:rsid w:val="6C9466F6"/>
    <w:rsid w:val="6CAAB68C"/>
    <w:rsid w:val="6CB9D934"/>
    <w:rsid w:val="6CBD744A"/>
    <w:rsid w:val="6CC38588"/>
    <w:rsid w:val="6CC8C9B2"/>
    <w:rsid w:val="6CCDE8FA"/>
    <w:rsid w:val="6CE452F8"/>
    <w:rsid w:val="6CF8BB70"/>
    <w:rsid w:val="6CF97DEC"/>
    <w:rsid w:val="6CFE1819"/>
    <w:rsid w:val="6D027A29"/>
    <w:rsid w:val="6D085FDB"/>
    <w:rsid w:val="6D09B22A"/>
    <w:rsid w:val="6D1397CB"/>
    <w:rsid w:val="6D377FB8"/>
    <w:rsid w:val="6D3F220C"/>
    <w:rsid w:val="6D537236"/>
    <w:rsid w:val="6D599519"/>
    <w:rsid w:val="6D60175A"/>
    <w:rsid w:val="6D644450"/>
    <w:rsid w:val="6D7C6C33"/>
    <w:rsid w:val="6D863567"/>
    <w:rsid w:val="6D86FF82"/>
    <w:rsid w:val="6D938D7B"/>
    <w:rsid w:val="6DA0BD06"/>
    <w:rsid w:val="6DB924C3"/>
    <w:rsid w:val="6DBD92C3"/>
    <w:rsid w:val="6DCAEBAF"/>
    <w:rsid w:val="6DDE979C"/>
    <w:rsid w:val="6DDEC4EF"/>
    <w:rsid w:val="6DEEAEB4"/>
    <w:rsid w:val="6DFC9621"/>
    <w:rsid w:val="6E2C922A"/>
    <w:rsid w:val="6E46E5FC"/>
    <w:rsid w:val="6E5C4D02"/>
    <w:rsid w:val="6E618C2B"/>
    <w:rsid w:val="6E776F0A"/>
    <w:rsid w:val="6E8895B8"/>
    <w:rsid w:val="6E8F9006"/>
    <w:rsid w:val="6E91153F"/>
    <w:rsid w:val="6EBDD336"/>
    <w:rsid w:val="6EDC84EE"/>
    <w:rsid w:val="6EDCA9EB"/>
    <w:rsid w:val="6EE463F8"/>
    <w:rsid w:val="6EE79D04"/>
    <w:rsid w:val="6EEFBF5C"/>
    <w:rsid w:val="6EF4D72A"/>
    <w:rsid w:val="6EFC7776"/>
    <w:rsid w:val="6F0A232C"/>
    <w:rsid w:val="6F121B63"/>
    <w:rsid w:val="6F4BA282"/>
    <w:rsid w:val="6F5266EB"/>
    <w:rsid w:val="6F54CFC8"/>
    <w:rsid w:val="6F56E442"/>
    <w:rsid w:val="6F5C8A5C"/>
    <w:rsid w:val="6F6F716A"/>
    <w:rsid w:val="6F735CC0"/>
    <w:rsid w:val="6F955153"/>
    <w:rsid w:val="6FADC0CC"/>
    <w:rsid w:val="6FB1D035"/>
    <w:rsid w:val="6FB6BD88"/>
    <w:rsid w:val="6FBA8075"/>
    <w:rsid w:val="6FBECE8B"/>
    <w:rsid w:val="6FD39FD7"/>
    <w:rsid w:val="6FE16348"/>
    <w:rsid w:val="6FF5150C"/>
    <w:rsid w:val="703AA62C"/>
    <w:rsid w:val="704A44E9"/>
    <w:rsid w:val="70520975"/>
    <w:rsid w:val="7053CEF8"/>
    <w:rsid w:val="705FC5C8"/>
    <w:rsid w:val="707B5013"/>
    <w:rsid w:val="707CE3ED"/>
    <w:rsid w:val="70803EBC"/>
    <w:rsid w:val="7098937D"/>
    <w:rsid w:val="70A5D8D8"/>
    <w:rsid w:val="70C6C703"/>
    <w:rsid w:val="70ED6F9F"/>
    <w:rsid w:val="71016E9C"/>
    <w:rsid w:val="710F6DEC"/>
    <w:rsid w:val="7118321D"/>
    <w:rsid w:val="71287175"/>
    <w:rsid w:val="71311EA2"/>
    <w:rsid w:val="7137C93B"/>
    <w:rsid w:val="713C1EDB"/>
    <w:rsid w:val="713CA6AF"/>
    <w:rsid w:val="713D8B44"/>
    <w:rsid w:val="714A9436"/>
    <w:rsid w:val="714D6E61"/>
    <w:rsid w:val="714DA096"/>
    <w:rsid w:val="715411B4"/>
    <w:rsid w:val="716CD054"/>
    <w:rsid w:val="716D1F86"/>
    <w:rsid w:val="71782564"/>
    <w:rsid w:val="7181F4A6"/>
    <w:rsid w:val="7187F8E8"/>
    <w:rsid w:val="719AED5F"/>
    <w:rsid w:val="719D4EBE"/>
    <w:rsid w:val="71A53D55"/>
    <w:rsid w:val="71AFADBD"/>
    <w:rsid w:val="71BB7288"/>
    <w:rsid w:val="71D1C1C1"/>
    <w:rsid w:val="71D47F49"/>
    <w:rsid w:val="71DFCFD1"/>
    <w:rsid w:val="71EA9C6F"/>
    <w:rsid w:val="7204316B"/>
    <w:rsid w:val="7209EADC"/>
    <w:rsid w:val="720CB8F8"/>
    <w:rsid w:val="7213EB13"/>
    <w:rsid w:val="721A5082"/>
    <w:rsid w:val="721B9652"/>
    <w:rsid w:val="721C85E5"/>
    <w:rsid w:val="7230C2BB"/>
    <w:rsid w:val="724E4FF7"/>
    <w:rsid w:val="72563179"/>
    <w:rsid w:val="725CE716"/>
    <w:rsid w:val="726C8C25"/>
    <w:rsid w:val="72796FF1"/>
    <w:rsid w:val="72916DEE"/>
    <w:rsid w:val="72960374"/>
    <w:rsid w:val="72AE05BD"/>
    <w:rsid w:val="72AFD60A"/>
    <w:rsid w:val="72BA72B7"/>
    <w:rsid w:val="72BF1CB2"/>
    <w:rsid w:val="72C02635"/>
    <w:rsid w:val="72C2AF64"/>
    <w:rsid w:val="72C9A5CD"/>
    <w:rsid w:val="72CC76A4"/>
    <w:rsid w:val="72D9CA39"/>
    <w:rsid w:val="730F62B3"/>
    <w:rsid w:val="7321253A"/>
    <w:rsid w:val="73343A68"/>
    <w:rsid w:val="733869C4"/>
    <w:rsid w:val="7375784E"/>
    <w:rsid w:val="7378E6A8"/>
    <w:rsid w:val="738B2526"/>
    <w:rsid w:val="738D96ED"/>
    <w:rsid w:val="73A96A99"/>
    <w:rsid w:val="73AD4FF1"/>
    <w:rsid w:val="73B56448"/>
    <w:rsid w:val="73B94CD9"/>
    <w:rsid w:val="73BB6D4B"/>
    <w:rsid w:val="73DB3A73"/>
    <w:rsid w:val="73DC3882"/>
    <w:rsid w:val="73DE1B4D"/>
    <w:rsid w:val="73DEFA63"/>
    <w:rsid w:val="73F0DAA6"/>
    <w:rsid w:val="73F83B3E"/>
    <w:rsid w:val="7409CA1A"/>
    <w:rsid w:val="742C174C"/>
    <w:rsid w:val="74303E82"/>
    <w:rsid w:val="743AD9FC"/>
    <w:rsid w:val="74478545"/>
    <w:rsid w:val="744A7E92"/>
    <w:rsid w:val="74540DA5"/>
    <w:rsid w:val="7457B482"/>
    <w:rsid w:val="745996EC"/>
    <w:rsid w:val="74681860"/>
    <w:rsid w:val="74804291"/>
    <w:rsid w:val="74892101"/>
    <w:rsid w:val="74B69F4F"/>
    <w:rsid w:val="74BAD817"/>
    <w:rsid w:val="74C44F2E"/>
    <w:rsid w:val="74DB54F9"/>
    <w:rsid w:val="74EAFA37"/>
    <w:rsid w:val="74F49673"/>
    <w:rsid w:val="74F7AD1A"/>
    <w:rsid w:val="74F87497"/>
    <w:rsid w:val="74F9F841"/>
    <w:rsid w:val="7517F8B2"/>
    <w:rsid w:val="751CA6AF"/>
    <w:rsid w:val="75260AFA"/>
    <w:rsid w:val="753E1C3F"/>
    <w:rsid w:val="75455271"/>
    <w:rsid w:val="75549F02"/>
    <w:rsid w:val="755E70DE"/>
    <w:rsid w:val="756A763D"/>
    <w:rsid w:val="7580E89B"/>
    <w:rsid w:val="7583C937"/>
    <w:rsid w:val="75A53820"/>
    <w:rsid w:val="75C115D8"/>
    <w:rsid w:val="75C16F94"/>
    <w:rsid w:val="75C31486"/>
    <w:rsid w:val="75C63C76"/>
    <w:rsid w:val="75D10156"/>
    <w:rsid w:val="75D1DDE6"/>
    <w:rsid w:val="75D24383"/>
    <w:rsid w:val="75D3BEF5"/>
    <w:rsid w:val="75D5B7D6"/>
    <w:rsid w:val="75D84B36"/>
    <w:rsid w:val="75E6EAFA"/>
    <w:rsid w:val="75ED175B"/>
    <w:rsid w:val="761488B4"/>
    <w:rsid w:val="7619EE82"/>
    <w:rsid w:val="761FD590"/>
    <w:rsid w:val="762B23B2"/>
    <w:rsid w:val="7635975B"/>
    <w:rsid w:val="7637BAFA"/>
    <w:rsid w:val="763C1B5E"/>
    <w:rsid w:val="7648EA40"/>
    <w:rsid w:val="764E24A9"/>
    <w:rsid w:val="76582F77"/>
    <w:rsid w:val="765E06C0"/>
    <w:rsid w:val="766E58E4"/>
    <w:rsid w:val="76931C71"/>
    <w:rsid w:val="76953043"/>
    <w:rsid w:val="769EE3CE"/>
    <w:rsid w:val="76A4A488"/>
    <w:rsid w:val="76A89E6A"/>
    <w:rsid w:val="76C4E417"/>
    <w:rsid w:val="76C71A79"/>
    <w:rsid w:val="76CC3E11"/>
    <w:rsid w:val="76D76340"/>
    <w:rsid w:val="76E74C6F"/>
    <w:rsid w:val="76E7AC21"/>
    <w:rsid w:val="76EC5C8A"/>
    <w:rsid w:val="76F1D6EB"/>
    <w:rsid w:val="76F54979"/>
    <w:rsid w:val="7711D36A"/>
    <w:rsid w:val="771CDAE9"/>
    <w:rsid w:val="772401AC"/>
    <w:rsid w:val="7738DAD8"/>
    <w:rsid w:val="77507276"/>
    <w:rsid w:val="77552B7F"/>
    <w:rsid w:val="77623CC3"/>
    <w:rsid w:val="776CCC97"/>
    <w:rsid w:val="778176E0"/>
    <w:rsid w:val="77821F54"/>
    <w:rsid w:val="7788F894"/>
    <w:rsid w:val="778A4586"/>
    <w:rsid w:val="77983364"/>
    <w:rsid w:val="77A46C5F"/>
    <w:rsid w:val="77B63F4D"/>
    <w:rsid w:val="77B73618"/>
    <w:rsid w:val="77D78B6A"/>
    <w:rsid w:val="77E3A890"/>
    <w:rsid w:val="77F0EC96"/>
    <w:rsid w:val="77F29C46"/>
    <w:rsid w:val="7808979F"/>
    <w:rsid w:val="780BC813"/>
    <w:rsid w:val="78144398"/>
    <w:rsid w:val="7818F71F"/>
    <w:rsid w:val="781C3072"/>
    <w:rsid w:val="781E901F"/>
    <w:rsid w:val="78290C01"/>
    <w:rsid w:val="782FAEBA"/>
    <w:rsid w:val="7832B261"/>
    <w:rsid w:val="783477D1"/>
    <w:rsid w:val="784A318B"/>
    <w:rsid w:val="7863B2AC"/>
    <w:rsid w:val="7872D254"/>
    <w:rsid w:val="78769A99"/>
    <w:rsid w:val="787C168E"/>
    <w:rsid w:val="78883BDA"/>
    <w:rsid w:val="788940D2"/>
    <w:rsid w:val="78939AAD"/>
    <w:rsid w:val="78B3E57D"/>
    <w:rsid w:val="78B95433"/>
    <w:rsid w:val="78C50AA6"/>
    <w:rsid w:val="78C76F42"/>
    <w:rsid w:val="78D23332"/>
    <w:rsid w:val="78E04E75"/>
    <w:rsid w:val="78E42BBA"/>
    <w:rsid w:val="78E60F0B"/>
    <w:rsid w:val="78EE649B"/>
    <w:rsid w:val="78F99E1D"/>
    <w:rsid w:val="79067878"/>
    <w:rsid w:val="7914E628"/>
    <w:rsid w:val="79166DDD"/>
    <w:rsid w:val="791D4741"/>
    <w:rsid w:val="79215AD1"/>
    <w:rsid w:val="7924B81D"/>
    <w:rsid w:val="7932625A"/>
    <w:rsid w:val="79403CC0"/>
    <w:rsid w:val="79461140"/>
    <w:rsid w:val="79485AE8"/>
    <w:rsid w:val="79586C8C"/>
    <w:rsid w:val="797AF098"/>
    <w:rsid w:val="79A32759"/>
    <w:rsid w:val="79A3DC81"/>
    <w:rsid w:val="79AE6974"/>
    <w:rsid w:val="79B0E3FA"/>
    <w:rsid w:val="79B179AE"/>
    <w:rsid w:val="79BFCD55"/>
    <w:rsid w:val="79C75704"/>
    <w:rsid w:val="79C92034"/>
    <w:rsid w:val="79C9A319"/>
    <w:rsid w:val="79FFAB57"/>
    <w:rsid w:val="7A133E1E"/>
    <w:rsid w:val="7A2501A4"/>
    <w:rsid w:val="7A3F265F"/>
    <w:rsid w:val="7A412505"/>
    <w:rsid w:val="7A422582"/>
    <w:rsid w:val="7A46D6FB"/>
    <w:rsid w:val="7A49742C"/>
    <w:rsid w:val="7A4CDDEF"/>
    <w:rsid w:val="7A53D158"/>
    <w:rsid w:val="7A649040"/>
    <w:rsid w:val="7A668CAA"/>
    <w:rsid w:val="7A6CC842"/>
    <w:rsid w:val="7A764A70"/>
    <w:rsid w:val="7A7A9D9D"/>
    <w:rsid w:val="7A8FD259"/>
    <w:rsid w:val="7A971A49"/>
    <w:rsid w:val="7A9B80E2"/>
    <w:rsid w:val="7AAD05F9"/>
    <w:rsid w:val="7AAD1243"/>
    <w:rsid w:val="7AB23E3E"/>
    <w:rsid w:val="7ADFC9BD"/>
    <w:rsid w:val="7AF6F26B"/>
    <w:rsid w:val="7AFB4CE1"/>
    <w:rsid w:val="7B0089B8"/>
    <w:rsid w:val="7B0869CB"/>
    <w:rsid w:val="7B113E52"/>
    <w:rsid w:val="7B1D543E"/>
    <w:rsid w:val="7B1F4C38"/>
    <w:rsid w:val="7B2EE042"/>
    <w:rsid w:val="7B3F7D39"/>
    <w:rsid w:val="7B4DC641"/>
    <w:rsid w:val="7B6D8E1A"/>
    <w:rsid w:val="7B6E187C"/>
    <w:rsid w:val="7B7040D7"/>
    <w:rsid w:val="7B7BA610"/>
    <w:rsid w:val="7B8798EF"/>
    <w:rsid w:val="7B895826"/>
    <w:rsid w:val="7B91021A"/>
    <w:rsid w:val="7B9177C6"/>
    <w:rsid w:val="7BA50114"/>
    <w:rsid w:val="7BAB30C6"/>
    <w:rsid w:val="7BAC4CA8"/>
    <w:rsid w:val="7BAFD751"/>
    <w:rsid w:val="7BB2B405"/>
    <w:rsid w:val="7BC2E351"/>
    <w:rsid w:val="7BC43F93"/>
    <w:rsid w:val="7BDF35F5"/>
    <w:rsid w:val="7BEB0FA7"/>
    <w:rsid w:val="7BEBD950"/>
    <w:rsid w:val="7BF59468"/>
    <w:rsid w:val="7BFF8827"/>
    <w:rsid w:val="7C116E87"/>
    <w:rsid w:val="7C1DAA5F"/>
    <w:rsid w:val="7C1FFDB1"/>
    <w:rsid w:val="7C2A1D53"/>
    <w:rsid w:val="7C33782C"/>
    <w:rsid w:val="7C35019B"/>
    <w:rsid w:val="7C394E6E"/>
    <w:rsid w:val="7C39C129"/>
    <w:rsid w:val="7C4A41BA"/>
    <w:rsid w:val="7C55E4A5"/>
    <w:rsid w:val="7C57B1A1"/>
    <w:rsid w:val="7C68A620"/>
    <w:rsid w:val="7C90527C"/>
    <w:rsid w:val="7CA108AA"/>
    <w:rsid w:val="7CBC5E2A"/>
    <w:rsid w:val="7CBC9346"/>
    <w:rsid w:val="7CBE04D6"/>
    <w:rsid w:val="7CCFEEC1"/>
    <w:rsid w:val="7CDCE3BF"/>
    <w:rsid w:val="7CE3615A"/>
    <w:rsid w:val="7CE8209F"/>
    <w:rsid w:val="7CEB2D6A"/>
    <w:rsid w:val="7CEC65D3"/>
    <w:rsid w:val="7D0643BD"/>
    <w:rsid w:val="7D200B01"/>
    <w:rsid w:val="7D2262E9"/>
    <w:rsid w:val="7D375DB5"/>
    <w:rsid w:val="7D401BFC"/>
    <w:rsid w:val="7D4171FC"/>
    <w:rsid w:val="7D43F9C9"/>
    <w:rsid w:val="7D456FE8"/>
    <w:rsid w:val="7D4701F6"/>
    <w:rsid w:val="7D628D33"/>
    <w:rsid w:val="7D6BF6EE"/>
    <w:rsid w:val="7DA19D1F"/>
    <w:rsid w:val="7DCA19C4"/>
    <w:rsid w:val="7DD50394"/>
    <w:rsid w:val="7DD784CB"/>
    <w:rsid w:val="7DDBFA7B"/>
    <w:rsid w:val="7DDC38CD"/>
    <w:rsid w:val="7DE08296"/>
    <w:rsid w:val="7DE58DE3"/>
    <w:rsid w:val="7DFA26A2"/>
    <w:rsid w:val="7DFBEFE2"/>
    <w:rsid w:val="7DFD86A6"/>
    <w:rsid w:val="7E19F2CD"/>
    <w:rsid w:val="7E305D65"/>
    <w:rsid w:val="7E30E147"/>
    <w:rsid w:val="7E36BB8C"/>
    <w:rsid w:val="7E38AFB8"/>
    <w:rsid w:val="7E430016"/>
    <w:rsid w:val="7E51AAEB"/>
    <w:rsid w:val="7E524ADA"/>
    <w:rsid w:val="7E58134C"/>
    <w:rsid w:val="7E595538"/>
    <w:rsid w:val="7E66F646"/>
    <w:rsid w:val="7ED2F5AC"/>
    <w:rsid w:val="7ED9DFEB"/>
    <w:rsid w:val="7EE6F744"/>
    <w:rsid w:val="7F06182E"/>
    <w:rsid w:val="7F0C583E"/>
    <w:rsid w:val="7F1D0388"/>
    <w:rsid w:val="7F1E2A9A"/>
    <w:rsid w:val="7F1EDE9C"/>
    <w:rsid w:val="7F203E7A"/>
    <w:rsid w:val="7F2EDC66"/>
    <w:rsid w:val="7F31DC99"/>
    <w:rsid w:val="7F5056EA"/>
    <w:rsid w:val="7F5D47BE"/>
    <w:rsid w:val="7F5EB764"/>
    <w:rsid w:val="7F5F7FB1"/>
    <w:rsid w:val="7F611E51"/>
    <w:rsid w:val="7F70C12E"/>
    <w:rsid w:val="7F795C6A"/>
    <w:rsid w:val="7F8DE98B"/>
    <w:rsid w:val="7F9AA735"/>
    <w:rsid w:val="7FAB4279"/>
    <w:rsid w:val="7FB17958"/>
    <w:rsid w:val="7FB97C42"/>
    <w:rsid w:val="7FC6FF2A"/>
    <w:rsid w:val="7FCFE185"/>
    <w:rsid w:val="7FD1475F"/>
    <w:rsid w:val="7FD164AC"/>
    <w:rsid w:val="7FE3F481"/>
    <w:rsid w:val="7FEC1909"/>
    <w:rsid w:val="7FFCA480"/>
    <w:rsid w:val="7FFD78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E43689"/>
  <w15:docId w15:val="{7E797D1B-E564-46DE-8152-D9A9FD4DFF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3CE3"/>
    <w:pPr>
      <w:spacing w:after="0" w:line="240" w:lineRule="auto"/>
    </w:pPr>
    <w:rPr>
      <w:rFonts w:eastAsiaTheme="minorEastAsia"/>
      <w:szCs w:val="24"/>
      <w:lang w:val="en-US"/>
    </w:rPr>
  </w:style>
  <w:style w:type="paragraph" w:styleId="Heading1">
    <w:name w:val="heading 1"/>
    <w:aliases w:val="Cover title white"/>
    <w:next w:val="Normal"/>
    <w:link w:val="Heading1Char"/>
    <w:qFormat/>
    <w:rsid w:val="00E13CE3"/>
    <w:pPr>
      <w:keepNext/>
      <w:keepLines/>
      <w:spacing w:after="0" w:line="240" w:lineRule="auto"/>
      <w:outlineLvl w:val="0"/>
    </w:pPr>
    <w:rPr>
      <w:rFonts w:asciiTheme="majorHAnsi" w:hAnsiTheme="majorHAnsi" w:eastAsiaTheme="majorEastAsia" w:cstheme="majorBidi"/>
      <w:b/>
      <w:bCs/>
      <w:caps/>
      <w:color w:val="FFFFFF" w:themeColor="background1"/>
      <w:sz w:val="40"/>
      <w:szCs w:val="40"/>
      <w:lang w:val="en-US"/>
    </w:rPr>
  </w:style>
  <w:style w:type="paragraph" w:styleId="Heading2">
    <w:name w:val="heading 2"/>
    <w:basedOn w:val="Numberedtilelevel1"/>
    <w:next w:val="Normal"/>
    <w:link w:val="Heading2Char"/>
    <w:uiPriority w:val="9"/>
    <w:semiHidden/>
    <w:qFormat/>
    <w:rsid w:val="00E13CE3"/>
    <w:pPr>
      <w:numPr>
        <w:numId w:val="0"/>
      </w:numPr>
      <w:outlineLvl w:val="1"/>
    </w:pPr>
  </w:style>
  <w:style w:type="paragraph" w:styleId="Heading3">
    <w:name w:val="heading 3"/>
    <w:aliases w:val="Title 2"/>
    <w:basedOn w:val="Numberedtitlelevel2"/>
    <w:next w:val="Normal"/>
    <w:link w:val="Heading3Char"/>
    <w:uiPriority w:val="9"/>
    <w:semiHidden/>
    <w:rsid w:val="00E13CE3"/>
    <w:pPr>
      <w:outlineLvl w:val="2"/>
    </w:pPr>
  </w:style>
  <w:style w:type="paragraph" w:styleId="Heading4">
    <w:name w:val="heading 4"/>
    <w:basedOn w:val="Normal"/>
    <w:next w:val="Normal"/>
    <w:link w:val="Heading4Char"/>
    <w:uiPriority w:val="9"/>
    <w:semiHidden/>
    <w:qFormat/>
    <w:rsid w:val="00E13CE3"/>
    <w:pPr>
      <w:keepNext/>
      <w:keepLines/>
      <w:numPr>
        <w:ilvl w:val="3"/>
        <w:numId w:val="45"/>
      </w:numPr>
      <w:spacing w:before="200"/>
      <w:outlineLvl w:val="3"/>
    </w:pPr>
    <w:rPr>
      <w:rFonts w:asciiTheme="majorHAnsi" w:hAnsiTheme="majorHAnsi" w:eastAsiaTheme="majorEastAsia" w:cstheme="majorBidi"/>
      <w:b/>
      <w:bCs/>
      <w:i/>
      <w:iCs/>
      <w:color w:val="4F81BD" w:themeColor="accent1"/>
    </w:rPr>
  </w:style>
  <w:style w:type="paragraph" w:styleId="Heading5">
    <w:name w:val="heading 5"/>
    <w:aliases w:val="Cover subtitle white"/>
    <w:next w:val="Normal"/>
    <w:link w:val="Heading5Char"/>
    <w:semiHidden/>
    <w:qFormat/>
    <w:rsid w:val="00E13CE3"/>
    <w:pPr>
      <w:keepNext/>
      <w:keepLines/>
      <w:spacing w:before="200" w:after="0" w:line="240" w:lineRule="auto"/>
      <w:outlineLvl w:val="4"/>
    </w:pPr>
    <w:rPr>
      <w:rFonts w:asciiTheme="majorHAnsi" w:hAnsiTheme="majorHAnsi" w:eastAsiaTheme="majorEastAsia"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E13CE3"/>
    <w:pPr>
      <w:keepNext/>
      <w:keepLines/>
      <w:numPr>
        <w:ilvl w:val="5"/>
        <w:numId w:val="45"/>
      </w:numPr>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qFormat/>
    <w:rsid w:val="00E13CE3"/>
    <w:pPr>
      <w:keepNext/>
      <w:keepLines/>
      <w:numPr>
        <w:ilvl w:val="6"/>
        <w:numId w:val="45"/>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E13CE3"/>
    <w:pPr>
      <w:keepNext/>
      <w:keepLines/>
      <w:numPr>
        <w:ilvl w:val="7"/>
        <w:numId w:val="45"/>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qFormat/>
    <w:rsid w:val="00E13CE3"/>
    <w:pPr>
      <w:keepNext/>
      <w:keepLines/>
      <w:numPr>
        <w:ilvl w:val="8"/>
        <w:numId w:val="45"/>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Cover title white Char"/>
    <w:basedOn w:val="DefaultParagraphFont"/>
    <w:link w:val="Heading1"/>
    <w:rsid w:val="00E13CE3"/>
    <w:rPr>
      <w:rFonts w:asciiTheme="majorHAnsi" w:hAnsiTheme="majorHAnsi" w:eastAsiaTheme="majorEastAsia" w:cstheme="majorBidi"/>
      <w:b/>
      <w:bCs/>
      <w:caps/>
      <w:color w:val="FFFFFF" w:themeColor="background1"/>
      <w:sz w:val="40"/>
      <w:szCs w:val="40"/>
      <w:lang w:val="en-US"/>
    </w:rPr>
  </w:style>
  <w:style w:type="character" w:styleId="Heading2Char" w:customStyle="1">
    <w:name w:val="Heading 2 Char"/>
    <w:basedOn w:val="DefaultParagraphFont"/>
    <w:link w:val="Heading2"/>
    <w:uiPriority w:val="9"/>
    <w:semiHidden/>
    <w:rsid w:val="00E13CE3"/>
    <w:rPr>
      <w:rFonts w:asciiTheme="majorHAnsi" w:hAnsiTheme="majorHAnsi" w:eastAsiaTheme="majorEastAsia" w:cstheme="majorBidi"/>
      <w:color w:val="1F497D" w:themeColor="text2"/>
      <w:spacing w:val="5"/>
      <w:kern w:val="28"/>
      <w:sz w:val="52"/>
      <w:szCs w:val="52"/>
      <w:lang w:val="en-US"/>
    </w:rPr>
  </w:style>
  <w:style w:type="character" w:styleId="Heading3Char" w:customStyle="1">
    <w:name w:val="Heading 3 Char"/>
    <w:aliases w:val="Title 2 Char"/>
    <w:basedOn w:val="DefaultParagraphFont"/>
    <w:link w:val="Heading3"/>
    <w:uiPriority w:val="9"/>
    <w:semiHidden/>
    <w:rsid w:val="00E13CE3"/>
    <w:rPr>
      <w:rFonts w:asciiTheme="majorHAnsi" w:hAnsiTheme="majorHAnsi" w:eastAsiaTheme="majorEastAsia" w:cstheme="majorBidi"/>
      <w:bCs/>
      <w:color w:val="1F497D" w:themeColor="text2"/>
      <w:sz w:val="32"/>
      <w:szCs w:val="24"/>
      <w:lang w:val="en-US"/>
    </w:rPr>
  </w:style>
  <w:style w:type="character" w:styleId="Heading4Char" w:customStyle="1">
    <w:name w:val="Heading 4 Char"/>
    <w:basedOn w:val="DefaultParagraphFont"/>
    <w:link w:val="Heading4"/>
    <w:uiPriority w:val="9"/>
    <w:semiHidden/>
    <w:rsid w:val="00E13CE3"/>
    <w:rPr>
      <w:rFonts w:asciiTheme="majorHAnsi" w:hAnsiTheme="majorHAnsi" w:eastAsiaTheme="majorEastAsia" w:cstheme="majorBidi"/>
      <w:b/>
      <w:bCs/>
      <w:i/>
      <w:iCs/>
      <w:color w:val="4F81BD" w:themeColor="accent1"/>
      <w:szCs w:val="24"/>
      <w:lang w:val="en-US"/>
    </w:rPr>
  </w:style>
  <w:style w:type="character" w:styleId="Heading5Char" w:customStyle="1">
    <w:name w:val="Heading 5 Char"/>
    <w:aliases w:val="Cover subtitle white Char"/>
    <w:basedOn w:val="DefaultParagraphFont"/>
    <w:link w:val="Heading5"/>
    <w:semiHidden/>
    <w:rsid w:val="00E13CE3"/>
    <w:rPr>
      <w:rFonts w:asciiTheme="majorHAnsi" w:hAnsiTheme="majorHAnsi" w:eastAsiaTheme="majorEastAsia" w:cstheme="majorBidi"/>
      <w:caps/>
      <w:color w:val="FFFFFF" w:themeColor="background1"/>
      <w:sz w:val="28"/>
      <w:szCs w:val="28"/>
      <w:lang w:val="en-US"/>
    </w:rPr>
  </w:style>
  <w:style w:type="character" w:styleId="Heading6Char" w:customStyle="1">
    <w:name w:val="Heading 6 Char"/>
    <w:basedOn w:val="DefaultParagraphFont"/>
    <w:link w:val="Heading6"/>
    <w:uiPriority w:val="9"/>
    <w:semiHidden/>
    <w:rsid w:val="00E13CE3"/>
    <w:rPr>
      <w:rFonts w:asciiTheme="majorHAnsi" w:hAnsiTheme="majorHAnsi" w:eastAsiaTheme="majorEastAsia" w:cstheme="majorBidi"/>
      <w:i/>
      <w:iCs/>
      <w:color w:val="243F60" w:themeColor="accent1" w:themeShade="7F"/>
      <w:szCs w:val="24"/>
      <w:lang w:val="en-US"/>
    </w:rPr>
  </w:style>
  <w:style w:type="character" w:styleId="Heading7Char" w:customStyle="1">
    <w:name w:val="Heading 7 Char"/>
    <w:basedOn w:val="DefaultParagraphFont"/>
    <w:link w:val="Heading7"/>
    <w:uiPriority w:val="9"/>
    <w:semiHidden/>
    <w:rsid w:val="00E13CE3"/>
    <w:rPr>
      <w:rFonts w:asciiTheme="majorHAnsi" w:hAnsiTheme="majorHAnsi" w:eastAsiaTheme="majorEastAsia" w:cstheme="majorBidi"/>
      <w:i/>
      <w:iCs/>
      <w:color w:val="404040" w:themeColor="text1" w:themeTint="BF"/>
      <w:szCs w:val="24"/>
      <w:lang w:val="en-US"/>
    </w:rPr>
  </w:style>
  <w:style w:type="character" w:styleId="Heading8Char" w:customStyle="1">
    <w:name w:val="Heading 8 Char"/>
    <w:basedOn w:val="DefaultParagraphFont"/>
    <w:link w:val="Heading8"/>
    <w:uiPriority w:val="9"/>
    <w:semiHidden/>
    <w:rsid w:val="00E13CE3"/>
    <w:rPr>
      <w:rFonts w:asciiTheme="majorHAnsi" w:hAnsiTheme="majorHAnsi" w:eastAsiaTheme="majorEastAsia" w:cstheme="majorBidi"/>
      <w:color w:val="404040" w:themeColor="text1" w:themeTint="BF"/>
      <w:sz w:val="20"/>
      <w:szCs w:val="20"/>
      <w:lang w:val="en-US"/>
    </w:rPr>
  </w:style>
  <w:style w:type="character" w:styleId="Heading9Char" w:customStyle="1">
    <w:name w:val="Heading 9 Char"/>
    <w:basedOn w:val="DefaultParagraphFont"/>
    <w:link w:val="Heading9"/>
    <w:uiPriority w:val="9"/>
    <w:semiHidden/>
    <w:rsid w:val="00E13CE3"/>
    <w:rPr>
      <w:rFonts w:asciiTheme="majorHAnsi" w:hAnsiTheme="majorHAnsi" w:eastAsiaTheme="majorEastAsia" w:cstheme="majorBidi"/>
      <w:i/>
      <w:iCs/>
      <w:color w:val="404040" w:themeColor="text1" w:themeTint="BF"/>
      <w:sz w:val="20"/>
      <w:szCs w:val="20"/>
      <w:lang w:val="en-US"/>
    </w:rPr>
  </w:style>
  <w:style w:type="paragraph" w:styleId="Numberedtilelevel1" w:customStyle="1">
    <w:name w:val="Numbered tile level 1"/>
    <w:basedOn w:val="Titlelevel1"/>
    <w:qFormat/>
    <w:rsid w:val="00E05BE6"/>
    <w:pPr>
      <w:numPr>
        <w:numId w:val="63"/>
      </w:numPr>
    </w:pPr>
  </w:style>
  <w:style w:type="paragraph" w:styleId="Numberedtitlelevel2" w:customStyle="1">
    <w:name w:val="Numbered title level 2"/>
    <w:basedOn w:val="Titlelevel2"/>
    <w:next w:val="body"/>
    <w:qFormat/>
    <w:rsid w:val="00E13CE3"/>
  </w:style>
  <w:style w:type="paragraph" w:styleId="Titlelevel2" w:customStyle="1">
    <w:name w:val="Title level 2"/>
    <w:qFormat/>
    <w:rsid w:val="00E13CE3"/>
    <w:pPr>
      <w:spacing w:before="240" w:after="240" w:line="240" w:lineRule="auto"/>
    </w:pPr>
    <w:rPr>
      <w:rFonts w:asciiTheme="majorHAnsi" w:hAnsiTheme="majorHAnsi" w:eastAsiaTheme="majorEastAsia" w:cstheme="majorBidi"/>
      <w:bCs/>
      <w:color w:val="1F497D" w:themeColor="text2"/>
      <w:sz w:val="32"/>
      <w:szCs w:val="24"/>
      <w:lang w:val="en-US"/>
    </w:rPr>
  </w:style>
  <w:style w:type="paragraph" w:styleId="body" w:customStyle="1">
    <w:name w:val="body"/>
    <w:qFormat/>
    <w:rsid w:val="00E13CE3"/>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E13CE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E13CE3"/>
    <w:rPr>
      <w:rFonts w:ascii="Lucida Grande" w:hAnsi="Lucida Grande" w:cs="Lucida Grande" w:eastAsiaTheme="minorEastAsia"/>
      <w:sz w:val="18"/>
      <w:szCs w:val="18"/>
      <w:lang w:val="en-US"/>
    </w:rPr>
  </w:style>
  <w:style w:type="paragraph" w:styleId="Tableheader" w:customStyle="1">
    <w:name w:val="Table header"/>
    <w:next w:val="Tabledata"/>
    <w:qFormat/>
    <w:rsid w:val="00E13CE3"/>
    <w:pPr>
      <w:spacing w:after="80" w:line="240" w:lineRule="auto"/>
    </w:pPr>
    <w:rPr>
      <w:rFonts w:ascii="Calibri" w:hAnsi="Calibri" w:eastAsia="Times New Roman" w:cs="Times New Roman"/>
      <w:b/>
      <w:color w:val="000000"/>
      <w:lang w:val="en-US"/>
    </w:rPr>
  </w:style>
  <w:style w:type="paragraph" w:styleId="Tabledata" w:customStyle="1">
    <w:name w:val="Table data"/>
    <w:basedOn w:val="body"/>
    <w:qFormat/>
    <w:rsid w:val="00E13CE3"/>
    <w:pPr>
      <w:spacing w:before="120" w:line="240" w:lineRule="auto"/>
    </w:pPr>
    <w:rPr>
      <w:rFonts w:eastAsia="Times New Roman" w:cstheme="minorHAnsi"/>
      <w:bCs/>
      <w:color w:val="000000"/>
      <w:sz w:val="20"/>
      <w:szCs w:val="22"/>
      <w:lang w:val="en-GB" w:eastAsia="en-GB"/>
    </w:rPr>
  </w:style>
  <w:style w:type="paragraph" w:styleId="List1" w:customStyle="1">
    <w:name w:val="List1"/>
    <w:autoRedefine/>
    <w:qFormat/>
    <w:rsid w:val="00774595"/>
    <w:pPr>
      <w:numPr>
        <w:numId w:val="47"/>
      </w:numPr>
      <w:spacing w:after="0" w:line="240" w:lineRule="auto"/>
    </w:pPr>
    <w:rPr>
      <w:rFonts w:eastAsiaTheme="minorEastAsia"/>
      <w:lang w:val="en-US"/>
    </w:rPr>
  </w:style>
  <w:style w:type="paragraph" w:styleId="Footer">
    <w:name w:val="footer"/>
    <w:basedOn w:val="Normal"/>
    <w:link w:val="FooterChar"/>
    <w:uiPriority w:val="99"/>
    <w:rsid w:val="00E13CE3"/>
    <w:pPr>
      <w:tabs>
        <w:tab w:val="center" w:pos="4320"/>
        <w:tab w:val="right" w:pos="8640"/>
      </w:tabs>
    </w:pPr>
  </w:style>
  <w:style w:type="character" w:styleId="FooterChar" w:customStyle="1">
    <w:name w:val="Footer Char"/>
    <w:basedOn w:val="DefaultParagraphFont"/>
    <w:link w:val="Footer"/>
    <w:uiPriority w:val="99"/>
    <w:rsid w:val="00E13CE3"/>
    <w:rPr>
      <w:rFonts w:eastAsiaTheme="minorEastAsia"/>
      <w:szCs w:val="24"/>
      <w:lang w:val="en-US"/>
    </w:rPr>
  </w:style>
  <w:style w:type="table" w:styleId="TableGrid">
    <w:name w:val="Table Grid"/>
    <w:basedOn w:val="TableProfessional"/>
    <w:uiPriority w:val="59"/>
    <w:rsid w:val="00E13CE3"/>
    <w:rPr>
      <w:sz w:val="20"/>
      <w:szCs w:val="20"/>
      <w:lang w:val="fr-FR" w:eastAsia="en-GB"/>
    </w:rPr>
    <w:tblPr>
      <w:tblBorders>
        <w:top w:val="none" w:color="auto" w:sz="0" w:space="0"/>
        <w:left w:val="none" w:color="auto" w:sz="0" w:space="0"/>
        <w:bottom w:val="single" w:color="auto" w:sz="4" w:space="0"/>
        <w:right w:val="none" w:color="auto" w:sz="0" w:space="0"/>
        <w:insideH w:val="single" w:color="auto" w:sz="4" w:space="0"/>
        <w:insideV w:val="none" w:color="auto" w:sz="0" w:space="0"/>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color="auto" w:sz="4" w:space="0"/>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E13CE3"/>
    <w:pPr>
      <w:spacing w:after="0" w:line="240" w:lineRule="auto"/>
    </w:pPr>
    <w:rPr>
      <w:rFonts w:eastAsiaTheme="minorEastAsia"/>
      <w:sz w:val="24"/>
      <w:szCs w:val="24"/>
      <w:lang w:val="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E13CE3"/>
    <w:pPr>
      <w:numPr>
        <w:numId w:val="48"/>
      </w:numPr>
      <w:spacing w:before="240" w:after="120" w:line="240" w:lineRule="auto"/>
      <w:contextualSpacing/>
    </w:pPr>
    <w:rPr>
      <w:rFonts w:eastAsiaTheme="minorEastAsia"/>
      <w:szCs w:val="24"/>
      <w:lang w:val="en-US"/>
    </w:rPr>
  </w:style>
  <w:style w:type="paragraph" w:styleId="Titlelevel1" w:customStyle="1">
    <w:name w:val="Title level 1"/>
    <w:autoRedefine/>
    <w:qFormat/>
    <w:rsid w:val="00E13CE3"/>
    <w:pPr>
      <w:pBdr>
        <w:bottom w:val="single" w:color="1F497D" w:themeColor="text2" w:sz="8" w:space="1"/>
      </w:pBdr>
      <w:spacing w:before="360" w:after="600" w:line="560" w:lineRule="exact"/>
    </w:pPr>
    <w:rPr>
      <w:rFonts w:asciiTheme="majorHAnsi" w:hAnsiTheme="majorHAnsi" w:eastAsiaTheme="majorEastAsia" w:cstheme="majorBidi"/>
      <w:color w:val="1F497D" w:themeColor="text2"/>
      <w:spacing w:val="5"/>
      <w:kern w:val="28"/>
      <w:sz w:val="52"/>
      <w:szCs w:val="52"/>
      <w:lang w:val="en-US"/>
    </w:rPr>
  </w:style>
  <w:style w:type="paragraph" w:styleId="Titlelevel3" w:customStyle="1">
    <w:name w:val="Title level 3"/>
    <w:qFormat/>
    <w:rsid w:val="00E13CE3"/>
    <w:pPr>
      <w:spacing w:before="240" w:after="240" w:line="240" w:lineRule="auto"/>
    </w:pPr>
    <w:rPr>
      <w:rFonts w:eastAsiaTheme="minorEastAsia"/>
      <w:b/>
      <w:color w:val="1F497D" w:themeColor="text2"/>
      <w:sz w:val="24"/>
      <w:szCs w:val="24"/>
      <w:lang w:val="en-US"/>
    </w:rPr>
  </w:style>
  <w:style w:type="paragraph" w:styleId="Titlelevel4" w:customStyle="1">
    <w:name w:val="Title level 4"/>
    <w:next w:val="body"/>
    <w:qFormat/>
    <w:rsid w:val="00E13CE3"/>
    <w:pPr>
      <w:spacing w:before="240" w:after="240" w:line="240" w:lineRule="auto"/>
    </w:pPr>
    <w:rPr>
      <w:rFonts w:eastAsiaTheme="minorEastAsia"/>
      <w:color w:val="EEECE1" w:themeColor="background2"/>
      <w:sz w:val="24"/>
      <w:szCs w:val="24"/>
      <w:lang w:val="en-US"/>
    </w:rPr>
  </w:style>
  <w:style w:type="paragraph" w:styleId="Figuretitle" w:customStyle="1">
    <w:name w:val="Figure title"/>
    <w:basedOn w:val="body"/>
    <w:next w:val="Normal"/>
    <w:autoRedefine/>
    <w:qFormat/>
    <w:rsid w:val="00E13CE3"/>
    <w:pPr>
      <w:keepNext/>
      <w:spacing w:before="360" w:after="360"/>
    </w:pPr>
    <w:rPr>
      <w:rFonts w:eastAsia="Times New Roman" w:cs="Times New Roman"/>
      <w:bCs/>
      <w:noProof/>
      <w:color w:val="1F497D" w:themeColor="text2"/>
      <w:szCs w:val="20"/>
      <w:lang w:val="en-GB" w:eastAsia="en-GB"/>
    </w:rPr>
  </w:style>
  <w:style w:type="table" w:styleId="EBAtable" w:customStyle="1">
    <w:name w:val="EBA table"/>
    <w:basedOn w:val="TableNormal"/>
    <w:uiPriority w:val="99"/>
    <w:rsid w:val="00E13CE3"/>
    <w:pPr>
      <w:spacing w:after="0" w:line="240" w:lineRule="auto"/>
    </w:pPr>
    <w:rPr>
      <w:rFonts w:eastAsiaTheme="minorEastAsia"/>
      <w:sz w:val="24"/>
      <w:szCs w:val="24"/>
      <w:lang w:val="en-US"/>
    </w:rPr>
    <w:tblPr>
      <w:tblBorders>
        <w:bottom w:val="single" w:color="000000" w:themeColor="text1" w:sz="2" w:space="0"/>
        <w:insideH w:val="single" w:color="000000" w:themeColor="text1" w:sz="2" w:space="0"/>
      </w:tblBorders>
    </w:tblPr>
    <w:tcPr>
      <w:vAlign w:val="center"/>
    </w:tcPr>
    <w:tblStylePr w:type="firstRow">
      <w:pPr>
        <w:jc w:val="left"/>
      </w:pPr>
      <w:tblPr/>
      <w:trPr>
        <w:tblHeader/>
      </w:trPr>
      <w:tcPr>
        <w:tcBorders>
          <w:top w:val="nil"/>
          <w:left w:val="nil"/>
          <w:bottom w:val="single" w:color="EEECE1" w:themeColor="background2" w:sz="18" w:space="0"/>
          <w:right w:val="nil"/>
          <w:insideH w:val="nil"/>
          <w:insideV w:val="nil"/>
          <w:tl2br w:val="nil"/>
          <w:tr2bl w:val="nil"/>
        </w:tcBorders>
      </w:tcPr>
    </w:tblStylePr>
    <w:tblStylePr w:type="lastRow">
      <w:tblPr/>
      <w:tcPr>
        <w:tcBorders>
          <w:top w:val="nil"/>
          <w:left w:val="nil"/>
          <w:bottom w:val="single" w:color="EEECE1" w:themeColor="background2" w:sz="4" w:space="0"/>
          <w:right w:val="nil"/>
          <w:insideH w:val="nil"/>
          <w:insideV w:val="nil"/>
          <w:tl2br w:val="nil"/>
          <w:tr2bl w:val="nil"/>
        </w:tcBorders>
      </w:tcPr>
    </w:tblStylePr>
  </w:style>
  <w:style w:type="character" w:styleId="PageNumber">
    <w:name w:val="page number"/>
    <w:basedOn w:val="DefaultParagraphFont"/>
    <w:uiPriority w:val="99"/>
    <w:semiHidden/>
    <w:rsid w:val="00E13CE3"/>
    <w:rPr>
      <w:rFonts w:asciiTheme="minorHAnsi" w:hAnsiTheme="minorHAnsi"/>
      <w:color w:val="auto"/>
      <w:sz w:val="22"/>
    </w:rPr>
  </w:style>
  <w:style w:type="paragraph" w:styleId="Runningtitle" w:customStyle="1">
    <w:name w:val="Running title"/>
    <w:qFormat/>
    <w:rsid w:val="00E13CE3"/>
    <w:pPr>
      <w:spacing w:after="0" w:line="240" w:lineRule="auto"/>
    </w:pPr>
    <w:rPr>
      <w:rFonts w:eastAsiaTheme="minorEastAsia"/>
      <w:caps/>
      <w:sz w:val="16"/>
      <w:szCs w:val="18"/>
      <w:lang w:val="en-US"/>
    </w:rPr>
  </w:style>
  <w:style w:type="paragraph" w:styleId="FootnoteText">
    <w:name w:val="footnote text"/>
    <w:aliases w:val="EBA_Footnote Text,fn,Footnote Text Char Char,Footnote,Fußnote,FSR footnote,lábléc,Char,Texto nota pie Car,notefranz,ARM footnote Text,Footnote Text Char2,Footnote Text Char11,Footnote Text Char3,Footnote Text Char4,Footnote Text Char5,Ch"/>
    <w:basedOn w:val="body"/>
    <w:link w:val="FootnoteTextChar"/>
    <w:autoRedefine/>
    <w:qFormat/>
    <w:rsid w:val="00AA5D47"/>
    <w:pPr>
      <w:spacing w:before="80" w:after="0" w:line="200" w:lineRule="exact"/>
    </w:pPr>
    <w:rPr>
      <w:rFonts w:ascii="Times New Roman" w:hAnsi="Times New Roman" w:cs="Times New Roman"/>
      <w:sz w:val="18"/>
      <w:szCs w:val="18"/>
    </w:rPr>
  </w:style>
  <w:style w:type="character" w:styleId="FootnoteTextChar" w:customStyle="1">
    <w:name w:val="Footnote Text Char"/>
    <w:aliases w:val="EBA_Footnote Text Char,fn Char,Footnote Text Char Char Char,Footnote Char,Fußnote Char,FSR footnote Char,lábléc Char,Char Char,Texto nota pie Car Char,notefranz Char,ARM footnote Text Char,Footnote Text Char2 Char,Ch Char"/>
    <w:basedOn w:val="DefaultParagraphFont"/>
    <w:link w:val="FootnoteText"/>
    <w:rsid w:val="00AA5D47"/>
    <w:rPr>
      <w:rFonts w:ascii="Times New Roman" w:hAnsi="Times New Roman" w:cs="Times New Roman" w:eastAsiaTheme="minorEastAsia"/>
      <w:sz w:val="18"/>
      <w:szCs w:val="18"/>
      <w:lang w:val="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ftref,fr,Ref"/>
    <w:basedOn w:val="DefaultParagraphFont"/>
    <w:qFormat/>
    <w:rsid w:val="00E13CE3"/>
    <w:rPr>
      <w:rFonts w:asciiTheme="minorHAnsi" w:hAnsiTheme="minorHAnsi"/>
      <w:sz w:val="22"/>
      <w:szCs w:val="18"/>
      <w:vertAlign w:val="superscript"/>
    </w:rPr>
  </w:style>
  <w:style w:type="paragraph" w:styleId="bullet1" w:customStyle="1">
    <w:name w:val="bullet 1"/>
    <w:basedOn w:val="body"/>
    <w:next w:val="body"/>
    <w:qFormat/>
    <w:rsid w:val="00E13CE3"/>
    <w:pPr>
      <w:numPr>
        <w:numId w:val="44"/>
      </w:numPr>
    </w:pPr>
    <w:rPr>
      <w:szCs w:val="22"/>
    </w:rPr>
  </w:style>
  <w:style w:type="paragraph" w:styleId="TOC1">
    <w:name w:val="toc 1"/>
    <w:autoRedefine/>
    <w:uiPriority w:val="39"/>
    <w:qFormat/>
    <w:rsid w:val="00E13CE3"/>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7B4065"/>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E13CE3"/>
    <w:pPr>
      <w:tabs>
        <w:tab w:val="right" w:pos="8771"/>
      </w:tabs>
      <w:ind w:left="567"/>
    </w:pPr>
    <w:rPr>
      <w:szCs w:val="22"/>
    </w:rPr>
  </w:style>
  <w:style w:type="paragraph" w:styleId="TOC4">
    <w:name w:val="toc 4"/>
    <w:basedOn w:val="Normal"/>
    <w:next w:val="Normal"/>
    <w:autoRedefine/>
    <w:uiPriority w:val="39"/>
    <w:rsid w:val="00E13CE3"/>
    <w:pPr>
      <w:tabs>
        <w:tab w:val="right" w:pos="8771"/>
      </w:tabs>
      <w:ind w:left="1134"/>
    </w:pPr>
    <w:rPr>
      <w:szCs w:val="22"/>
    </w:rPr>
  </w:style>
  <w:style w:type="paragraph" w:styleId="bullet2" w:customStyle="1">
    <w:name w:val="bullet 2"/>
    <w:basedOn w:val="body"/>
    <w:qFormat/>
    <w:rsid w:val="00E13CE3"/>
    <w:pPr>
      <w:numPr>
        <w:numId w:val="43"/>
      </w:numPr>
    </w:pPr>
    <w:rPr>
      <w:szCs w:val="22"/>
    </w:rPr>
  </w:style>
  <w:style w:type="paragraph" w:styleId="Numberedtitlelevel3" w:customStyle="1">
    <w:name w:val="Numbered title level 3"/>
    <w:basedOn w:val="Titlelevel3"/>
    <w:next w:val="body"/>
    <w:qFormat/>
    <w:rsid w:val="00E13CE3"/>
    <w:pPr>
      <w:ind w:left="720" w:hanging="432"/>
    </w:pPr>
  </w:style>
  <w:style w:type="table" w:styleId="LightShading1" w:customStyle="1">
    <w:name w:val="Light Shading1"/>
    <w:basedOn w:val="TableNormal"/>
    <w:uiPriority w:val="60"/>
    <w:rsid w:val="00E13CE3"/>
    <w:pPr>
      <w:spacing w:after="0" w:line="240" w:lineRule="auto"/>
    </w:pPr>
    <w:rPr>
      <w:rFonts w:eastAsiaTheme="minorEastAsia"/>
      <w:color w:val="000000" w:themeColor="text1" w:themeShade="BF"/>
      <w:sz w:val="24"/>
      <w:szCs w:val="24"/>
      <w:lang w:val="en-US"/>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1" w:customStyle="1">
    <w:name w:val="Light Shading - Accent 11"/>
    <w:basedOn w:val="TableNormal"/>
    <w:uiPriority w:val="60"/>
    <w:rsid w:val="00E13CE3"/>
    <w:pPr>
      <w:spacing w:after="0" w:line="240" w:lineRule="auto"/>
    </w:pPr>
    <w:rPr>
      <w:rFonts w:eastAsiaTheme="minorEastAsia"/>
      <w:color w:val="365F91" w:themeColor="accent1" w:themeShade="BF"/>
      <w:sz w:val="24"/>
      <w:szCs w:val="24"/>
      <w:lang w:val="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ntenttitle" w:customStyle="1">
    <w:name w:val="Content title"/>
    <w:basedOn w:val="Titlelevel1"/>
    <w:qFormat/>
    <w:rsid w:val="00E13CE3"/>
  </w:style>
  <w:style w:type="paragraph" w:styleId="Numberedtitlelevel4" w:customStyle="1">
    <w:name w:val="Numbered title level 4"/>
    <w:basedOn w:val="Titlelevel4"/>
    <w:qFormat/>
    <w:rsid w:val="00E13CE3"/>
    <w:pPr>
      <w:numPr>
        <w:numId w:val="46"/>
      </w:numPr>
    </w:pPr>
  </w:style>
  <w:style w:type="paragraph" w:styleId="Header">
    <w:name w:val="header"/>
    <w:basedOn w:val="Normal"/>
    <w:link w:val="HeaderChar"/>
    <w:uiPriority w:val="99"/>
    <w:semiHidden/>
    <w:rsid w:val="00E13CE3"/>
    <w:pPr>
      <w:tabs>
        <w:tab w:val="center" w:pos="4320"/>
        <w:tab w:val="right" w:pos="8640"/>
      </w:tabs>
    </w:pPr>
  </w:style>
  <w:style w:type="character" w:styleId="HeaderChar" w:customStyle="1">
    <w:name w:val="Header Char"/>
    <w:basedOn w:val="DefaultParagraphFont"/>
    <w:link w:val="Header"/>
    <w:uiPriority w:val="99"/>
    <w:semiHidden/>
    <w:rsid w:val="00E13CE3"/>
    <w:rPr>
      <w:rFonts w:eastAsiaTheme="minorEastAsia"/>
      <w:szCs w:val="24"/>
      <w:lang w:val="en-US"/>
    </w:rPr>
  </w:style>
  <w:style w:type="paragraph" w:styleId="Title">
    <w:name w:val="Title"/>
    <w:basedOn w:val="Normal"/>
    <w:next w:val="Normal"/>
    <w:link w:val="TitleChar"/>
    <w:qFormat/>
    <w:rsid w:val="00E13CE3"/>
    <w:pPr>
      <w:pBdr>
        <w:bottom w:val="single" w:color="4F81BD" w:themeColor="accent1" w:sz="8" w:space="4"/>
      </w:pBdr>
      <w:spacing w:after="300"/>
      <w:contextualSpacing/>
    </w:pPr>
    <w:rPr>
      <w:rFonts w:asciiTheme="majorHAnsi" w:hAnsiTheme="majorHAnsi" w:eastAsiaTheme="majorEastAsia" w:cstheme="majorBidi"/>
      <w:color w:val="1F497D" w:themeColor="text2"/>
      <w:spacing w:val="5"/>
      <w:kern w:val="28"/>
      <w:sz w:val="52"/>
      <w:szCs w:val="52"/>
    </w:rPr>
  </w:style>
  <w:style w:type="character" w:styleId="TitleChar" w:customStyle="1">
    <w:name w:val="Title Char"/>
    <w:basedOn w:val="DefaultParagraphFont"/>
    <w:link w:val="Title"/>
    <w:rsid w:val="00E13CE3"/>
    <w:rPr>
      <w:rFonts w:asciiTheme="majorHAnsi" w:hAnsiTheme="majorHAnsi" w:eastAsiaTheme="majorEastAsia" w:cstheme="majorBidi"/>
      <w:color w:val="1F497D" w:themeColor="text2"/>
      <w:spacing w:val="5"/>
      <w:kern w:val="28"/>
      <w:sz w:val="52"/>
      <w:szCs w:val="52"/>
      <w:lang w:val="en-US"/>
    </w:rPr>
  </w:style>
  <w:style w:type="paragraph" w:styleId="TableofFigures">
    <w:name w:val="table of figures"/>
    <w:basedOn w:val="Normal"/>
    <w:next w:val="Normal"/>
    <w:autoRedefine/>
    <w:uiPriority w:val="99"/>
    <w:qFormat/>
    <w:rsid w:val="00E13CE3"/>
    <w:pPr>
      <w:spacing w:before="160"/>
    </w:pPr>
  </w:style>
  <w:style w:type="paragraph" w:styleId="Subtitle">
    <w:name w:val="Subtitle"/>
    <w:next w:val="Normal"/>
    <w:link w:val="SubtitleChar"/>
    <w:autoRedefine/>
    <w:uiPriority w:val="11"/>
    <w:qFormat/>
    <w:rsid w:val="00E13CE3"/>
    <w:pPr>
      <w:numPr>
        <w:ilvl w:val="1"/>
      </w:numPr>
      <w:spacing w:before="240" w:after="120" w:line="240" w:lineRule="auto"/>
    </w:pPr>
    <w:rPr>
      <w:rFonts w:asciiTheme="majorHAnsi" w:hAnsiTheme="majorHAnsi" w:eastAsiaTheme="majorEastAsia" w:cstheme="majorBidi"/>
      <w:color w:val="4F81BD" w:themeColor="accent1"/>
      <w:sz w:val="32"/>
      <w:szCs w:val="32"/>
    </w:rPr>
  </w:style>
  <w:style w:type="character" w:styleId="SubtitleChar" w:customStyle="1">
    <w:name w:val="Subtitle Char"/>
    <w:basedOn w:val="DefaultParagraphFont"/>
    <w:link w:val="Subtitle"/>
    <w:uiPriority w:val="11"/>
    <w:rsid w:val="00E13CE3"/>
    <w:rPr>
      <w:rFonts w:asciiTheme="majorHAnsi" w:hAnsiTheme="majorHAnsi" w:eastAsiaTheme="majorEastAsia" w:cstheme="majorBidi"/>
      <w:color w:val="4F81BD" w:themeColor="accent1"/>
      <w:sz w:val="32"/>
      <w:szCs w:val="32"/>
    </w:rPr>
  </w:style>
  <w:style w:type="character" w:styleId="BookTitle">
    <w:name w:val="Book Title"/>
    <w:basedOn w:val="DefaultParagraphFont"/>
    <w:uiPriority w:val="33"/>
    <w:qFormat/>
    <w:rsid w:val="00E13CE3"/>
    <w:rPr>
      <w:b/>
      <w:bCs/>
      <w:smallCaps/>
      <w:spacing w:val="5"/>
    </w:rPr>
  </w:style>
  <w:style w:type="character" w:styleId="Highlighttext" w:customStyle="1">
    <w:name w:val="Highlight text"/>
    <w:basedOn w:val="DefaultParagraphFont"/>
    <w:uiPriority w:val="1"/>
    <w:semiHidden/>
    <w:qFormat/>
    <w:rsid w:val="00E13CE3"/>
    <w:rPr>
      <w:rFonts w:asciiTheme="minorHAnsi" w:hAnsiTheme="minorHAnsi"/>
      <w:b/>
      <w:bCs/>
      <w:caps w:val="0"/>
      <w:smallCaps w:val="0"/>
      <w:color w:val="EEECE1" w:themeColor="background2"/>
      <w:sz w:val="22"/>
      <w:szCs w:val="22"/>
    </w:rPr>
  </w:style>
  <w:style w:type="paragraph" w:styleId="abbreviation" w:customStyle="1">
    <w:name w:val="abbreviation"/>
    <w:basedOn w:val="Tableheader"/>
    <w:qFormat/>
    <w:rsid w:val="00E13CE3"/>
    <w:rPr>
      <w:bCs/>
      <w:lang w:val="en-GB" w:eastAsia="en-GB"/>
    </w:rPr>
  </w:style>
  <w:style w:type="paragraph" w:styleId="ListBullet">
    <w:name w:val="List Bullet"/>
    <w:basedOn w:val="Normal"/>
    <w:semiHidden/>
    <w:qFormat/>
    <w:rsid w:val="00E13CE3"/>
    <w:pPr>
      <w:numPr>
        <w:numId w:val="50"/>
      </w:numPr>
      <w:contextualSpacing/>
    </w:pPr>
  </w:style>
  <w:style w:type="character" w:styleId="Hyperlink">
    <w:name w:val="Hyperlink"/>
    <w:basedOn w:val="DefaultParagraphFont"/>
    <w:uiPriority w:val="99"/>
    <w:rsid w:val="00E13CE3"/>
    <w:rPr>
      <w:color w:val="0000FF" w:themeColor="hyperlink"/>
      <w:u w:val="single"/>
    </w:rPr>
  </w:style>
  <w:style w:type="paragraph" w:styleId="numberedparagraph" w:customStyle="1">
    <w:name w:val="numbered paragraph"/>
    <w:basedOn w:val="body"/>
    <w:autoRedefine/>
    <w:qFormat/>
    <w:rsid w:val="006240B0"/>
    <w:pPr>
      <w:numPr>
        <w:numId w:val="218"/>
      </w:numPr>
      <w:ind w:left="1134"/>
    </w:pPr>
    <w:rPr>
      <w:rFonts w:asciiTheme="majorHAnsi" w:hAnsiTheme="majorHAnsi"/>
      <w:color w:val="000000" w:themeColor="text1"/>
      <w:lang w:val="en-GB"/>
    </w:rPr>
  </w:style>
  <w:style w:type="paragraph" w:styleId="TOC5">
    <w:name w:val="toc 5"/>
    <w:basedOn w:val="Normal"/>
    <w:next w:val="Normal"/>
    <w:autoRedefine/>
    <w:uiPriority w:val="39"/>
    <w:semiHidden/>
    <w:rsid w:val="00E13CE3"/>
    <w:pPr>
      <w:ind w:left="880"/>
    </w:pPr>
  </w:style>
  <w:style w:type="paragraph" w:styleId="TOC6">
    <w:name w:val="toc 6"/>
    <w:basedOn w:val="Normal"/>
    <w:next w:val="Normal"/>
    <w:autoRedefine/>
    <w:uiPriority w:val="39"/>
    <w:semiHidden/>
    <w:rsid w:val="00E13CE3"/>
    <w:pPr>
      <w:ind w:left="1100"/>
    </w:pPr>
  </w:style>
  <w:style w:type="paragraph" w:styleId="TOC7">
    <w:name w:val="toc 7"/>
    <w:basedOn w:val="Normal"/>
    <w:next w:val="Normal"/>
    <w:autoRedefine/>
    <w:uiPriority w:val="39"/>
    <w:semiHidden/>
    <w:rsid w:val="00E13CE3"/>
    <w:pPr>
      <w:ind w:left="1320"/>
    </w:pPr>
  </w:style>
  <w:style w:type="paragraph" w:styleId="TOC8">
    <w:name w:val="toc 8"/>
    <w:basedOn w:val="Normal"/>
    <w:next w:val="Normal"/>
    <w:autoRedefine/>
    <w:uiPriority w:val="39"/>
    <w:semiHidden/>
    <w:rsid w:val="00E13CE3"/>
    <w:pPr>
      <w:ind w:left="1540"/>
    </w:pPr>
  </w:style>
  <w:style w:type="paragraph" w:styleId="TOC9">
    <w:name w:val="toc 9"/>
    <w:basedOn w:val="Normal"/>
    <w:next w:val="Normal"/>
    <w:autoRedefine/>
    <w:uiPriority w:val="39"/>
    <w:semiHidden/>
    <w:rsid w:val="00E13CE3"/>
    <w:pPr>
      <w:ind w:left="1760"/>
    </w:pPr>
  </w:style>
  <w:style w:type="paragraph" w:styleId="Default" w:customStyle="1">
    <w:name w:val="Default"/>
    <w:rsid w:val="00E13CE3"/>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semiHidden/>
    <w:qFormat/>
    <w:rsid w:val="00E13CE3"/>
    <w:pPr>
      <w:spacing w:before="480"/>
      <w:outlineLvl w:val="9"/>
    </w:pPr>
    <w:rPr>
      <w:caps w:val="0"/>
      <w:color w:val="365F91" w:themeColor="accent1" w:themeShade="BF"/>
      <w:sz w:val="28"/>
      <w:szCs w:val="28"/>
    </w:rPr>
  </w:style>
  <w:style w:type="character" w:styleId="Marker" w:customStyle="1">
    <w:name w:val="Marker"/>
    <w:rsid w:val="00E13CE3"/>
    <w:rPr>
      <w:color w:val="0000FF"/>
      <w:shd w:val="clear" w:color="auto" w:fill="auto"/>
    </w:rPr>
  </w:style>
  <w:style w:type="character" w:styleId="Marker2" w:customStyle="1">
    <w:name w:val="Marker2"/>
    <w:rsid w:val="00E13CE3"/>
    <w:rPr>
      <w:color w:val="FF0000"/>
      <w:shd w:val="clear" w:color="auto" w:fill="auto"/>
    </w:rPr>
  </w:style>
  <w:style w:type="paragraph" w:styleId="Annexetitre" w:customStyle="1">
    <w:name w:val="Annexe titre"/>
    <w:basedOn w:val="Normal"/>
    <w:next w:val="Normal"/>
    <w:rsid w:val="00E13CE3"/>
    <w:pPr>
      <w:spacing w:before="120" w:after="120"/>
      <w:jc w:val="center"/>
    </w:pPr>
    <w:rPr>
      <w:rFonts w:ascii="Times New Roman" w:hAnsi="Times New Roman" w:eastAsia="Times New Roman" w:cs="Times New Roman"/>
      <w:b/>
      <w:sz w:val="24"/>
      <w:u w:val="single"/>
      <w:lang w:val="en-GB"/>
    </w:rPr>
  </w:style>
  <w:style w:type="paragraph" w:styleId="Applicationdirecte" w:customStyle="1">
    <w:name w:val="Application directe"/>
    <w:basedOn w:val="Normal"/>
    <w:next w:val="Fait"/>
    <w:rsid w:val="00E13CE3"/>
    <w:pPr>
      <w:spacing w:before="480" w:after="120"/>
      <w:jc w:val="both"/>
    </w:pPr>
    <w:rPr>
      <w:rFonts w:ascii="Times New Roman" w:hAnsi="Times New Roman" w:eastAsia="Times New Roman" w:cs="Times New Roman"/>
      <w:sz w:val="24"/>
      <w:lang w:val="en-GB"/>
    </w:rPr>
  </w:style>
  <w:style w:type="paragraph" w:styleId="Considrant" w:customStyle="1">
    <w:name w:val="Considérant"/>
    <w:basedOn w:val="Normal"/>
    <w:rsid w:val="00E13CE3"/>
    <w:pPr>
      <w:numPr>
        <w:numId w:val="51"/>
      </w:numPr>
      <w:spacing w:before="120" w:after="120"/>
      <w:jc w:val="both"/>
    </w:pPr>
    <w:rPr>
      <w:rFonts w:ascii="Times New Roman" w:hAnsi="Times New Roman" w:eastAsia="Times New Roman" w:cs="Times New Roman"/>
      <w:sz w:val="24"/>
      <w:lang w:val="en-GB"/>
    </w:rPr>
  </w:style>
  <w:style w:type="paragraph" w:styleId="Datedadoption" w:customStyle="1">
    <w:name w:val="Date d'adoption"/>
    <w:basedOn w:val="Normal"/>
    <w:next w:val="Titreobjet"/>
    <w:rsid w:val="00E13CE3"/>
    <w:pPr>
      <w:spacing w:before="360"/>
      <w:jc w:val="center"/>
    </w:pPr>
    <w:rPr>
      <w:rFonts w:ascii="Times New Roman" w:hAnsi="Times New Roman" w:eastAsia="Times New Roman" w:cs="Times New Roman"/>
      <w:b/>
      <w:sz w:val="24"/>
      <w:lang w:val="en-GB"/>
    </w:rPr>
  </w:style>
  <w:style w:type="paragraph" w:styleId="Fait" w:customStyle="1">
    <w:name w:val="Fait à"/>
    <w:basedOn w:val="Normal"/>
    <w:next w:val="Institutionquisigne"/>
    <w:rsid w:val="00E13CE3"/>
    <w:pPr>
      <w:keepNext/>
      <w:spacing w:before="120"/>
      <w:jc w:val="both"/>
    </w:pPr>
    <w:rPr>
      <w:rFonts w:ascii="Times New Roman" w:hAnsi="Times New Roman" w:eastAsia="Times New Roman" w:cs="Times New Roman"/>
      <w:sz w:val="24"/>
      <w:lang w:val="en-GB"/>
    </w:rPr>
  </w:style>
  <w:style w:type="paragraph" w:styleId="Formuledadoption" w:customStyle="1">
    <w:name w:val="Formule d'adoption"/>
    <w:basedOn w:val="Normal"/>
    <w:next w:val="Titrearticle"/>
    <w:rsid w:val="00E13CE3"/>
    <w:pPr>
      <w:keepNext/>
      <w:spacing w:before="120" w:after="120"/>
      <w:jc w:val="both"/>
    </w:pPr>
    <w:rPr>
      <w:rFonts w:ascii="Times New Roman" w:hAnsi="Times New Roman" w:eastAsia="Times New Roman" w:cs="Times New Roman"/>
      <w:sz w:val="24"/>
      <w:lang w:val="en-GB"/>
    </w:rPr>
  </w:style>
  <w:style w:type="paragraph" w:styleId="Institutionquisigne" w:customStyle="1">
    <w:name w:val="Institution qui signe"/>
    <w:basedOn w:val="Normal"/>
    <w:next w:val="Personnequisigne"/>
    <w:rsid w:val="00E13CE3"/>
    <w:pPr>
      <w:keepNext/>
      <w:tabs>
        <w:tab w:val="left" w:pos="4252"/>
      </w:tabs>
      <w:spacing w:before="720"/>
      <w:jc w:val="both"/>
    </w:pPr>
    <w:rPr>
      <w:rFonts w:ascii="Times New Roman" w:hAnsi="Times New Roman" w:eastAsia="Times New Roman" w:cs="Times New Roman"/>
      <w:i/>
      <w:sz w:val="24"/>
      <w:lang w:val="en-GB"/>
    </w:rPr>
  </w:style>
  <w:style w:type="paragraph" w:styleId="Personnequisigne" w:customStyle="1">
    <w:name w:val="Personne qui signe"/>
    <w:basedOn w:val="Normal"/>
    <w:next w:val="Institutionquisigne"/>
    <w:rsid w:val="00E13CE3"/>
    <w:pPr>
      <w:tabs>
        <w:tab w:val="left" w:pos="4252"/>
      </w:tabs>
    </w:pPr>
    <w:rPr>
      <w:rFonts w:ascii="Times New Roman" w:hAnsi="Times New Roman" w:eastAsia="Times New Roman" w:cs="Times New Roman"/>
      <w:i/>
      <w:sz w:val="24"/>
      <w:lang w:val="en-GB"/>
    </w:rPr>
  </w:style>
  <w:style w:type="paragraph" w:styleId="Titrearticle" w:customStyle="1">
    <w:name w:val="Titre article"/>
    <w:basedOn w:val="Normal"/>
    <w:next w:val="Normal"/>
    <w:rsid w:val="00E13CE3"/>
    <w:pPr>
      <w:keepNext/>
      <w:spacing w:before="360" w:after="120"/>
      <w:jc w:val="center"/>
    </w:pPr>
    <w:rPr>
      <w:rFonts w:ascii="Times New Roman" w:hAnsi="Times New Roman" w:eastAsia="Times New Roman" w:cs="Times New Roman"/>
      <w:i/>
      <w:sz w:val="24"/>
      <w:lang w:val="en-GB"/>
    </w:rPr>
  </w:style>
  <w:style w:type="paragraph" w:styleId="Titreobjet" w:customStyle="1">
    <w:name w:val="Titre objet"/>
    <w:basedOn w:val="Normal"/>
    <w:next w:val="Normal"/>
    <w:rsid w:val="00E13CE3"/>
    <w:pPr>
      <w:spacing w:before="360" w:after="360"/>
      <w:jc w:val="center"/>
    </w:pPr>
    <w:rPr>
      <w:rFonts w:ascii="Times New Roman" w:hAnsi="Times New Roman" w:eastAsia="Times New Roman" w:cs="Times New Roman"/>
      <w:b/>
      <w:sz w:val="24"/>
      <w:lang w:val="en-GB"/>
    </w:rPr>
  </w:style>
  <w:style w:type="paragraph" w:styleId="Typedudocument" w:customStyle="1">
    <w:name w:val="Type du document"/>
    <w:basedOn w:val="Normal"/>
    <w:next w:val="Titreobjet"/>
    <w:rsid w:val="00E13CE3"/>
    <w:pPr>
      <w:spacing w:before="360"/>
      <w:jc w:val="center"/>
    </w:pPr>
    <w:rPr>
      <w:rFonts w:ascii="Times New Roman" w:hAnsi="Times New Roman" w:eastAsia="Times New Roman" w:cs="Times New Roman"/>
      <w:b/>
      <w:sz w:val="24"/>
      <w:lang w:val="en-GB"/>
    </w:rPr>
  </w:style>
  <w:style w:type="paragraph" w:styleId="Pagedecouverture" w:customStyle="1">
    <w:name w:val="Page de couverture"/>
    <w:basedOn w:val="Normal"/>
    <w:next w:val="Normal"/>
    <w:rsid w:val="00E13CE3"/>
    <w:pPr>
      <w:spacing w:before="120" w:after="120"/>
      <w:jc w:val="both"/>
    </w:pPr>
    <w:rPr>
      <w:rFonts w:ascii="Times New Roman" w:hAnsi="Times New Roman" w:eastAsia="Times New Roman" w:cs="Times New Roman"/>
      <w:sz w:val="24"/>
      <w:lang w:val="en-GB"/>
    </w:rPr>
  </w:style>
  <w:style w:type="paragraph" w:styleId="Institutionquiagit" w:customStyle="1">
    <w:name w:val="Institution qui agit"/>
    <w:basedOn w:val="Normal"/>
    <w:next w:val="Normal"/>
    <w:rsid w:val="00E13CE3"/>
    <w:pPr>
      <w:keepNext/>
      <w:spacing w:before="600" w:after="120"/>
      <w:jc w:val="both"/>
    </w:pPr>
    <w:rPr>
      <w:rFonts w:ascii="Times New Roman" w:hAnsi="Times New Roman" w:eastAsia="Times New Roman" w:cs="Times New Roman"/>
      <w:sz w:val="24"/>
      <w:lang w:val="en-GB"/>
    </w:rPr>
  </w:style>
  <w:style w:type="paragraph" w:styleId="ListParagraph">
    <w:name w:val="List Paragraph"/>
    <w:aliases w:val="Paragraphe EI,Paragraphe de liste1,EC,Paragraphe de liste2,Colorful List Accent 1,Liste couleur - Accent 11,Paragraphe de liste11,RETRAIT 1,List Paragraph1,Colorful List - Accent 11"/>
    <w:basedOn w:val="Normal"/>
    <w:link w:val="ListParagraphChar"/>
    <w:uiPriority w:val="34"/>
    <w:qFormat/>
    <w:rsid w:val="00E13CE3"/>
    <w:pPr>
      <w:ind w:left="720"/>
    </w:pPr>
    <w:rPr>
      <w:rFonts w:ascii="Calibri" w:hAnsi="Calibri" w:eastAsia="Calibri" w:cs="Times New Roman"/>
      <w:szCs w:val="22"/>
      <w:lang w:val="en-GB"/>
    </w:rPr>
  </w:style>
  <w:style w:type="paragraph" w:styleId="Questionforconsultation" w:customStyle="1">
    <w:name w:val="Question for consultation"/>
    <w:basedOn w:val="ListParagraph"/>
    <w:link w:val="QuestionforconsultationChar"/>
    <w:qFormat/>
    <w:rsid w:val="00E13CE3"/>
    <w:pPr>
      <w:numPr>
        <w:numId w:val="52"/>
      </w:numPr>
      <w:pBdr>
        <w:top w:val="single" w:color="auto" w:sz="4" w:space="1"/>
        <w:left w:val="single" w:color="auto" w:sz="4" w:space="4"/>
        <w:bottom w:val="single" w:color="auto" w:sz="4" w:space="1"/>
        <w:right w:val="single" w:color="auto" w:sz="4" w:space="4"/>
      </w:pBdr>
      <w:ind w:left="1134" w:hanging="1134"/>
      <w:contextualSpacing/>
      <w:jc w:val="both"/>
    </w:pPr>
    <w:rPr>
      <w:rFonts w:ascii="Times New Roman" w:hAnsi="Times New Roman"/>
      <w:lang w:val="en-US"/>
    </w:rPr>
  </w:style>
  <w:style w:type="paragraph" w:styleId="doc-ti" w:customStyle="1">
    <w:name w:val="doc-ti"/>
    <w:basedOn w:val="Normal"/>
    <w:rsid w:val="00E13CE3"/>
    <w:pPr>
      <w:spacing w:before="100" w:beforeAutospacing="1" w:after="100" w:afterAutospacing="1"/>
    </w:pPr>
    <w:rPr>
      <w:rFonts w:ascii="Times New Roman" w:hAnsi="Times New Roman" w:eastAsia="Times New Roman" w:cs="Times New Roman"/>
      <w:sz w:val="24"/>
      <w:lang w:val="en-GB" w:eastAsia="en-GB"/>
    </w:rPr>
  </w:style>
  <w:style w:type="character" w:styleId="ListParagraphChar" w:customStyle="1">
    <w:name w:val="List Paragraph Char"/>
    <w:aliases w:val="Paragraphe EI Char,Paragraphe de liste1 Char,EC Char,Paragraphe de liste2 Char,Colorful List Accent 1 Char,Liste couleur - Accent 11 Char,Paragraphe de liste11 Char,RETRAIT 1 Char,List Paragraph1 Char,Colorful List - Accent 11 Char"/>
    <w:basedOn w:val="DefaultParagraphFont"/>
    <w:link w:val="ListParagraph"/>
    <w:uiPriority w:val="34"/>
    <w:rsid w:val="00E13CE3"/>
    <w:rPr>
      <w:rFonts w:ascii="Calibri" w:hAnsi="Calibri" w:eastAsia="Calibri" w:cs="Times New Roman"/>
    </w:rPr>
  </w:style>
  <w:style w:type="character" w:styleId="QuestionforconsultationChar" w:customStyle="1">
    <w:name w:val="Question for consultation Char"/>
    <w:basedOn w:val="ListParagraphChar"/>
    <w:link w:val="Questionforconsultation"/>
    <w:rsid w:val="00E13CE3"/>
    <w:rPr>
      <w:rFonts w:ascii="Times New Roman" w:hAnsi="Times New Roman" w:eastAsia="Calibri" w:cs="Times New Roman"/>
      <w:lang w:val="en-US"/>
    </w:rPr>
  </w:style>
  <w:style w:type="paragraph" w:styleId="Normal1" w:customStyle="1">
    <w:name w:val="Normal1"/>
    <w:basedOn w:val="Normal"/>
    <w:rsid w:val="00E13CE3"/>
    <w:pPr>
      <w:spacing w:before="100" w:beforeAutospacing="1" w:after="100" w:afterAutospacing="1"/>
    </w:pPr>
    <w:rPr>
      <w:rFonts w:ascii="Times New Roman" w:hAnsi="Times New Roman" w:eastAsia="Times New Roman" w:cs="Times New Roman"/>
      <w:sz w:val="24"/>
      <w:lang w:val="en-GB" w:eastAsia="en-GB"/>
    </w:rPr>
  </w:style>
  <w:style w:type="character" w:styleId="super" w:customStyle="1">
    <w:name w:val="super"/>
    <w:basedOn w:val="DefaultParagraphFont"/>
    <w:rsid w:val="00E13CE3"/>
  </w:style>
  <w:style w:type="paragraph" w:styleId="ti-art" w:customStyle="1">
    <w:name w:val="ti-art"/>
    <w:basedOn w:val="Normal"/>
    <w:rsid w:val="00E13CE3"/>
    <w:pPr>
      <w:spacing w:before="100" w:beforeAutospacing="1" w:after="100" w:afterAutospacing="1"/>
    </w:pPr>
    <w:rPr>
      <w:rFonts w:ascii="Times New Roman" w:hAnsi="Times New Roman" w:eastAsia="Times New Roman" w:cs="Times New Roman"/>
      <w:sz w:val="24"/>
      <w:lang w:val="en-GB" w:eastAsia="en-GB"/>
    </w:rPr>
  </w:style>
  <w:style w:type="paragraph" w:styleId="sti-art" w:customStyle="1">
    <w:name w:val="sti-art"/>
    <w:basedOn w:val="Normal"/>
    <w:rsid w:val="00E13CE3"/>
    <w:pPr>
      <w:spacing w:before="100" w:beforeAutospacing="1" w:after="100" w:afterAutospacing="1"/>
    </w:pPr>
    <w:rPr>
      <w:rFonts w:ascii="Times New Roman" w:hAnsi="Times New Roman" w:eastAsia="Times New Roman" w:cs="Times New Roman"/>
      <w:sz w:val="24"/>
      <w:lang w:val="en-GB" w:eastAsia="en-GB"/>
    </w:rPr>
  </w:style>
  <w:style w:type="character" w:styleId="apple-converted-space" w:customStyle="1">
    <w:name w:val="apple-converted-space"/>
    <w:basedOn w:val="DefaultParagraphFont"/>
    <w:rsid w:val="00E13CE3"/>
  </w:style>
  <w:style w:type="character" w:styleId="italic" w:customStyle="1">
    <w:name w:val="italic"/>
    <w:basedOn w:val="DefaultParagraphFont"/>
    <w:rsid w:val="00E13CE3"/>
  </w:style>
  <w:style w:type="character" w:styleId="CommentReference">
    <w:name w:val="annotation reference"/>
    <w:basedOn w:val="DefaultParagraphFont"/>
    <w:uiPriority w:val="99"/>
    <w:semiHidden/>
    <w:rsid w:val="00E13CE3"/>
    <w:rPr>
      <w:sz w:val="16"/>
      <w:szCs w:val="16"/>
    </w:rPr>
  </w:style>
  <w:style w:type="paragraph" w:styleId="CommentText">
    <w:name w:val="annotation text"/>
    <w:basedOn w:val="Normal"/>
    <w:link w:val="CommentTextChar"/>
    <w:uiPriority w:val="99"/>
    <w:rsid w:val="00E13CE3"/>
    <w:rPr>
      <w:sz w:val="20"/>
      <w:szCs w:val="20"/>
    </w:rPr>
  </w:style>
  <w:style w:type="character" w:styleId="CommentTextChar" w:customStyle="1">
    <w:name w:val="Comment Text Char"/>
    <w:basedOn w:val="DefaultParagraphFont"/>
    <w:link w:val="CommentText"/>
    <w:uiPriority w:val="99"/>
    <w:rsid w:val="00E13CE3"/>
    <w:rPr>
      <w:rFonts w:eastAsiaTheme="minorEastAsia"/>
      <w:sz w:val="20"/>
      <w:szCs w:val="20"/>
      <w:lang w:val="en-US"/>
    </w:rPr>
  </w:style>
  <w:style w:type="paragraph" w:styleId="CommentSubject">
    <w:name w:val="annotation subject"/>
    <w:basedOn w:val="CommentText"/>
    <w:next w:val="CommentText"/>
    <w:link w:val="CommentSubjectChar"/>
    <w:uiPriority w:val="99"/>
    <w:semiHidden/>
    <w:rsid w:val="00E13CE3"/>
    <w:rPr>
      <w:b/>
      <w:bCs/>
    </w:rPr>
  </w:style>
  <w:style w:type="character" w:styleId="CommentSubjectChar" w:customStyle="1">
    <w:name w:val="Comment Subject Char"/>
    <w:basedOn w:val="CommentTextChar"/>
    <w:link w:val="CommentSubject"/>
    <w:uiPriority w:val="99"/>
    <w:semiHidden/>
    <w:rsid w:val="00E13CE3"/>
    <w:rPr>
      <w:rFonts w:eastAsiaTheme="minorEastAsia"/>
      <w:b/>
      <w:bCs/>
      <w:sz w:val="20"/>
      <w:szCs w:val="20"/>
      <w:lang w:val="en-US"/>
    </w:rPr>
  </w:style>
  <w:style w:type="paragraph" w:styleId="Point0number" w:customStyle="1">
    <w:name w:val="Point 0 (number)"/>
    <w:basedOn w:val="Normal"/>
    <w:rsid w:val="00E13CE3"/>
    <w:pPr>
      <w:numPr>
        <w:numId w:val="53"/>
      </w:numPr>
      <w:spacing w:before="120" w:after="120"/>
      <w:jc w:val="both"/>
    </w:pPr>
    <w:rPr>
      <w:rFonts w:ascii="Times New Roman" w:hAnsi="Times New Roman" w:cs="Times New Roman" w:eastAsiaTheme="minorHAnsi"/>
      <w:sz w:val="24"/>
      <w:szCs w:val="22"/>
      <w:lang w:val="en-GB"/>
    </w:rPr>
  </w:style>
  <w:style w:type="paragraph" w:styleId="Point1number" w:customStyle="1">
    <w:name w:val="Point 1 (number)"/>
    <w:basedOn w:val="Normal"/>
    <w:rsid w:val="00E13CE3"/>
    <w:pPr>
      <w:numPr>
        <w:ilvl w:val="2"/>
        <w:numId w:val="53"/>
      </w:numPr>
      <w:spacing w:before="120" w:after="120"/>
      <w:jc w:val="both"/>
    </w:pPr>
    <w:rPr>
      <w:rFonts w:ascii="Times New Roman" w:hAnsi="Times New Roman" w:cs="Times New Roman" w:eastAsiaTheme="minorHAnsi"/>
      <w:sz w:val="24"/>
      <w:szCs w:val="22"/>
      <w:lang w:val="en-GB"/>
    </w:rPr>
  </w:style>
  <w:style w:type="paragraph" w:styleId="Point2number" w:customStyle="1">
    <w:name w:val="Point 2 (number)"/>
    <w:basedOn w:val="Normal"/>
    <w:rsid w:val="00E13CE3"/>
    <w:pPr>
      <w:numPr>
        <w:ilvl w:val="4"/>
        <w:numId w:val="53"/>
      </w:numPr>
      <w:spacing w:before="120" w:after="120"/>
      <w:jc w:val="both"/>
    </w:pPr>
    <w:rPr>
      <w:rFonts w:ascii="Times New Roman" w:hAnsi="Times New Roman" w:cs="Times New Roman" w:eastAsiaTheme="minorHAnsi"/>
      <w:sz w:val="24"/>
      <w:szCs w:val="22"/>
      <w:lang w:val="en-GB"/>
    </w:rPr>
  </w:style>
  <w:style w:type="paragraph" w:styleId="Point3number" w:customStyle="1">
    <w:name w:val="Point 3 (number)"/>
    <w:basedOn w:val="Normal"/>
    <w:rsid w:val="00E13CE3"/>
    <w:pPr>
      <w:numPr>
        <w:ilvl w:val="6"/>
        <w:numId w:val="53"/>
      </w:numPr>
      <w:spacing w:before="120" w:after="120"/>
      <w:jc w:val="both"/>
    </w:pPr>
    <w:rPr>
      <w:rFonts w:ascii="Times New Roman" w:hAnsi="Times New Roman" w:cs="Times New Roman" w:eastAsiaTheme="minorHAnsi"/>
      <w:sz w:val="24"/>
      <w:szCs w:val="22"/>
      <w:lang w:val="en-GB"/>
    </w:rPr>
  </w:style>
  <w:style w:type="paragraph" w:styleId="Point0letter" w:customStyle="1">
    <w:name w:val="Point 0 (letter)"/>
    <w:basedOn w:val="Normal"/>
    <w:rsid w:val="00E13CE3"/>
    <w:pPr>
      <w:numPr>
        <w:ilvl w:val="1"/>
        <w:numId w:val="53"/>
      </w:numPr>
      <w:spacing w:before="120" w:after="120"/>
      <w:jc w:val="both"/>
    </w:pPr>
    <w:rPr>
      <w:rFonts w:ascii="Times New Roman" w:hAnsi="Times New Roman" w:cs="Times New Roman" w:eastAsiaTheme="minorHAnsi"/>
      <w:sz w:val="24"/>
      <w:szCs w:val="22"/>
      <w:lang w:val="en-GB"/>
    </w:rPr>
  </w:style>
  <w:style w:type="paragraph" w:styleId="Point1letter" w:customStyle="1">
    <w:name w:val="Point 1 (letter)"/>
    <w:basedOn w:val="Normal"/>
    <w:rsid w:val="00E13CE3"/>
    <w:pPr>
      <w:numPr>
        <w:ilvl w:val="3"/>
        <w:numId w:val="53"/>
      </w:numPr>
      <w:spacing w:before="120" w:after="120"/>
      <w:jc w:val="both"/>
    </w:pPr>
    <w:rPr>
      <w:rFonts w:ascii="Times New Roman" w:hAnsi="Times New Roman" w:cs="Times New Roman" w:eastAsiaTheme="minorHAnsi"/>
      <w:sz w:val="24"/>
      <w:szCs w:val="22"/>
      <w:lang w:val="en-GB"/>
    </w:rPr>
  </w:style>
  <w:style w:type="paragraph" w:styleId="Point2letter" w:customStyle="1">
    <w:name w:val="Point 2 (letter)"/>
    <w:basedOn w:val="Normal"/>
    <w:rsid w:val="00E13CE3"/>
    <w:pPr>
      <w:numPr>
        <w:ilvl w:val="5"/>
        <w:numId w:val="53"/>
      </w:numPr>
      <w:spacing w:before="120" w:after="120"/>
      <w:jc w:val="both"/>
    </w:pPr>
    <w:rPr>
      <w:rFonts w:ascii="Times New Roman" w:hAnsi="Times New Roman" w:cs="Times New Roman" w:eastAsiaTheme="minorHAnsi"/>
      <w:sz w:val="24"/>
      <w:szCs w:val="22"/>
      <w:lang w:val="en-GB"/>
    </w:rPr>
  </w:style>
  <w:style w:type="paragraph" w:styleId="Point3letter" w:customStyle="1">
    <w:name w:val="Point 3 (letter)"/>
    <w:basedOn w:val="Normal"/>
    <w:rsid w:val="00E13CE3"/>
    <w:pPr>
      <w:numPr>
        <w:ilvl w:val="7"/>
        <w:numId w:val="53"/>
      </w:numPr>
      <w:spacing w:before="120" w:after="120"/>
      <w:jc w:val="both"/>
    </w:pPr>
    <w:rPr>
      <w:rFonts w:ascii="Times New Roman" w:hAnsi="Times New Roman" w:cs="Times New Roman" w:eastAsiaTheme="minorHAnsi"/>
      <w:sz w:val="24"/>
      <w:szCs w:val="22"/>
      <w:lang w:val="en-GB"/>
    </w:rPr>
  </w:style>
  <w:style w:type="paragraph" w:styleId="Point4letter" w:customStyle="1">
    <w:name w:val="Point 4 (letter)"/>
    <w:basedOn w:val="Normal"/>
    <w:rsid w:val="00E13CE3"/>
    <w:pPr>
      <w:numPr>
        <w:ilvl w:val="8"/>
        <w:numId w:val="53"/>
      </w:numPr>
      <w:spacing w:before="120" w:after="120"/>
      <w:jc w:val="both"/>
    </w:pPr>
    <w:rPr>
      <w:rFonts w:ascii="Times New Roman" w:hAnsi="Times New Roman" w:cs="Times New Roman" w:eastAsiaTheme="minorHAnsi"/>
      <w:sz w:val="24"/>
      <w:szCs w:val="22"/>
      <w:lang w:val="en-GB"/>
    </w:rPr>
  </w:style>
  <w:style w:type="paragraph" w:styleId="BodyText">
    <w:name w:val="Body Text"/>
    <w:basedOn w:val="Normal"/>
    <w:link w:val="BodyTextChar"/>
    <w:uiPriority w:val="1"/>
    <w:qFormat/>
    <w:rsid w:val="00E13CE3"/>
    <w:pPr>
      <w:widowControl w:val="0"/>
      <w:ind w:left="20"/>
    </w:pPr>
    <w:rPr>
      <w:rFonts w:ascii="Cambria" w:hAnsi="Cambria" w:eastAsia="Cambria"/>
      <w:sz w:val="19"/>
      <w:szCs w:val="19"/>
    </w:rPr>
  </w:style>
  <w:style w:type="character" w:styleId="BodyTextChar" w:customStyle="1">
    <w:name w:val="Body Text Char"/>
    <w:basedOn w:val="DefaultParagraphFont"/>
    <w:link w:val="BodyText"/>
    <w:uiPriority w:val="1"/>
    <w:rsid w:val="00E13CE3"/>
    <w:rPr>
      <w:rFonts w:ascii="Cambria" w:hAnsi="Cambria" w:eastAsia="Cambria"/>
      <w:sz w:val="19"/>
      <w:szCs w:val="19"/>
      <w:lang w:val="en-US"/>
    </w:rPr>
  </w:style>
  <w:style w:type="paragraph" w:styleId="TableParagraph" w:customStyle="1">
    <w:name w:val="Table Paragraph"/>
    <w:basedOn w:val="Normal"/>
    <w:uiPriority w:val="1"/>
    <w:qFormat/>
    <w:rsid w:val="00E13CE3"/>
    <w:pPr>
      <w:widowControl w:val="0"/>
    </w:pPr>
    <w:rPr>
      <w:rFonts w:eastAsiaTheme="minorHAnsi"/>
      <w:szCs w:val="22"/>
    </w:rPr>
  </w:style>
  <w:style w:type="paragraph" w:styleId="Instructionsberschrift2" w:customStyle="1">
    <w:name w:val="Instructions Überschrift 2"/>
    <w:basedOn w:val="Heading2"/>
    <w:link w:val="Instructionsberschrift2Char"/>
    <w:rsid w:val="00E13CE3"/>
    <w:pPr>
      <w:keepNext/>
      <w:pBdr>
        <w:bottom w:val="none" w:color="auto" w:sz="0" w:space="0"/>
      </w:pBdr>
      <w:spacing w:before="240" w:after="240" w:line="240" w:lineRule="auto"/>
      <w:jc w:val="both"/>
    </w:pPr>
    <w:rPr>
      <w:rFonts w:ascii="Verdana" w:hAnsi="Verdana" w:eastAsia="Times New Roman" w:cs="Arial"/>
      <w:color w:val="auto"/>
      <w:spacing w:val="0"/>
      <w:kern w:val="0"/>
      <w:sz w:val="20"/>
      <w:szCs w:val="24"/>
      <w:u w:val="single"/>
      <w:lang w:val="en-GB"/>
    </w:rPr>
  </w:style>
  <w:style w:type="paragraph" w:styleId="InstructionsText" w:customStyle="1">
    <w:name w:val="Instructions Text"/>
    <w:basedOn w:val="Normal"/>
    <w:link w:val="InstructionsTextChar"/>
    <w:autoRedefine/>
    <w:rsid w:val="0073582D"/>
    <w:pPr>
      <w:spacing w:before="108"/>
      <w:ind w:firstLine="221"/>
      <w:jc w:val="both"/>
    </w:pPr>
    <w:rPr>
      <w:rFonts w:eastAsia="Times New Roman" w:cs="Arial" w:asciiTheme="majorHAnsi" w:hAnsiTheme="majorHAnsi"/>
      <w:szCs w:val="22"/>
      <w:lang w:eastAsia="de-DE"/>
    </w:rPr>
  </w:style>
  <w:style w:type="character" w:styleId="InstructionsTextChar" w:customStyle="1">
    <w:name w:val="Instructions Text Char"/>
    <w:link w:val="InstructionsText"/>
    <w:locked/>
    <w:rsid w:val="0073582D"/>
    <w:rPr>
      <w:rFonts w:eastAsia="Times New Roman" w:cs="Arial" w:asciiTheme="majorHAnsi" w:hAnsiTheme="majorHAnsi"/>
      <w:lang w:val="en-US" w:eastAsia="de-DE"/>
    </w:rPr>
  </w:style>
  <w:style w:type="paragraph" w:styleId="InstructionsText2" w:customStyle="1">
    <w:name w:val="Instructions Text 2"/>
    <w:basedOn w:val="InstructionsText"/>
    <w:qFormat/>
    <w:rsid w:val="00E13CE3"/>
    <w:pPr>
      <w:numPr>
        <w:numId w:val="72"/>
      </w:numPr>
      <w:spacing w:after="240"/>
    </w:pPr>
  </w:style>
  <w:style w:type="character" w:styleId="Instructionsberschrift2Char" w:customStyle="1">
    <w:name w:val="Instructions Überschrift 2 Char"/>
    <w:link w:val="Instructionsberschrift2"/>
    <w:locked/>
    <w:rsid w:val="00E13CE3"/>
    <w:rPr>
      <w:rFonts w:ascii="Verdana" w:hAnsi="Verdana" w:eastAsia="Times New Roman" w:cs="Arial"/>
      <w:sz w:val="20"/>
      <w:szCs w:val="24"/>
      <w:u w:val="single"/>
    </w:rPr>
  </w:style>
  <w:style w:type="paragraph" w:styleId="NormalWeb">
    <w:name w:val="Normal (Web)"/>
    <w:basedOn w:val="Normal"/>
    <w:uiPriority w:val="99"/>
    <w:unhideWhenUsed/>
    <w:rsid w:val="0056559D"/>
    <w:pPr>
      <w:spacing w:before="100" w:beforeAutospacing="1" w:after="100" w:afterAutospacing="1"/>
    </w:pPr>
    <w:rPr>
      <w:rFonts w:ascii="Times New Roman" w:hAnsi="Times New Roman" w:cs="Times New Roman" w:eastAsiaTheme="minorHAnsi"/>
      <w:sz w:val="24"/>
      <w:lang w:val="en-GB" w:eastAsia="en-GB"/>
    </w:rPr>
  </w:style>
  <w:style w:type="paragraph" w:styleId="CM1" w:customStyle="1">
    <w:name w:val="CM1"/>
    <w:basedOn w:val="Default"/>
    <w:next w:val="Default"/>
    <w:uiPriority w:val="99"/>
    <w:rsid w:val="000F49C8"/>
    <w:rPr>
      <w:rFonts w:ascii="EUAlbertina" w:hAnsi="EUAlbertina" w:cstheme="minorBidi"/>
      <w:color w:val="auto"/>
    </w:rPr>
  </w:style>
  <w:style w:type="paragraph" w:styleId="CM3" w:customStyle="1">
    <w:name w:val="CM3"/>
    <w:basedOn w:val="Default"/>
    <w:next w:val="Default"/>
    <w:uiPriority w:val="99"/>
    <w:rsid w:val="000F49C8"/>
    <w:rPr>
      <w:rFonts w:ascii="EUAlbertina" w:hAnsi="EUAlbertina" w:cstheme="minorBidi"/>
      <w:color w:val="auto"/>
    </w:rPr>
  </w:style>
  <w:style w:type="paragraph" w:styleId="CM4" w:customStyle="1">
    <w:name w:val="CM4"/>
    <w:basedOn w:val="Default"/>
    <w:next w:val="Default"/>
    <w:uiPriority w:val="99"/>
    <w:rsid w:val="000F49C8"/>
    <w:rPr>
      <w:rFonts w:ascii="EUAlbertina" w:hAnsi="EUAlbertina" w:cstheme="minorBidi"/>
      <w:color w:val="auto"/>
    </w:rPr>
  </w:style>
  <w:style w:type="paragraph" w:styleId="Baseparagraphnumbered" w:customStyle="1">
    <w:name w:val="Base paragraph numbered"/>
    <w:basedOn w:val="Normal"/>
    <w:link w:val="BaseparagraphnumberedChar"/>
    <w:qFormat/>
    <w:rsid w:val="00C93D9F"/>
    <w:pPr>
      <w:numPr>
        <w:numId w:val="59"/>
      </w:numPr>
      <w:spacing w:after="240"/>
      <w:jc w:val="both"/>
    </w:pPr>
    <w:rPr>
      <w:rFonts w:ascii="Times New Roman" w:hAnsi="Times New Roman" w:eastAsia="Times New Roman" w:cs="Times New Roman"/>
      <w:sz w:val="24"/>
      <w:lang w:val="en-GB" w:eastAsia="en-GB"/>
    </w:rPr>
  </w:style>
  <w:style w:type="character" w:styleId="BaseparagraphnumberedChar" w:customStyle="1">
    <w:name w:val="Base paragraph numbered Char"/>
    <w:link w:val="Baseparagraphnumbered"/>
    <w:rsid w:val="00C93D9F"/>
    <w:rPr>
      <w:rFonts w:ascii="Times New Roman" w:hAnsi="Times New Roman" w:eastAsia="Times New Roman" w:cs="Times New Roman"/>
      <w:sz w:val="24"/>
      <w:szCs w:val="24"/>
      <w:lang w:eastAsia="en-GB"/>
    </w:rPr>
  </w:style>
  <w:style w:type="paragraph" w:styleId="Revision">
    <w:name w:val="Revision"/>
    <w:hidden/>
    <w:uiPriority w:val="99"/>
    <w:semiHidden/>
    <w:rsid w:val="00112240"/>
    <w:pPr>
      <w:spacing w:after="0" w:line="240" w:lineRule="auto"/>
    </w:pPr>
    <w:rPr>
      <w:rFonts w:eastAsiaTheme="minorEastAsia"/>
      <w:szCs w:val="24"/>
      <w:lang w:val="en-US"/>
    </w:rPr>
  </w:style>
  <w:style w:type="character" w:styleId="Emphasis">
    <w:name w:val="Emphasis"/>
    <w:basedOn w:val="DefaultParagraphFont"/>
    <w:uiPriority w:val="20"/>
    <w:qFormat/>
    <w:rsid w:val="001E7389"/>
    <w:rPr>
      <w:i/>
      <w:iCs/>
    </w:rPr>
  </w:style>
  <w:style w:type="character" w:styleId="InstructionsTabelleberschrift" w:customStyle="1">
    <w:name w:val="Instructions Tabelle Überschrift"/>
    <w:qFormat/>
    <w:rsid w:val="00517EFA"/>
    <w:rPr>
      <w:rFonts w:ascii="Verdana" w:hAnsi="Verdana" w:cs="Times New Roman"/>
      <w:b/>
      <w:bCs/>
      <w:sz w:val="20"/>
      <w:u w:val="single"/>
    </w:rPr>
  </w:style>
  <w:style w:type="paragraph" w:styleId="Instructionsberschrift3" w:customStyle="1">
    <w:name w:val="Instructions Überschrift 3"/>
    <w:basedOn w:val="Numberedtitlelevel3"/>
    <w:rsid w:val="00EC261B"/>
    <w:pPr>
      <w:numPr>
        <w:ilvl w:val="2"/>
        <w:numId w:val="260"/>
      </w:numPr>
    </w:pPr>
    <w:rPr>
      <w:rFonts w:ascii="Times New Roman" w:hAnsi="Times New Roman" w:cs="Times New Roman"/>
      <w:b w:val="0"/>
      <w:color w:val="000000" w:themeColor="text1"/>
      <w:sz w:val="20"/>
      <w:szCs w:val="20"/>
      <w:u w:val="single"/>
    </w:rPr>
  </w:style>
  <w:style w:type="table" w:styleId="TableGrid0" w:customStyle="1">
    <w:name w:val="Table Grid0"/>
    <w:rsid w:val="00052A3B"/>
    <w:pPr>
      <w:spacing w:after="0" w:line="240" w:lineRule="auto"/>
    </w:pPr>
    <w:rPr>
      <w:rFonts w:eastAsiaTheme="minorEastAsia"/>
      <w:lang w:val="pt-PT" w:eastAsia="pt-PT"/>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54FA1"/>
    <w:rPr>
      <w:color w:val="800080" w:themeColor="followedHyperlink"/>
      <w:u w:val="single"/>
    </w:rPr>
  </w:style>
  <w:style w:type="paragraph" w:styleId="ql-indent-1" w:customStyle="1">
    <w:name w:val="ql-indent-1"/>
    <w:basedOn w:val="Normal"/>
    <w:rsid w:val="00297F81"/>
    <w:pPr>
      <w:spacing w:before="100" w:beforeAutospacing="1" w:after="100" w:afterAutospacing="1"/>
    </w:pPr>
    <w:rPr>
      <w:rFonts w:ascii="Times New Roman" w:hAnsi="Times New Roman" w:eastAsia="Times New Roman" w:cs="Times New Roman"/>
      <w:sz w:val="24"/>
      <w:lang w:val="pt-PT" w:eastAsia="pt-PT"/>
    </w:rPr>
  </w:style>
  <w:style w:type="paragraph" w:styleId="ql-indent-3" w:customStyle="1">
    <w:name w:val="ql-indent-3"/>
    <w:basedOn w:val="Normal"/>
    <w:rsid w:val="00297F81"/>
    <w:pPr>
      <w:spacing w:before="100" w:beforeAutospacing="1" w:after="100" w:afterAutospacing="1"/>
    </w:pPr>
    <w:rPr>
      <w:rFonts w:ascii="Times New Roman" w:hAnsi="Times New Roman" w:eastAsia="Times New Roman" w:cs="Times New Roman"/>
      <w:sz w:val="24"/>
      <w:lang w:val="pt-PT" w:eastAsia="pt-PT"/>
    </w:rPr>
  </w:style>
  <w:style w:type="paragraph" w:styleId="norm" w:customStyle="1">
    <w:name w:val="norm"/>
    <w:basedOn w:val="Normal"/>
    <w:rsid w:val="000861BF"/>
    <w:pPr>
      <w:spacing w:before="100" w:beforeAutospacing="1" w:after="100" w:afterAutospacing="1"/>
    </w:pPr>
    <w:rPr>
      <w:rFonts w:ascii="Times New Roman" w:hAnsi="Times New Roman" w:eastAsia="Times New Roman" w:cs="Times New Roman"/>
      <w:sz w:val="24"/>
      <w:lang w:val="en-GB" w:eastAsia="en-GB"/>
    </w:rPr>
  </w:style>
  <w:style w:type="table" w:styleId="TableGrid1" w:customStyle="1">
    <w:name w:val="Table Grid1"/>
    <w:basedOn w:val="TableNormal"/>
    <w:next w:val="TableGrid"/>
    <w:uiPriority w:val="59"/>
    <w:rsid w:val="0094146E"/>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dnoteTextChar" w:customStyle="1">
    <w:name w:val="Endnote Text Char"/>
    <w:basedOn w:val="DefaultParagraphFont"/>
    <w:link w:val="EndnoteText"/>
    <w:uiPriority w:val="99"/>
    <w:semiHidden/>
    <w:rsid w:val="0094146E"/>
    <w:rPr>
      <w:sz w:val="20"/>
      <w:szCs w:val="20"/>
    </w:rPr>
  </w:style>
  <w:style w:type="paragraph" w:styleId="EndnoteText">
    <w:name w:val="endnote text"/>
    <w:basedOn w:val="Normal"/>
    <w:link w:val="EndnoteTextChar"/>
    <w:uiPriority w:val="99"/>
    <w:semiHidden/>
    <w:unhideWhenUsed/>
    <w:rsid w:val="0094146E"/>
    <w:rPr>
      <w:rFonts w:eastAsiaTheme="minorHAnsi"/>
      <w:sz w:val="20"/>
      <w:szCs w:val="20"/>
      <w:lang w:val="en-GB"/>
    </w:rPr>
  </w:style>
  <w:style w:type="character" w:styleId="EndnoteTextChar1" w:customStyle="1">
    <w:name w:val="Endnote Text Char1"/>
    <w:basedOn w:val="DefaultParagraphFont"/>
    <w:uiPriority w:val="99"/>
    <w:semiHidden/>
    <w:rsid w:val="0094146E"/>
    <w:rPr>
      <w:rFonts w:eastAsiaTheme="minorEastAsia"/>
      <w:sz w:val="20"/>
      <w:szCs w:val="20"/>
      <w:lang w:val="en-US"/>
    </w:rPr>
  </w:style>
  <w:style w:type="table" w:styleId="TableGrid11" w:customStyle="1">
    <w:name w:val="Table Grid11"/>
    <w:basedOn w:val="TableNormal"/>
    <w:next w:val="TableGrid"/>
    <w:uiPriority w:val="59"/>
    <w:rsid w:val="003433C6"/>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55292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6E08AE"/>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2988">
      <w:bodyDiv w:val="1"/>
      <w:marLeft w:val="0"/>
      <w:marRight w:val="0"/>
      <w:marTop w:val="0"/>
      <w:marBottom w:val="0"/>
      <w:divBdr>
        <w:top w:val="none" w:sz="0" w:space="0" w:color="auto"/>
        <w:left w:val="none" w:sz="0" w:space="0" w:color="auto"/>
        <w:bottom w:val="none" w:sz="0" w:space="0" w:color="auto"/>
        <w:right w:val="none" w:sz="0" w:space="0" w:color="auto"/>
      </w:divBdr>
    </w:div>
    <w:div w:id="124078880">
      <w:bodyDiv w:val="1"/>
      <w:marLeft w:val="0"/>
      <w:marRight w:val="0"/>
      <w:marTop w:val="0"/>
      <w:marBottom w:val="0"/>
      <w:divBdr>
        <w:top w:val="none" w:sz="0" w:space="0" w:color="auto"/>
        <w:left w:val="none" w:sz="0" w:space="0" w:color="auto"/>
        <w:bottom w:val="none" w:sz="0" w:space="0" w:color="auto"/>
        <w:right w:val="none" w:sz="0" w:space="0" w:color="auto"/>
      </w:divBdr>
    </w:div>
    <w:div w:id="195777798">
      <w:bodyDiv w:val="1"/>
      <w:marLeft w:val="0"/>
      <w:marRight w:val="0"/>
      <w:marTop w:val="0"/>
      <w:marBottom w:val="0"/>
      <w:divBdr>
        <w:top w:val="none" w:sz="0" w:space="0" w:color="auto"/>
        <w:left w:val="none" w:sz="0" w:space="0" w:color="auto"/>
        <w:bottom w:val="none" w:sz="0" w:space="0" w:color="auto"/>
        <w:right w:val="none" w:sz="0" w:space="0" w:color="auto"/>
      </w:divBdr>
      <w:divsChild>
        <w:div w:id="2133983776">
          <w:marLeft w:val="0"/>
          <w:marRight w:val="0"/>
          <w:marTop w:val="120"/>
          <w:marBottom w:val="0"/>
          <w:divBdr>
            <w:top w:val="none" w:sz="0" w:space="0" w:color="auto"/>
            <w:left w:val="none" w:sz="0" w:space="0" w:color="auto"/>
            <w:bottom w:val="none" w:sz="0" w:space="0" w:color="auto"/>
            <w:right w:val="none" w:sz="0" w:space="0" w:color="auto"/>
          </w:divBdr>
        </w:div>
        <w:div w:id="233244626">
          <w:marLeft w:val="0"/>
          <w:marRight w:val="0"/>
          <w:marTop w:val="0"/>
          <w:marBottom w:val="0"/>
          <w:divBdr>
            <w:top w:val="none" w:sz="0" w:space="0" w:color="auto"/>
            <w:left w:val="none" w:sz="0" w:space="0" w:color="auto"/>
            <w:bottom w:val="none" w:sz="0" w:space="0" w:color="auto"/>
            <w:right w:val="none" w:sz="0" w:space="0" w:color="auto"/>
          </w:divBdr>
        </w:div>
      </w:divsChild>
    </w:div>
    <w:div w:id="236551278">
      <w:bodyDiv w:val="1"/>
      <w:marLeft w:val="0"/>
      <w:marRight w:val="0"/>
      <w:marTop w:val="0"/>
      <w:marBottom w:val="0"/>
      <w:divBdr>
        <w:top w:val="none" w:sz="0" w:space="0" w:color="auto"/>
        <w:left w:val="none" w:sz="0" w:space="0" w:color="auto"/>
        <w:bottom w:val="none" w:sz="0" w:space="0" w:color="auto"/>
        <w:right w:val="none" w:sz="0" w:space="0" w:color="auto"/>
      </w:divBdr>
    </w:div>
    <w:div w:id="260647293">
      <w:bodyDiv w:val="1"/>
      <w:marLeft w:val="0"/>
      <w:marRight w:val="0"/>
      <w:marTop w:val="0"/>
      <w:marBottom w:val="0"/>
      <w:divBdr>
        <w:top w:val="none" w:sz="0" w:space="0" w:color="auto"/>
        <w:left w:val="none" w:sz="0" w:space="0" w:color="auto"/>
        <w:bottom w:val="none" w:sz="0" w:space="0" w:color="auto"/>
        <w:right w:val="none" w:sz="0" w:space="0" w:color="auto"/>
      </w:divBdr>
    </w:div>
    <w:div w:id="695078397">
      <w:bodyDiv w:val="1"/>
      <w:marLeft w:val="0"/>
      <w:marRight w:val="0"/>
      <w:marTop w:val="0"/>
      <w:marBottom w:val="0"/>
      <w:divBdr>
        <w:top w:val="none" w:sz="0" w:space="0" w:color="auto"/>
        <w:left w:val="none" w:sz="0" w:space="0" w:color="auto"/>
        <w:bottom w:val="none" w:sz="0" w:space="0" w:color="auto"/>
        <w:right w:val="none" w:sz="0" w:space="0" w:color="auto"/>
      </w:divBdr>
    </w:div>
    <w:div w:id="773789282">
      <w:bodyDiv w:val="1"/>
      <w:marLeft w:val="0"/>
      <w:marRight w:val="0"/>
      <w:marTop w:val="0"/>
      <w:marBottom w:val="0"/>
      <w:divBdr>
        <w:top w:val="none" w:sz="0" w:space="0" w:color="auto"/>
        <w:left w:val="none" w:sz="0" w:space="0" w:color="auto"/>
        <w:bottom w:val="none" w:sz="0" w:space="0" w:color="auto"/>
        <w:right w:val="none" w:sz="0" w:space="0" w:color="auto"/>
      </w:divBdr>
    </w:div>
    <w:div w:id="809515557">
      <w:bodyDiv w:val="1"/>
      <w:marLeft w:val="0"/>
      <w:marRight w:val="0"/>
      <w:marTop w:val="0"/>
      <w:marBottom w:val="0"/>
      <w:divBdr>
        <w:top w:val="none" w:sz="0" w:space="0" w:color="auto"/>
        <w:left w:val="none" w:sz="0" w:space="0" w:color="auto"/>
        <w:bottom w:val="none" w:sz="0" w:space="0" w:color="auto"/>
        <w:right w:val="none" w:sz="0" w:space="0" w:color="auto"/>
      </w:divBdr>
    </w:div>
    <w:div w:id="824517146">
      <w:bodyDiv w:val="1"/>
      <w:marLeft w:val="0"/>
      <w:marRight w:val="0"/>
      <w:marTop w:val="0"/>
      <w:marBottom w:val="0"/>
      <w:divBdr>
        <w:top w:val="none" w:sz="0" w:space="0" w:color="auto"/>
        <w:left w:val="none" w:sz="0" w:space="0" w:color="auto"/>
        <w:bottom w:val="none" w:sz="0" w:space="0" w:color="auto"/>
        <w:right w:val="none" w:sz="0" w:space="0" w:color="auto"/>
      </w:divBdr>
    </w:div>
    <w:div w:id="827524307">
      <w:bodyDiv w:val="1"/>
      <w:marLeft w:val="0"/>
      <w:marRight w:val="0"/>
      <w:marTop w:val="0"/>
      <w:marBottom w:val="0"/>
      <w:divBdr>
        <w:top w:val="none" w:sz="0" w:space="0" w:color="auto"/>
        <w:left w:val="none" w:sz="0" w:space="0" w:color="auto"/>
        <w:bottom w:val="none" w:sz="0" w:space="0" w:color="auto"/>
        <w:right w:val="none" w:sz="0" w:space="0" w:color="auto"/>
      </w:divBdr>
    </w:div>
    <w:div w:id="847601636">
      <w:bodyDiv w:val="1"/>
      <w:marLeft w:val="0"/>
      <w:marRight w:val="0"/>
      <w:marTop w:val="0"/>
      <w:marBottom w:val="0"/>
      <w:divBdr>
        <w:top w:val="none" w:sz="0" w:space="0" w:color="auto"/>
        <w:left w:val="none" w:sz="0" w:space="0" w:color="auto"/>
        <w:bottom w:val="none" w:sz="0" w:space="0" w:color="auto"/>
        <w:right w:val="none" w:sz="0" w:space="0" w:color="auto"/>
      </w:divBdr>
    </w:div>
    <w:div w:id="866332713">
      <w:bodyDiv w:val="1"/>
      <w:marLeft w:val="0"/>
      <w:marRight w:val="0"/>
      <w:marTop w:val="0"/>
      <w:marBottom w:val="0"/>
      <w:divBdr>
        <w:top w:val="none" w:sz="0" w:space="0" w:color="auto"/>
        <w:left w:val="none" w:sz="0" w:space="0" w:color="auto"/>
        <w:bottom w:val="none" w:sz="0" w:space="0" w:color="auto"/>
        <w:right w:val="none" w:sz="0" w:space="0" w:color="auto"/>
      </w:divBdr>
    </w:div>
    <w:div w:id="938098268">
      <w:bodyDiv w:val="1"/>
      <w:marLeft w:val="0"/>
      <w:marRight w:val="0"/>
      <w:marTop w:val="0"/>
      <w:marBottom w:val="0"/>
      <w:divBdr>
        <w:top w:val="none" w:sz="0" w:space="0" w:color="auto"/>
        <w:left w:val="none" w:sz="0" w:space="0" w:color="auto"/>
        <w:bottom w:val="none" w:sz="0" w:space="0" w:color="auto"/>
        <w:right w:val="none" w:sz="0" w:space="0" w:color="auto"/>
      </w:divBdr>
    </w:div>
    <w:div w:id="1159618785">
      <w:bodyDiv w:val="1"/>
      <w:marLeft w:val="0"/>
      <w:marRight w:val="0"/>
      <w:marTop w:val="0"/>
      <w:marBottom w:val="0"/>
      <w:divBdr>
        <w:top w:val="none" w:sz="0" w:space="0" w:color="auto"/>
        <w:left w:val="none" w:sz="0" w:space="0" w:color="auto"/>
        <w:bottom w:val="none" w:sz="0" w:space="0" w:color="auto"/>
        <w:right w:val="none" w:sz="0" w:space="0" w:color="auto"/>
      </w:divBdr>
    </w:div>
    <w:div w:id="1175147099">
      <w:bodyDiv w:val="1"/>
      <w:marLeft w:val="0"/>
      <w:marRight w:val="0"/>
      <w:marTop w:val="0"/>
      <w:marBottom w:val="0"/>
      <w:divBdr>
        <w:top w:val="none" w:sz="0" w:space="0" w:color="auto"/>
        <w:left w:val="none" w:sz="0" w:space="0" w:color="auto"/>
        <w:bottom w:val="none" w:sz="0" w:space="0" w:color="auto"/>
        <w:right w:val="none" w:sz="0" w:space="0" w:color="auto"/>
      </w:divBdr>
    </w:div>
    <w:div w:id="1287001860">
      <w:bodyDiv w:val="1"/>
      <w:marLeft w:val="0"/>
      <w:marRight w:val="0"/>
      <w:marTop w:val="0"/>
      <w:marBottom w:val="0"/>
      <w:divBdr>
        <w:top w:val="none" w:sz="0" w:space="0" w:color="auto"/>
        <w:left w:val="none" w:sz="0" w:space="0" w:color="auto"/>
        <w:bottom w:val="none" w:sz="0" w:space="0" w:color="auto"/>
        <w:right w:val="none" w:sz="0" w:space="0" w:color="auto"/>
      </w:divBdr>
    </w:div>
    <w:div w:id="1302812721">
      <w:bodyDiv w:val="1"/>
      <w:marLeft w:val="0"/>
      <w:marRight w:val="0"/>
      <w:marTop w:val="0"/>
      <w:marBottom w:val="0"/>
      <w:divBdr>
        <w:top w:val="none" w:sz="0" w:space="0" w:color="auto"/>
        <w:left w:val="none" w:sz="0" w:space="0" w:color="auto"/>
        <w:bottom w:val="none" w:sz="0" w:space="0" w:color="auto"/>
        <w:right w:val="none" w:sz="0" w:space="0" w:color="auto"/>
      </w:divBdr>
    </w:div>
    <w:div w:id="1540239448">
      <w:bodyDiv w:val="1"/>
      <w:marLeft w:val="0"/>
      <w:marRight w:val="0"/>
      <w:marTop w:val="0"/>
      <w:marBottom w:val="0"/>
      <w:divBdr>
        <w:top w:val="none" w:sz="0" w:space="0" w:color="auto"/>
        <w:left w:val="none" w:sz="0" w:space="0" w:color="auto"/>
        <w:bottom w:val="none" w:sz="0" w:space="0" w:color="auto"/>
        <w:right w:val="none" w:sz="0" w:space="0" w:color="auto"/>
      </w:divBdr>
    </w:div>
    <w:div w:id="1589803825">
      <w:bodyDiv w:val="1"/>
      <w:marLeft w:val="0"/>
      <w:marRight w:val="0"/>
      <w:marTop w:val="0"/>
      <w:marBottom w:val="0"/>
      <w:divBdr>
        <w:top w:val="none" w:sz="0" w:space="0" w:color="auto"/>
        <w:left w:val="none" w:sz="0" w:space="0" w:color="auto"/>
        <w:bottom w:val="none" w:sz="0" w:space="0" w:color="auto"/>
        <w:right w:val="none" w:sz="0" w:space="0" w:color="auto"/>
      </w:divBdr>
    </w:div>
    <w:div w:id="1656642731">
      <w:bodyDiv w:val="1"/>
      <w:marLeft w:val="0"/>
      <w:marRight w:val="0"/>
      <w:marTop w:val="0"/>
      <w:marBottom w:val="0"/>
      <w:divBdr>
        <w:top w:val="none" w:sz="0" w:space="0" w:color="auto"/>
        <w:left w:val="none" w:sz="0" w:space="0" w:color="auto"/>
        <w:bottom w:val="none" w:sz="0" w:space="0" w:color="auto"/>
        <w:right w:val="none" w:sz="0" w:space="0" w:color="auto"/>
      </w:divBdr>
    </w:div>
    <w:div w:id="1722945214">
      <w:bodyDiv w:val="1"/>
      <w:marLeft w:val="0"/>
      <w:marRight w:val="0"/>
      <w:marTop w:val="0"/>
      <w:marBottom w:val="0"/>
      <w:divBdr>
        <w:top w:val="none" w:sz="0" w:space="0" w:color="auto"/>
        <w:left w:val="none" w:sz="0" w:space="0" w:color="auto"/>
        <w:bottom w:val="none" w:sz="0" w:space="0" w:color="auto"/>
        <w:right w:val="none" w:sz="0" w:space="0" w:color="auto"/>
      </w:divBdr>
    </w:div>
    <w:div w:id="1831828968">
      <w:bodyDiv w:val="1"/>
      <w:marLeft w:val="0"/>
      <w:marRight w:val="0"/>
      <w:marTop w:val="0"/>
      <w:marBottom w:val="0"/>
      <w:divBdr>
        <w:top w:val="none" w:sz="0" w:space="0" w:color="auto"/>
        <w:left w:val="none" w:sz="0" w:space="0" w:color="auto"/>
        <w:bottom w:val="none" w:sz="0" w:space="0" w:color="auto"/>
        <w:right w:val="none" w:sz="0" w:space="0" w:color="auto"/>
      </w:divBdr>
    </w:div>
    <w:div w:id="1933272222">
      <w:bodyDiv w:val="1"/>
      <w:marLeft w:val="0"/>
      <w:marRight w:val="0"/>
      <w:marTop w:val="0"/>
      <w:marBottom w:val="0"/>
      <w:divBdr>
        <w:top w:val="none" w:sz="0" w:space="0" w:color="auto"/>
        <w:left w:val="none" w:sz="0" w:space="0" w:color="auto"/>
        <w:bottom w:val="none" w:sz="0" w:space="0" w:color="auto"/>
        <w:right w:val="none" w:sz="0" w:space="0" w:color="auto"/>
      </w:divBdr>
    </w:div>
    <w:div w:id="2000233818">
      <w:bodyDiv w:val="1"/>
      <w:marLeft w:val="0"/>
      <w:marRight w:val="0"/>
      <w:marTop w:val="0"/>
      <w:marBottom w:val="0"/>
      <w:divBdr>
        <w:top w:val="none" w:sz="0" w:space="0" w:color="auto"/>
        <w:left w:val="none" w:sz="0" w:space="0" w:color="auto"/>
        <w:bottom w:val="none" w:sz="0" w:space="0" w:color="auto"/>
        <w:right w:val="none" w:sz="0" w:space="0" w:color="auto"/>
      </w:divBdr>
    </w:div>
    <w:div w:id="2020546108">
      <w:bodyDiv w:val="1"/>
      <w:marLeft w:val="0"/>
      <w:marRight w:val="0"/>
      <w:marTop w:val="0"/>
      <w:marBottom w:val="0"/>
      <w:divBdr>
        <w:top w:val="none" w:sz="0" w:space="0" w:color="auto"/>
        <w:left w:val="none" w:sz="0" w:space="0" w:color="auto"/>
        <w:bottom w:val="none" w:sz="0" w:space="0" w:color="auto"/>
        <w:right w:val="none" w:sz="0" w:space="0" w:color="auto"/>
      </w:divBdr>
    </w:div>
    <w:div w:id="21332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1"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www.leiroc.or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4"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3" TargetMode="External" Id="rId1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2"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B2671E3DAA274C89DACECC5CECCBB8" ma:contentTypeVersion="12" ma:contentTypeDescription="Create a new document." ma:contentTypeScope="" ma:versionID="070dc083818780dc567d45c6955e1e67">
  <xsd:schema xmlns:xsd="http://www.w3.org/2001/XMLSchema" xmlns:xs="http://www.w3.org/2001/XMLSchema" xmlns:p="http://schemas.microsoft.com/office/2006/metadata/properties" xmlns:ns2="fa427300-7f5d-452c-b5c3-f39f7814d426" xmlns:ns3="6cb8331c-4f20-4b36-9838-191c4ac52f93" targetNamespace="http://schemas.microsoft.com/office/2006/metadata/properties" ma:root="true" ma:fieldsID="dfa59396d8adf247419ec6c72ae98b68" ns2:_="" ns3:_="">
    <xsd:import namespace="fa427300-7f5d-452c-b5c3-f39f7814d426"/>
    <xsd:import namespace="6cb8331c-4f20-4b36-9838-191c4ac52f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27300-7f5d-452c-b5c3-f39f7814d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8331c-4f20-4b36-9838-191c4ac52f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264F5F7DD3D943AEAD2053CB568A9A" ma:contentTypeVersion="9" ma:contentTypeDescription="Create a new document." ma:contentTypeScope="" ma:versionID="bdb84c6cc155fc62e6555db97b844fbf">
  <xsd:schema xmlns:xsd="http://www.w3.org/2001/XMLSchema" xmlns:xs="http://www.w3.org/2001/XMLSchema" xmlns:p="http://schemas.microsoft.com/office/2006/metadata/properties" xmlns:ns2="b21d866f-c143-400b-a3ea-0ee2043de8f8" targetNamespace="http://schemas.microsoft.com/office/2006/metadata/properties" ma:root="true" ma:fieldsID="d2b120f89b4adf8b0812ef8db08ad531" ns2:_="">
    <xsd:import namespace="b21d866f-c143-400b-a3ea-0ee2043de8f8"/>
    <xsd:element name="properties">
      <xsd:complexType>
        <xsd:sequence>
          <xsd:element name="documentManagement">
            <xsd:complexType>
              <xsd:all>
                <xsd:element ref="ns2:TaxCatchAll" minOccurs="0"/>
                <xsd:element ref="ns2:SRBDataClassification"/>
                <xsd:element ref="ns2:SharedWithUsers" minOccurs="0"/>
                <xsd:element ref="ns2:_dlc_DocId" minOccurs="0"/>
                <xsd:element ref="ns2:_dlc_DocIdUrl" minOccurs="0"/>
                <xsd:element ref="ns2:_dlc_DocIdPersist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866f-c143-400b-a3ea-0ee2043de8f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a5994f2-5d39-495c-b687-717d87e36ac5}" ma:internalName="TaxCatchAll" ma:showField="CatchAllData" ma:web="b21d866f-c143-400b-a3ea-0ee2043de8f8">
      <xsd:complexType>
        <xsd:complexContent>
          <xsd:extension base="dms:MultiChoiceLookup">
            <xsd:sequence>
              <xsd:element name="Value" type="dms:Lookup" maxOccurs="unbounded" minOccurs="0" nillable="true"/>
            </xsd:sequence>
          </xsd:extension>
        </xsd:complexContent>
      </xsd:complexType>
    </xsd:element>
    <xsd:element name="SRBDataClassification" ma:index="9" ma:displayName="Data Classification" ma:default="" ma:internalName="SRBDataClassification" ma:readOnly="false">
      <xsd:simpleType>
        <xsd:restriction base="dms:Choice">
          <xsd:enumeration value="SRB-BLUE"/>
          <xsd:enumeration value="SRB-GREEN"/>
          <xsd:enumeration value="SRB-ORANGE"/>
          <xsd:enumeration value="SRB-RED"/>
          <xsd:enumeration value="SRB-YELLOW"/>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D94E3-D2E2-4C29-BE1B-0CB7BAC142C0}">
  <ds:schemaRefs>
    <ds:schemaRef ds:uri="http://schemas.openxmlformats.org/officeDocument/2006/bibliography"/>
  </ds:schemaRefs>
</ds:datastoreItem>
</file>

<file path=customXml/itemProps2.xml><?xml version="1.0" encoding="utf-8"?>
<ds:datastoreItem xmlns:ds="http://schemas.openxmlformats.org/officeDocument/2006/customXml" ds:itemID="{836E4D06-7E6F-4EB2-BC35-3AAC6ADB7784}"/>
</file>

<file path=customXml/itemProps3.xml><?xml version="1.0" encoding="utf-8"?>
<ds:datastoreItem xmlns:ds="http://schemas.openxmlformats.org/officeDocument/2006/customXml" ds:itemID="{6EC53495-2AAF-4864-9657-EF708C1A4EA3}">
  <ds:schemaRefs>
    <ds:schemaRef ds:uri="http://schemas.microsoft.com/sharepoint/v3/contenttype/forms"/>
  </ds:schemaRefs>
</ds:datastoreItem>
</file>

<file path=customXml/itemProps4.xml><?xml version="1.0" encoding="utf-8"?>
<ds:datastoreItem xmlns:ds="http://schemas.openxmlformats.org/officeDocument/2006/customXml" ds:itemID="{F018EF0B-2BAD-4B12-9190-3D3A50D9EE3D}">
  <ds:schemaRefs>
    <ds:schemaRef ds:uri="http://purl.org/dc/terms/"/>
    <ds:schemaRef ds:uri="http://purl.org/dc/dcmitype/"/>
    <ds:schemaRef ds:uri="http://purl.org/dc/elements/1.1/"/>
    <ds:schemaRef ds:uri="http://schemas.microsoft.com/office/2006/metadata/properties"/>
    <ds:schemaRef ds:uri="b21d866f-c143-400b-a3ea-0ee2043de8f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488BC07F-9797-4219-9F9D-A36732475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866f-c143-400b-a3ea-0ee2043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7eb9de-735b-4a68-8fe4-c9c62709b012}" enabled="1" method="Standard" siteId="{3bacb4ff-f1a2-4c92-b96c-e99fec826b6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2</cp:revision>
  <dcterms:created xsi:type="dcterms:W3CDTF">2024-07-24T14:49:00Z</dcterms:created>
  <dcterms:modified xsi:type="dcterms:W3CDTF">2024-07-25T06:19:02Z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0x01010039B2671E3DAA274C89DACECC5CECCBB8</vt:lpwstr>
  </property>
  <property fmtid="{D5CDD505-2E9C-101B-9397-08002B2CF9AE}" pid="3" name="_dlc_DocIdItemGuid">
    <vt:lpwstr>b8aea7e5-d4b7-4661-8f93-3ad449350f05</vt:lpwstr>
  </property>
  <property fmtid="{D5CDD505-2E9C-101B-9397-08002B2CF9AE}" pid="4" name="f197afdb08d545b88364d84d5f12dbd8">
    <vt:lpwstr>11.01.005.050.010 Resolution Projects - LDT 1|39dd8d8f-bc69-4518-b38b-aa8718ae2236</vt:lpwstr>
  </property>
  <property fmtid="{D5CDD505-2E9C-101B-9397-08002B2CF9AE}" pid="5" name="SRBFilePlan">
    <vt:lpwstr>4;#11.01.005.050.010 Resolution Projects - LDT 1|39dd8d8f-bc69-4518-b38b-aa8718ae2236</vt:lpwstr>
  </property>
</Properties>
</file>