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”BILAGA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Anvisningar</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60C6C7EA" w14:textId="00C2DB85" w:rsidR="00BA7748"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003299" w:history="1">
        <w:r w:rsidR="00BA7748" w:rsidRPr="00074F64">
          <w:rPr>
            <w:rStyle w:val="Hyperlink"/>
            <w:rFonts w:ascii="Times New Roman" w:hAnsi="Times New Roman" w:cs="Times New Roman"/>
          </w:rPr>
          <w:t>I.</w:t>
        </w:r>
        <w:r w:rsidR="00BA7748">
          <w:rPr>
            <w:lang w:val="en-US"/>
          </w:rPr>
          <w:tab/>
        </w:r>
        <w:r w:rsidR="00BA7748" w:rsidRPr="00074F64">
          <w:rPr>
            <w:rStyle w:val="Hyperlink"/>
            <w:rFonts w:ascii="Times New Roman" w:hAnsi="Times New Roman"/>
          </w:rPr>
          <w:t>Allmänna anvisningar</w:t>
        </w:r>
        <w:r w:rsidR="00BA7748">
          <w:rPr>
            <w:webHidden/>
          </w:rPr>
          <w:tab/>
        </w:r>
        <w:r w:rsidR="00BA7748">
          <w:rPr>
            <w:webHidden/>
          </w:rPr>
          <w:fldChar w:fldCharType="begin"/>
        </w:r>
        <w:r w:rsidR="00BA7748">
          <w:rPr>
            <w:webHidden/>
          </w:rPr>
          <w:instrText xml:space="preserve"> PAGEREF _Toc96003299 \h </w:instrText>
        </w:r>
        <w:r w:rsidR="00BA7748">
          <w:rPr>
            <w:webHidden/>
          </w:rPr>
        </w:r>
        <w:r w:rsidR="00BA7748">
          <w:rPr>
            <w:webHidden/>
          </w:rPr>
          <w:fldChar w:fldCharType="separate"/>
        </w:r>
        <w:r w:rsidR="00BA7748">
          <w:rPr>
            <w:webHidden/>
          </w:rPr>
          <w:t>2</w:t>
        </w:r>
        <w:r w:rsidR="00BA7748">
          <w:rPr>
            <w:webHidden/>
          </w:rPr>
          <w:fldChar w:fldCharType="end"/>
        </w:r>
      </w:hyperlink>
    </w:p>
    <w:p w14:paraId="44F03459" w14:textId="23225049" w:rsidR="00BA7748" w:rsidRDefault="00C07F25">
      <w:pPr>
        <w:pStyle w:val="TOC2"/>
        <w:rPr>
          <w:lang w:val="en-US"/>
        </w:rPr>
      </w:pPr>
      <w:hyperlink w:anchor="_Toc96003300" w:history="1">
        <w:r w:rsidR="00BA7748" w:rsidRPr="00074F64">
          <w:rPr>
            <w:rStyle w:val="Hyperlink"/>
            <w:rFonts w:ascii="Times New Roman" w:hAnsi="Times New Roman" w:cs="Times New Roman"/>
          </w:rPr>
          <w:t>I.1</w:t>
        </w:r>
        <w:r w:rsidR="00BA7748">
          <w:rPr>
            <w:lang w:val="en-US"/>
          </w:rPr>
          <w:tab/>
        </w:r>
        <w:r w:rsidR="00BA7748" w:rsidRPr="00074F64">
          <w:rPr>
            <w:rStyle w:val="Hyperlink"/>
            <w:rFonts w:ascii="Times New Roman" w:hAnsi="Times New Roman"/>
          </w:rPr>
          <w:t>Struktur</w:t>
        </w:r>
        <w:r w:rsidR="00BA7748">
          <w:rPr>
            <w:webHidden/>
          </w:rPr>
          <w:tab/>
        </w:r>
        <w:r w:rsidR="00BA7748">
          <w:rPr>
            <w:webHidden/>
          </w:rPr>
          <w:fldChar w:fldCharType="begin"/>
        </w:r>
        <w:r w:rsidR="00BA7748">
          <w:rPr>
            <w:webHidden/>
          </w:rPr>
          <w:instrText xml:space="preserve"> PAGEREF _Toc96003300 \h </w:instrText>
        </w:r>
        <w:r w:rsidR="00BA7748">
          <w:rPr>
            <w:webHidden/>
          </w:rPr>
        </w:r>
        <w:r w:rsidR="00BA7748">
          <w:rPr>
            <w:webHidden/>
          </w:rPr>
          <w:fldChar w:fldCharType="separate"/>
        </w:r>
        <w:r w:rsidR="00BA7748">
          <w:rPr>
            <w:webHidden/>
          </w:rPr>
          <w:t>2</w:t>
        </w:r>
        <w:r w:rsidR="00BA7748">
          <w:rPr>
            <w:webHidden/>
          </w:rPr>
          <w:fldChar w:fldCharType="end"/>
        </w:r>
      </w:hyperlink>
    </w:p>
    <w:p w14:paraId="4E151A17" w14:textId="22D2FD43" w:rsidR="00BA7748" w:rsidRDefault="00C07F25">
      <w:pPr>
        <w:pStyle w:val="TOC2"/>
        <w:rPr>
          <w:lang w:val="en-US"/>
        </w:rPr>
      </w:pPr>
      <w:hyperlink w:anchor="_Toc96003301" w:history="1">
        <w:r w:rsidR="00BA7748" w:rsidRPr="00074F64">
          <w:rPr>
            <w:rStyle w:val="Hyperlink"/>
            <w:rFonts w:ascii="Times New Roman" w:hAnsi="Times New Roman" w:cs="Times New Roman"/>
          </w:rPr>
          <w:t>I.2</w:t>
        </w:r>
        <w:r w:rsidR="00BA7748">
          <w:rPr>
            <w:lang w:val="en-US"/>
          </w:rPr>
          <w:tab/>
        </w:r>
        <w:r w:rsidR="00BA7748" w:rsidRPr="00074F64">
          <w:rPr>
            <w:rStyle w:val="Hyperlink"/>
            <w:rFonts w:ascii="Times New Roman" w:hAnsi="Times New Roman"/>
          </w:rPr>
          <w:t>Hänvisningar</w:t>
        </w:r>
        <w:r w:rsidR="00BA7748">
          <w:rPr>
            <w:webHidden/>
          </w:rPr>
          <w:tab/>
        </w:r>
        <w:r w:rsidR="00BA7748">
          <w:rPr>
            <w:webHidden/>
          </w:rPr>
          <w:fldChar w:fldCharType="begin"/>
        </w:r>
        <w:r w:rsidR="00BA7748">
          <w:rPr>
            <w:webHidden/>
          </w:rPr>
          <w:instrText xml:space="preserve"> PAGEREF _Toc96003301 \h </w:instrText>
        </w:r>
        <w:r w:rsidR="00BA7748">
          <w:rPr>
            <w:webHidden/>
          </w:rPr>
        </w:r>
        <w:r w:rsidR="00BA7748">
          <w:rPr>
            <w:webHidden/>
          </w:rPr>
          <w:fldChar w:fldCharType="separate"/>
        </w:r>
        <w:r w:rsidR="00BA7748">
          <w:rPr>
            <w:webHidden/>
          </w:rPr>
          <w:t>2</w:t>
        </w:r>
        <w:r w:rsidR="00BA7748">
          <w:rPr>
            <w:webHidden/>
          </w:rPr>
          <w:fldChar w:fldCharType="end"/>
        </w:r>
      </w:hyperlink>
    </w:p>
    <w:p w14:paraId="1A96C371" w14:textId="33A86B6F" w:rsidR="00BA7748" w:rsidRDefault="00C07F25">
      <w:pPr>
        <w:pStyle w:val="TOC2"/>
        <w:rPr>
          <w:lang w:val="en-US"/>
        </w:rPr>
      </w:pPr>
      <w:hyperlink w:anchor="_Toc96003302" w:history="1">
        <w:r w:rsidR="00BA7748" w:rsidRPr="00074F64">
          <w:rPr>
            <w:rStyle w:val="Hyperlink"/>
            <w:rFonts w:ascii="Times New Roman" w:hAnsi="Times New Roman" w:cs="Times New Roman"/>
          </w:rPr>
          <w:t>I.3</w:t>
        </w:r>
        <w:r w:rsidR="00BA7748">
          <w:rPr>
            <w:lang w:val="en-US"/>
          </w:rPr>
          <w:tab/>
        </w:r>
        <w:r w:rsidR="00BA7748" w:rsidRPr="00074F64">
          <w:rPr>
            <w:rStyle w:val="Hyperlink"/>
            <w:rFonts w:ascii="Times New Roman" w:hAnsi="Times New Roman"/>
          </w:rPr>
          <w:t>Redovisningsstandarder</w:t>
        </w:r>
        <w:r w:rsidR="00BA7748">
          <w:rPr>
            <w:webHidden/>
          </w:rPr>
          <w:tab/>
        </w:r>
        <w:r w:rsidR="00BA7748">
          <w:rPr>
            <w:webHidden/>
          </w:rPr>
          <w:fldChar w:fldCharType="begin"/>
        </w:r>
        <w:r w:rsidR="00BA7748">
          <w:rPr>
            <w:webHidden/>
          </w:rPr>
          <w:instrText xml:space="preserve"> PAGEREF _Toc96003302 \h </w:instrText>
        </w:r>
        <w:r w:rsidR="00BA7748">
          <w:rPr>
            <w:webHidden/>
          </w:rPr>
        </w:r>
        <w:r w:rsidR="00BA7748">
          <w:rPr>
            <w:webHidden/>
          </w:rPr>
          <w:fldChar w:fldCharType="separate"/>
        </w:r>
        <w:r w:rsidR="00BA7748">
          <w:rPr>
            <w:webHidden/>
          </w:rPr>
          <w:t>3</w:t>
        </w:r>
        <w:r w:rsidR="00BA7748">
          <w:rPr>
            <w:webHidden/>
          </w:rPr>
          <w:fldChar w:fldCharType="end"/>
        </w:r>
      </w:hyperlink>
    </w:p>
    <w:p w14:paraId="24D48CC9" w14:textId="502817E4" w:rsidR="00BA7748" w:rsidRDefault="00C07F25">
      <w:pPr>
        <w:pStyle w:val="TOC2"/>
        <w:rPr>
          <w:lang w:val="en-US"/>
        </w:rPr>
      </w:pPr>
      <w:hyperlink w:anchor="_Toc96003303" w:history="1">
        <w:r w:rsidR="00BA7748" w:rsidRPr="00074F64">
          <w:rPr>
            <w:rStyle w:val="Hyperlink"/>
            <w:rFonts w:ascii="Times New Roman" w:hAnsi="Times New Roman" w:cs="Times New Roman"/>
          </w:rPr>
          <w:t>I.4</w:t>
        </w:r>
        <w:r w:rsidR="00BA7748">
          <w:rPr>
            <w:lang w:val="en-US"/>
          </w:rPr>
          <w:tab/>
        </w:r>
        <w:r w:rsidR="00BA7748" w:rsidRPr="00074F64">
          <w:rPr>
            <w:rStyle w:val="Hyperlink"/>
            <w:rFonts w:ascii="Times New Roman" w:hAnsi="Times New Roman"/>
          </w:rPr>
          <w:t>Omfattning av konsolidering</w:t>
        </w:r>
        <w:r w:rsidR="00BA7748">
          <w:rPr>
            <w:webHidden/>
          </w:rPr>
          <w:tab/>
        </w:r>
        <w:r w:rsidR="00BA7748">
          <w:rPr>
            <w:webHidden/>
          </w:rPr>
          <w:fldChar w:fldCharType="begin"/>
        </w:r>
        <w:r w:rsidR="00BA7748">
          <w:rPr>
            <w:webHidden/>
          </w:rPr>
          <w:instrText xml:space="preserve"> PAGEREF _Toc96003303 \h </w:instrText>
        </w:r>
        <w:r w:rsidR="00BA7748">
          <w:rPr>
            <w:webHidden/>
          </w:rPr>
        </w:r>
        <w:r w:rsidR="00BA7748">
          <w:rPr>
            <w:webHidden/>
          </w:rPr>
          <w:fldChar w:fldCharType="separate"/>
        </w:r>
        <w:r w:rsidR="00BA7748">
          <w:rPr>
            <w:webHidden/>
          </w:rPr>
          <w:t>3</w:t>
        </w:r>
        <w:r w:rsidR="00BA7748">
          <w:rPr>
            <w:webHidden/>
          </w:rPr>
          <w:fldChar w:fldCharType="end"/>
        </w:r>
      </w:hyperlink>
    </w:p>
    <w:p w14:paraId="0929C07B" w14:textId="0FEC8FDE" w:rsidR="00BA7748" w:rsidRDefault="00C07F25">
      <w:pPr>
        <w:pStyle w:val="TOC2"/>
        <w:rPr>
          <w:lang w:val="en-US"/>
        </w:rPr>
      </w:pPr>
      <w:hyperlink w:anchor="_Toc96003304" w:history="1">
        <w:r w:rsidR="00BA7748" w:rsidRPr="00074F64">
          <w:rPr>
            <w:rStyle w:val="Hyperlink"/>
            <w:rFonts w:ascii="Times New Roman" w:hAnsi="Times New Roman" w:cs="Times New Roman"/>
          </w:rPr>
          <w:t>I.5</w:t>
        </w:r>
        <w:r w:rsidR="00BA7748">
          <w:rPr>
            <w:lang w:val="en-US"/>
          </w:rPr>
          <w:tab/>
        </w:r>
        <w:r w:rsidR="00BA7748" w:rsidRPr="00074F64">
          <w:rPr>
            <w:rStyle w:val="Hyperlink"/>
            <w:rFonts w:ascii="Times New Roman" w:hAnsi="Times New Roman"/>
          </w:rPr>
          <w:t>Numrering och övriga konventioner</w:t>
        </w:r>
        <w:r w:rsidR="00BA7748">
          <w:rPr>
            <w:webHidden/>
          </w:rPr>
          <w:tab/>
        </w:r>
        <w:r w:rsidR="00BA7748">
          <w:rPr>
            <w:webHidden/>
          </w:rPr>
          <w:fldChar w:fldCharType="begin"/>
        </w:r>
        <w:r w:rsidR="00BA7748">
          <w:rPr>
            <w:webHidden/>
          </w:rPr>
          <w:instrText xml:space="preserve"> PAGEREF _Toc96003304 \h </w:instrText>
        </w:r>
        <w:r w:rsidR="00BA7748">
          <w:rPr>
            <w:webHidden/>
          </w:rPr>
        </w:r>
        <w:r w:rsidR="00BA7748">
          <w:rPr>
            <w:webHidden/>
          </w:rPr>
          <w:fldChar w:fldCharType="separate"/>
        </w:r>
        <w:r w:rsidR="00BA7748">
          <w:rPr>
            <w:webHidden/>
          </w:rPr>
          <w:t>4</w:t>
        </w:r>
        <w:r w:rsidR="00BA7748">
          <w:rPr>
            <w:webHidden/>
          </w:rPr>
          <w:fldChar w:fldCharType="end"/>
        </w:r>
      </w:hyperlink>
    </w:p>
    <w:p w14:paraId="21C9F0C6" w14:textId="3E977133" w:rsidR="00BA7748" w:rsidRDefault="00C07F25">
      <w:pPr>
        <w:pStyle w:val="TOC2"/>
        <w:rPr>
          <w:lang w:val="en-US"/>
        </w:rPr>
      </w:pPr>
      <w:hyperlink w:anchor="_Toc96003305" w:history="1">
        <w:r w:rsidR="00BA7748" w:rsidRPr="00074F64">
          <w:rPr>
            <w:rStyle w:val="Hyperlink"/>
            <w:rFonts w:ascii="Times New Roman" w:hAnsi="Times New Roman" w:cs="Times New Roman"/>
          </w:rPr>
          <w:t>II.</w:t>
        </w:r>
        <w:r w:rsidR="00BA7748">
          <w:rPr>
            <w:lang w:val="en-US"/>
          </w:rPr>
          <w:tab/>
        </w:r>
        <w:r w:rsidR="00BA7748" w:rsidRPr="00074F64">
          <w:rPr>
            <w:rStyle w:val="Hyperlink"/>
            <w:rFonts w:ascii="Times New Roman" w:hAnsi="Times New Roman"/>
          </w:rPr>
          <w:t>Mallrelaterade anvisningar</w:t>
        </w:r>
        <w:r w:rsidR="00BA7748">
          <w:rPr>
            <w:webHidden/>
          </w:rPr>
          <w:tab/>
        </w:r>
        <w:r w:rsidR="00BA7748">
          <w:rPr>
            <w:webHidden/>
          </w:rPr>
          <w:fldChar w:fldCharType="begin"/>
        </w:r>
        <w:r w:rsidR="00BA7748">
          <w:rPr>
            <w:webHidden/>
          </w:rPr>
          <w:instrText xml:space="preserve"> PAGEREF _Toc96003305 \h </w:instrText>
        </w:r>
        <w:r w:rsidR="00BA7748">
          <w:rPr>
            <w:webHidden/>
          </w:rPr>
        </w:r>
        <w:r w:rsidR="00BA7748">
          <w:rPr>
            <w:webHidden/>
          </w:rPr>
          <w:fldChar w:fldCharType="separate"/>
        </w:r>
        <w:r w:rsidR="00BA7748">
          <w:rPr>
            <w:webHidden/>
          </w:rPr>
          <w:t>4</w:t>
        </w:r>
        <w:r w:rsidR="00BA7748">
          <w:rPr>
            <w:webHidden/>
          </w:rPr>
          <w:fldChar w:fldCharType="end"/>
        </w:r>
      </w:hyperlink>
    </w:p>
    <w:p w14:paraId="5B269759" w14:textId="14A110D4" w:rsidR="00BA7748" w:rsidRDefault="00C07F25">
      <w:pPr>
        <w:pStyle w:val="TOC2"/>
        <w:rPr>
          <w:lang w:val="en-US"/>
        </w:rPr>
      </w:pPr>
      <w:hyperlink w:anchor="_Toc96003306" w:history="1">
        <w:r w:rsidR="00BA7748" w:rsidRPr="00074F64">
          <w:rPr>
            <w:rStyle w:val="Hyperlink"/>
            <w:rFonts w:ascii="Times New Roman" w:hAnsi="Times New Roman" w:cs="Times New Roman"/>
          </w:rPr>
          <w:t>II.1</w:t>
        </w:r>
        <w:r w:rsidR="00BA7748">
          <w:rPr>
            <w:lang w:val="en-US"/>
          </w:rPr>
          <w:tab/>
        </w:r>
        <w:r w:rsidR="00BA7748" w:rsidRPr="00074F64">
          <w:rPr>
            <w:rStyle w:val="Hyperlink"/>
            <w:rFonts w:ascii="Times New Roman" w:hAnsi="Times New Roman"/>
          </w:rPr>
          <w:t>Z 01.00 - Organisationsstruktur (ORG)</w:t>
        </w:r>
        <w:r w:rsidR="00BA7748">
          <w:rPr>
            <w:webHidden/>
          </w:rPr>
          <w:tab/>
        </w:r>
        <w:r w:rsidR="00BA7748">
          <w:rPr>
            <w:webHidden/>
          </w:rPr>
          <w:fldChar w:fldCharType="begin"/>
        </w:r>
        <w:r w:rsidR="00BA7748">
          <w:rPr>
            <w:webHidden/>
          </w:rPr>
          <w:instrText xml:space="preserve"> PAGEREF _Toc96003306 \h </w:instrText>
        </w:r>
        <w:r w:rsidR="00BA7748">
          <w:rPr>
            <w:webHidden/>
          </w:rPr>
        </w:r>
        <w:r w:rsidR="00BA7748">
          <w:rPr>
            <w:webHidden/>
          </w:rPr>
          <w:fldChar w:fldCharType="separate"/>
        </w:r>
        <w:r w:rsidR="00BA7748">
          <w:rPr>
            <w:webHidden/>
          </w:rPr>
          <w:t>4</w:t>
        </w:r>
        <w:r w:rsidR="00BA7748">
          <w:rPr>
            <w:webHidden/>
          </w:rPr>
          <w:fldChar w:fldCharType="end"/>
        </w:r>
      </w:hyperlink>
    </w:p>
    <w:p w14:paraId="72890CBE" w14:textId="45918B72" w:rsidR="00BA7748" w:rsidRDefault="00C07F25">
      <w:pPr>
        <w:pStyle w:val="TOC2"/>
        <w:rPr>
          <w:lang w:val="en-US"/>
        </w:rPr>
      </w:pPr>
      <w:hyperlink w:anchor="_Toc96003307" w:history="1">
        <w:r w:rsidR="00BA7748" w:rsidRPr="00074F64">
          <w:rPr>
            <w:rStyle w:val="Hyperlink"/>
            <w:rFonts w:ascii="Times New Roman" w:hAnsi="Times New Roman" w:cs="Times New Roman"/>
          </w:rPr>
          <w:t>II.2</w:t>
        </w:r>
        <w:r w:rsidR="00BA7748">
          <w:rPr>
            <w:lang w:val="en-US"/>
          </w:rPr>
          <w:tab/>
        </w:r>
        <w:r w:rsidR="00BA7748" w:rsidRPr="00074F64">
          <w:rPr>
            <w:rStyle w:val="Hyperlink"/>
            <w:rFonts w:ascii="Times New Roman" w:hAnsi="Times New Roman"/>
          </w:rPr>
          <w:t>Z 02.00 - Skuldstruktur (LIAB)</w:t>
        </w:r>
        <w:r w:rsidR="00BA7748">
          <w:rPr>
            <w:webHidden/>
          </w:rPr>
          <w:tab/>
        </w:r>
        <w:r w:rsidR="00BA7748">
          <w:rPr>
            <w:webHidden/>
          </w:rPr>
          <w:fldChar w:fldCharType="begin"/>
        </w:r>
        <w:r w:rsidR="00BA7748">
          <w:rPr>
            <w:webHidden/>
          </w:rPr>
          <w:instrText xml:space="preserve"> PAGEREF _Toc96003307 \h </w:instrText>
        </w:r>
        <w:r w:rsidR="00BA7748">
          <w:rPr>
            <w:webHidden/>
          </w:rPr>
        </w:r>
        <w:r w:rsidR="00BA7748">
          <w:rPr>
            <w:webHidden/>
          </w:rPr>
          <w:fldChar w:fldCharType="separate"/>
        </w:r>
        <w:r w:rsidR="00BA7748">
          <w:rPr>
            <w:webHidden/>
          </w:rPr>
          <w:t>7</w:t>
        </w:r>
        <w:r w:rsidR="00BA7748">
          <w:rPr>
            <w:webHidden/>
          </w:rPr>
          <w:fldChar w:fldCharType="end"/>
        </w:r>
      </w:hyperlink>
    </w:p>
    <w:p w14:paraId="0EBAC5F2" w14:textId="4FB4FAD6" w:rsidR="00BA7748" w:rsidRDefault="00C07F25">
      <w:pPr>
        <w:pStyle w:val="TOC2"/>
        <w:rPr>
          <w:lang w:val="en-US"/>
        </w:rPr>
      </w:pPr>
      <w:hyperlink w:anchor="_Toc96003308" w:history="1">
        <w:r w:rsidR="00BA7748" w:rsidRPr="00074F64">
          <w:rPr>
            <w:rStyle w:val="Hyperlink"/>
            <w:rFonts w:ascii="Times New Roman" w:hAnsi="Times New Roman" w:cs="Times New Roman"/>
          </w:rPr>
          <w:t>II.3</w:t>
        </w:r>
        <w:r w:rsidR="00BA7748">
          <w:rPr>
            <w:lang w:val="en-US"/>
          </w:rPr>
          <w:tab/>
        </w:r>
        <w:r w:rsidR="00BA7748" w:rsidRPr="00074F64">
          <w:rPr>
            <w:rStyle w:val="Hyperlink"/>
            <w:rFonts w:ascii="Times New Roman" w:hAnsi="Times New Roman"/>
          </w:rPr>
          <w:t>Z 03.00 - Kapitalbaskrav (OWN)</w:t>
        </w:r>
        <w:r w:rsidR="00BA7748">
          <w:rPr>
            <w:webHidden/>
          </w:rPr>
          <w:tab/>
        </w:r>
        <w:r w:rsidR="00BA7748">
          <w:rPr>
            <w:webHidden/>
          </w:rPr>
          <w:fldChar w:fldCharType="begin"/>
        </w:r>
        <w:r w:rsidR="00BA7748">
          <w:rPr>
            <w:webHidden/>
          </w:rPr>
          <w:instrText xml:space="preserve"> PAGEREF _Toc96003308 \h </w:instrText>
        </w:r>
        <w:r w:rsidR="00BA7748">
          <w:rPr>
            <w:webHidden/>
          </w:rPr>
        </w:r>
        <w:r w:rsidR="00BA7748">
          <w:rPr>
            <w:webHidden/>
          </w:rPr>
          <w:fldChar w:fldCharType="separate"/>
        </w:r>
        <w:r w:rsidR="00BA7748">
          <w:rPr>
            <w:webHidden/>
          </w:rPr>
          <w:t>14</w:t>
        </w:r>
        <w:r w:rsidR="00BA7748">
          <w:rPr>
            <w:webHidden/>
          </w:rPr>
          <w:fldChar w:fldCharType="end"/>
        </w:r>
      </w:hyperlink>
    </w:p>
    <w:p w14:paraId="2E487E33" w14:textId="2F851CFC" w:rsidR="00BA7748" w:rsidRDefault="00C07F25">
      <w:pPr>
        <w:pStyle w:val="TOC2"/>
        <w:rPr>
          <w:lang w:val="en-US"/>
        </w:rPr>
      </w:pPr>
      <w:hyperlink w:anchor="_Toc96003309" w:history="1">
        <w:r w:rsidR="00BA7748" w:rsidRPr="00074F64">
          <w:rPr>
            <w:rStyle w:val="Hyperlink"/>
            <w:rFonts w:ascii="Times New Roman" w:hAnsi="Times New Roman" w:cs="Times New Roman"/>
          </w:rPr>
          <w:t>II.4</w:t>
        </w:r>
        <w:r w:rsidR="00BA7748">
          <w:rPr>
            <w:lang w:val="en-US"/>
          </w:rPr>
          <w:tab/>
        </w:r>
        <w:r w:rsidR="00BA7748" w:rsidRPr="00074F64">
          <w:rPr>
            <w:rStyle w:val="Hyperlink"/>
            <w:rFonts w:ascii="Times New Roman" w:hAnsi="Times New Roman"/>
          </w:rPr>
          <w:t>Z 04.00 - Finansiell sammanlänkning inom koncernen (IFC)</w:t>
        </w:r>
        <w:r w:rsidR="00BA7748">
          <w:rPr>
            <w:webHidden/>
          </w:rPr>
          <w:tab/>
        </w:r>
        <w:r w:rsidR="00BA7748">
          <w:rPr>
            <w:webHidden/>
          </w:rPr>
          <w:fldChar w:fldCharType="begin"/>
        </w:r>
        <w:r w:rsidR="00BA7748">
          <w:rPr>
            <w:webHidden/>
          </w:rPr>
          <w:instrText xml:space="preserve"> PAGEREF _Toc96003309 \h </w:instrText>
        </w:r>
        <w:r w:rsidR="00BA7748">
          <w:rPr>
            <w:webHidden/>
          </w:rPr>
        </w:r>
        <w:r w:rsidR="00BA7748">
          <w:rPr>
            <w:webHidden/>
          </w:rPr>
          <w:fldChar w:fldCharType="separate"/>
        </w:r>
        <w:r w:rsidR="00BA7748">
          <w:rPr>
            <w:webHidden/>
          </w:rPr>
          <w:t>18</w:t>
        </w:r>
        <w:r w:rsidR="00BA7748">
          <w:rPr>
            <w:webHidden/>
          </w:rPr>
          <w:fldChar w:fldCharType="end"/>
        </w:r>
      </w:hyperlink>
    </w:p>
    <w:p w14:paraId="2E1E4797" w14:textId="41BA9114" w:rsidR="00BA7748" w:rsidRDefault="00C07F25">
      <w:pPr>
        <w:pStyle w:val="TOC2"/>
        <w:rPr>
          <w:lang w:val="en-US"/>
        </w:rPr>
      </w:pPr>
      <w:hyperlink w:anchor="_Toc96003310" w:history="1">
        <w:r w:rsidR="00BA7748" w:rsidRPr="00074F64">
          <w:rPr>
            <w:rStyle w:val="Hyperlink"/>
            <w:rFonts w:ascii="Times New Roman" w:hAnsi="Times New Roman" w:cs="Times New Roman"/>
          </w:rPr>
          <w:t>II.5</w:t>
        </w:r>
        <w:r w:rsidR="00BA7748">
          <w:rPr>
            <w:lang w:val="en-US"/>
          </w:rPr>
          <w:tab/>
        </w:r>
        <w:r w:rsidR="00BA7748" w:rsidRPr="00074F64">
          <w:rPr>
            <w:rStyle w:val="Hyperlink"/>
            <w:rFonts w:ascii="Times New Roman" w:hAnsi="Times New Roman"/>
          </w:rPr>
          <w:t>Z 05.01 och Z 05.02 -</w:t>
        </w:r>
        <w:r w:rsidR="00BA7748" w:rsidRPr="00074F64">
          <w:rPr>
            <w:rStyle w:val="Hyperlink"/>
          </w:rPr>
          <w:t xml:space="preserve"> </w:t>
        </w:r>
        <w:r w:rsidR="00BA7748" w:rsidRPr="00074F64">
          <w:rPr>
            <w:rStyle w:val="Hyperlink"/>
            <w:rFonts w:ascii="Times New Roman" w:hAnsi="Times New Roman"/>
          </w:rPr>
          <w:t>Större motparter (MCP)</w:t>
        </w:r>
        <w:r w:rsidR="00BA7748">
          <w:rPr>
            <w:webHidden/>
          </w:rPr>
          <w:tab/>
        </w:r>
        <w:r w:rsidR="00BA7748">
          <w:rPr>
            <w:webHidden/>
          </w:rPr>
          <w:fldChar w:fldCharType="begin"/>
        </w:r>
        <w:r w:rsidR="00BA7748">
          <w:rPr>
            <w:webHidden/>
          </w:rPr>
          <w:instrText xml:space="preserve"> PAGEREF _Toc96003310 \h </w:instrText>
        </w:r>
        <w:r w:rsidR="00BA7748">
          <w:rPr>
            <w:webHidden/>
          </w:rPr>
        </w:r>
        <w:r w:rsidR="00BA7748">
          <w:rPr>
            <w:webHidden/>
          </w:rPr>
          <w:fldChar w:fldCharType="separate"/>
        </w:r>
        <w:r w:rsidR="00BA7748">
          <w:rPr>
            <w:webHidden/>
          </w:rPr>
          <w:t>20</w:t>
        </w:r>
        <w:r w:rsidR="00BA7748">
          <w:rPr>
            <w:webHidden/>
          </w:rPr>
          <w:fldChar w:fldCharType="end"/>
        </w:r>
      </w:hyperlink>
    </w:p>
    <w:p w14:paraId="5AAD3642" w14:textId="180DA382" w:rsidR="00BA7748" w:rsidRDefault="00C07F25">
      <w:pPr>
        <w:pStyle w:val="TOC2"/>
        <w:rPr>
          <w:lang w:val="en-US"/>
        </w:rPr>
      </w:pPr>
      <w:hyperlink w:anchor="_Toc96003311" w:history="1">
        <w:r w:rsidR="00BA7748" w:rsidRPr="00074F64">
          <w:rPr>
            <w:rStyle w:val="Hyperlink"/>
            <w:rFonts w:ascii="Times New Roman" w:hAnsi="Times New Roman" w:cs="Times New Roman"/>
          </w:rPr>
          <w:t>II.6</w:t>
        </w:r>
        <w:r w:rsidR="00BA7748">
          <w:rPr>
            <w:lang w:val="en-US"/>
          </w:rPr>
          <w:tab/>
        </w:r>
        <w:r w:rsidR="00BA7748" w:rsidRPr="00074F64">
          <w:rPr>
            <w:rStyle w:val="Hyperlink"/>
            <w:rFonts w:ascii="Times New Roman" w:hAnsi="Times New Roman"/>
          </w:rPr>
          <w:t>Z 06.00 - Insättningsgaranti (DIS)</w:t>
        </w:r>
        <w:r w:rsidR="00BA7748">
          <w:rPr>
            <w:webHidden/>
          </w:rPr>
          <w:tab/>
        </w:r>
        <w:r w:rsidR="00BA7748">
          <w:rPr>
            <w:webHidden/>
          </w:rPr>
          <w:fldChar w:fldCharType="begin"/>
        </w:r>
        <w:r w:rsidR="00BA7748">
          <w:rPr>
            <w:webHidden/>
          </w:rPr>
          <w:instrText xml:space="preserve"> PAGEREF _Toc96003311 \h </w:instrText>
        </w:r>
        <w:r w:rsidR="00BA7748">
          <w:rPr>
            <w:webHidden/>
          </w:rPr>
        </w:r>
        <w:r w:rsidR="00BA7748">
          <w:rPr>
            <w:webHidden/>
          </w:rPr>
          <w:fldChar w:fldCharType="separate"/>
        </w:r>
        <w:r w:rsidR="00BA7748">
          <w:rPr>
            <w:webHidden/>
          </w:rPr>
          <w:t>22</w:t>
        </w:r>
        <w:r w:rsidR="00BA7748">
          <w:rPr>
            <w:webHidden/>
          </w:rPr>
          <w:fldChar w:fldCharType="end"/>
        </w:r>
      </w:hyperlink>
    </w:p>
    <w:p w14:paraId="420769FA" w14:textId="748DB2F0" w:rsidR="00BA7748" w:rsidRDefault="00C07F25">
      <w:pPr>
        <w:pStyle w:val="TOC2"/>
        <w:rPr>
          <w:lang w:val="en-US"/>
        </w:rPr>
      </w:pPr>
      <w:hyperlink w:anchor="_Toc96003312" w:history="1">
        <w:r w:rsidR="00BA7748" w:rsidRPr="00074F64">
          <w:rPr>
            <w:rStyle w:val="Hyperlink"/>
            <w:rFonts w:ascii="Times New Roman" w:hAnsi="Times New Roman" w:cs="Times New Roman"/>
          </w:rPr>
          <w:t>II.7</w:t>
        </w:r>
        <w:r w:rsidR="00BA7748">
          <w:rPr>
            <w:lang w:val="en-US"/>
          </w:rPr>
          <w:tab/>
        </w:r>
        <w:r w:rsidR="00BA7748" w:rsidRPr="00074F64">
          <w:rPr>
            <w:rStyle w:val="Hyperlink"/>
            <w:rFonts w:ascii="Times New Roman" w:hAnsi="Times New Roman"/>
          </w:rPr>
          <w:t>Kritiska funktioner och kärnaffärsområden</w:t>
        </w:r>
        <w:r w:rsidR="00BA7748">
          <w:rPr>
            <w:webHidden/>
          </w:rPr>
          <w:tab/>
        </w:r>
        <w:r w:rsidR="00BA7748">
          <w:rPr>
            <w:webHidden/>
          </w:rPr>
          <w:fldChar w:fldCharType="begin"/>
        </w:r>
        <w:r w:rsidR="00BA7748">
          <w:rPr>
            <w:webHidden/>
          </w:rPr>
          <w:instrText xml:space="preserve"> PAGEREF _Toc96003312 \h </w:instrText>
        </w:r>
        <w:r w:rsidR="00BA7748">
          <w:rPr>
            <w:webHidden/>
          </w:rPr>
        </w:r>
        <w:r w:rsidR="00BA7748">
          <w:rPr>
            <w:webHidden/>
          </w:rPr>
          <w:fldChar w:fldCharType="separate"/>
        </w:r>
        <w:r w:rsidR="00BA7748">
          <w:rPr>
            <w:webHidden/>
          </w:rPr>
          <w:t>25</w:t>
        </w:r>
        <w:r w:rsidR="00BA7748">
          <w:rPr>
            <w:webHidden/>
          </w:rPr>
          <w:fldChar w:fldCharType="end"/>
        </w:r>
      </w:hyperlink>
    </w:p>
    <w:p w14:paraId="31797A28" w14:textId="26879DBE" w:rsidR="00BA7748" w:rsidRDefault="00C07F25">
      <w:pPr>
        <w:pStyle w:val="TOC2"/>
        <w:rPr>
          <w:lang w:val="en-US"/>
        </w:rPr>
      </w:pPr>
      <w:hyperlink w:anchor="_Toc96003313" w:history="1">
        <w:r w:rsidR="00BA7748" w:rsidRPr="00074F64">
          <w:rPr>
            <w:rStyle w:val="Hyperlink"/>
            <w:rFonts w:ascii="Times New Roman" w:hAnsi="Times New Roman" w:cs="Times New Roman"/>
          </w:rPr>
          <w:t>II.8</w:t>
        </w:r>
        <w:r w:rsidR="00BA7748">
          <w:rPr>
            <w:lang w:val="en-US"/>
          </w:rPr>
          <w:tab/>
        </w:r>
        <w:r w:rsidR="00BA7748" w:rsidRPr="00074F64">
          <w:rPr>
            <w:rStyle w:val="Hyperlink"/>
            <w:rFonts w:ascii="Times New Roman" w:hAnsi="Times New Roman"/>
          </w:rPr>
          <w:t>Z 08.00 - Kritiska tjänster (SERV)</w:t>
        </w:r>
        <w:r w:rsidR="00BA7748">
          <w:rPr>
            <w:webHidden/>
          </w:rPr>
          <w:tab/>
        </w:r>
        <w:r w:rsidR="00BA7748">
          <w:rPr>
            <w:webHidden/>
          </w:rPr>
          <w:fldChar w:fldCharType="begin"/>
        </w:r>
        <w:r w:rsidR="00BA7748">
          <w:rPr>
            <w:webHidden/>
          </w:rPr>
          <w:instrText xml:space="preserve"> PAGEREF _Toc96003313 \h </w:instrText>
        </w:r>
        <w:r w:rsidR="00BA7748">
          <w:rPr>
            <w:webHidden/>
          </w:rPr>
        </w:r>
        <w:r w:rsidR="00BA7748">
          <w:rPr>
            <w:webHidden/>
          </w:rPr>
          <w:fldChar w:fldCharType="separate"/>
        </w:r>
        <w:r w:rsidR="00BA7748">
          <w:rPr>
            <w:webHidden/>
          </w:rPr>
          <w:t>34</w:t>
        </w:r>
        <w:r w:rsidR="00BA7748">
          <w:rPr>
            <w:webHidden/>
          </w:rPr>
          <w:fldChar w:fldCharType="end"/>
        </w:r>
      </w:hyperlink>
    </w:p>
    <w:p w14:paraId="1C501E4F" w14:textId="79C1EFD6" w:rsidR="00BA7748" w:rsidRDefault="00C07F25">
      <w:pPr>
        <w:pStyle w:val="TOC2"/>
        <w:rPr>
          <w:lang w:val="en-US"/>
        </w:rPr>
      </w:pPr>
      <w:hyperlink w:anchor="_Toc96003314" w:history="1">
        <w:r w:rsidR="00BA7748" w:rsidRPr="00074F64">
          <w:rPr>
            <w:rStyle w:val="Hyperlink"/>
            <w:rFonts w:ascii="Times New Roman" w:hAnsi="Times New Roman" w:cs="Times New Roman"/>
          </w:rPr>
          <w:t>II.9</w:t>
        </w:r>
        <w:r w:rsidR="00BA7748">
          <w:rPr>
            <w:lang w:val="en-US"/>
          </w:rPr>
          <w:tab/>
        </w:r>
        <w:r w:rsidR="00BA7748" w:rsidRPr="00074F64">
          <w:rPr>
            <w:rStyle w:val="Hyperlink"/>
            <w:rFonts w:ascii="Times New Roman" w:hAnsi="Times New Roman"/>
          </w:rPr>
          <w:t>Z 09.00 -FMI-tjänster - leverantörer och användare - kartläggning enligt kritiska funktioner.</w:t>
        </w:r>
        <w:r w:rsidR="00BA7748">
          <w:rPr>
            <w:webHidden/>
          </w:rPr>
          <w:tab/>
        </w:r>
        <w:r w:rsidR="00BA7748">
          <w:rPr>
            <w:webHidden/>
          </w:rPr>
          <w:fldChar w:fldCharType="begin"/>
        </w:r>
        <w:r w:rsidR="00BA7748">
          <w:rPr>
            <w:webHidden/>
          </w:rPr>
          <w:instrText xml:space="preserve"> PAGEREF _Toc96003314 \h </w:instrText>
        </w:r>
        <w:r w:rsidR="00BA7748">
          <w:rPr>
            <w:webHidden/>
          </w:rPr>
        </w:r>
        <w:r w:rsidR="00BA7748">
          <w:rPr>
            <w:webHidden/>
          </w:rPr>
          <w:fldChar w:fldCharType="separate"/>
        </w:r>
        <w:r w:rsidR="00BA7748">
          <w:rPr>
            <w:webHidden/>
          </w:rPr>
          <w:t>38</w:t>
        </w:r>
        <w:r w:rsidR="00BA7748">
          <w:rPr>
            <w:webHidden/>
          </w:rPr>
          <w:fldChar w:fldCharType="end"/>
        </w:r>
      </w:hyperlink>
    </w:p>
    <w:p w14:paraId="48A78501" w14:textId="2368CE0C" w:rsidR="00BA7748" w:rsidRDefault="00C07F25">
      <w:pPr>
        <w:pStyle w:val="TOC2"/>
        <w:rPr>
          <w:lang w:val="en-US"/>
        </w:rPr>
      </w:pPr>
      <w:hyperlink w:anchor="_Toc96003315" w:history="1">
        <w:r w:rsidR="00BA7748" w:rsidRPr="00074F64">
          <w:rPr>
            <w:rStyle w:val="Hyperlink"/>
            <w:rFonts w:ascii="Times New Roman" w:hAnsi="Times New Roman" w:cs="Times New Roman"/>
          </w:rPr>
          <w:t>II.10</w:t>
        </w:r>
        <w:r w:rsidR="00BA7748">
          <w:rPr>
            <w:lang w:val="en-US"/>
          </w:rPr>
          <w:tab/>
        </w:r>
        <w:r w:rsidR="00BA7748" w:rsidRPr="00074F64">
          <w:rPr>
            <w:rStyle w:val="Hyperlink"/>
            <w:rFonts w:ascii="Times New Roman" w:hAnsi="Times New Roman"/>
          </w:rPr>
          <w:t>Kritiska informationssystem</w:t>
        </w:r>
        <w:r w:rsidR="00BA7748">
          <w:rPr>
            <w:webHidden/>
          </w:rPr>
          <w:tab/>
        </w:r>
        <w:r w:rsidR="00BA7748">
          <w:rPr>
            <w:webHidden/>
          </w:rPr>
          <w:fldChar w:fldCharType="begin"/>
        </w:r>
        <w:r w:rsidR="00BA7748">
          <w:rPr>
            <w:webHidden/>
          </w:rPr>
          <w:instrText xml:space="preserve"> PAGEREF _Toc96003315 \h </w:instrText>
        </w:r>
        <w:r w:rsidR="00BA7748">
          <w:rPr>
            <w:webHidden/>
          </w:rPr>
        </w:r>
        <w:r w:rsidR="00BA7748">
          <w:rPr>
            <w:webHidden/>
          </w:rPr>
          <w:fldChar w:fldCharType="separate"/>
        </w:r>
        <w:r w:rsidR="00BA7748">
          <w:rPr>
            <w:webHidden/>
          </w:rPr>
          <w:t>40</w:t>
        </w:r>
        <w:r w:rsidR="00BA7748">
          <w:rPr>
            <w:webHidden/>
          </w:rPr>
          <w:fldChar w:fldCharType="end"/>
        </w:r>
      </w:hyperlink>
    </w:p>
    <w:p w14:paraId="04631A3A" w14:textId="5EBF0244"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003299"/>
      <w:r>
        <w:rPr>
          <w:rFonts w:ascii="Times New Roman" w:hAnsi="Times New Roman"/>
          <w:szCs w:val="20"/>
        </w:rPr>
        <w:lastRenderedPageBreak/>
        <w:t>Allmänna anvisningar</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003300"/>
      <w:r>
        <w:rPr>
          <w:rFonts w:ascii="Times New Roman" w:hAnsi="Times New Roman"/>
          <w:szCs w:val="20"/>
        </w:rPr>
        <w:t>Struktur</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Ramverket består av 15 mallar organiserade i tre sektioner:</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”Allmän information”, som ger en överblick över organisationsstrukturen hos en koncern och dess enheter, fördelningen av tillgångar och riskexponeringsbeloppen. Denna sektion består av mall ”Z 01.00 - Organisationsstruktur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”Information om poster på och utanför balansräkningen” som ger finansiell information om skulder, kapitalbas, finansiella relationer mellan koncernenheter, skulder gentemot större motparter och poster utanför balansräkningen som mottagits av större motparter samt insättningsgaranti. Denna sektion består av sex mallar:</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Skuldstruktur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Kapitalbaskrav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Finansiell sammanlänkning inom koncernen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Två mallar för större motparter, ”Z 05.01 - Större skuldmotparter (Z-MCP 1)” och ”Z 05.02 - Större motparter utanför balansräkningen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Insättningsgaranti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”Kritiska funktioner” som ger en överblick över kritiska funktioner och kopplar dem till juridiska personer, kärnaffärsområden, kritiska tjänster, finansmarknadsinfrastrukturer och informationssystem. Denna sektion består av sju mallar:</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Fyra mallar för att identifiera kritiska funktioner och koppla dem till kärnaffärsområden och koncernenheter, ”Z 07.01 - Kriticitetsbedömning av ekonomiska funktioner (Z-FUNC 1)”, ”Z 07.02 - Kartläggning av kritiska funktioner enligt juridisk person (Z-FUNC 2)”, ”Z 07.03 - Kartläggning av kärnaffärsområden enligt juridisk person (Z-FUNC 3)” och ”Z 07.04 - Kartläggning av kritiska funktioner enligt kärnaffärsområden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Kritiska tjänster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FMI-tjänster - leverantörer och användare - kartläggning enligt kritiska funktioner (FMI)”.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Två mallar för kritiska informationssystem, ”Z 10.01 - Kritiska informationssystem (allmän information) (Z-CIS 1)” och ”Z 10.02 - Kartläggning av informationssystem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003301"/>
      <w:r>
        <w:rPr>
          <w:rFonts w:ascii="Times New Roman" w:hAnsi="Times New Roman"/>
          <w:szCs w:val="20"/>
        </w:rPr>
        <w:t>Hänvisningar</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denna bilaga används följande förkortningar:</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”BCBS” avses Baselkommittén för banktillsyn vid Banken för internationell betalningsutjämning.</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”CPMI” avses kommittén för betalningar och marknadsinfrastruktur vid Banken för internationell betalningsutjämning.</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sz w:val="20"/>
          <w:szCs w:val="20"/>
        </w:rPr>
        <w:lastRenderedPageBreak/>
        <w:t>Med ”Finrep” avses mallar för finansiell information som ingår i bilagorna III och IV till kommissionens genomförandeförordning (EU) 2021/451</w:t>
      </w:r>
      <w:r>
        <w:rPr>
          <w:rStyle w:val="FootnoteReference"/>
          <w:rFonts w:ascii="Times New Roman" w:hAnsi="Times New Roman"/>
          <w:sz w:val="20"/>
          <w:szCs w:val="20"/>
        </w:rPr>
        <w:footnoteReference w:id="1"/>
      </w:r>
      <w:r>
        <w:rPr>
          <w:rFonts w:ascii="Times New Roman" w:hAnsi="Times New Roman"/>
          <w:sz w:val="20"/>
          <w:szCs w:val="20"/>
        </w:rPr>
        <w:t xml:space="preserve"> och kompletterande anvisningar i bilaga V till den genomförandeförordningen.</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”Corep (OF)” avses bilagorna I (mallar) och II (anvisningar) till kommissionens genomförandeförordning (EU) 2021/451.</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”Corep (OF)” avses bilagorna X (mallar) och XI (anvisningar) till kommissionens genomförandeförordning (EU) 2021/451.</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”FSB” avses rådet för finansiell stabilitet.</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”IAS-standard” avses internationell redovisningsstandard enligt definitionen i artikel 2 i Europaparlamentets och rådets förordning (EG) nr 1606/2002</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”IFRS-standard” avses internationell redovisningsstandard (International Financial Reporting Standard) enligt definitionen i artikel 2 i Europaparlamentets och rådets förordning (EG) nr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”LEI-kod” avses identifieringskod för juridiska personer</w:t>
      </w:r>
      <w:r>
        <w:rPr>
          <w:rStyle w:val="FootnoteReference"/>
          <w:color w:val="000000" w:themeColor="text1"/>
          <w:lang w:eastAsia="en-GB"/>
        </w:rPr>
        <w:footnoteReference w:id="3"/>
      </w:r>
      <w:r>
        <w:rPr>
          <w:rFonts w:ascii="Times New Roman" w:hAnsi="Times New Roman"/>
          <w:color w:val="000000" w:themeColor="text1"/>
          <w:sz w:val="20"/>
          <w:szCs w:val="20"/>
        </w:rPr>
        <w:t>. Om en identifieringskod för juridiska personer (LEI-kod) finns för en given motpart ska den användas för att identifiera motparten.</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Med ”nGAAP” eller ”nationell god redovisningssed” avses nationella redovisningsregler som har utvecklats i enlighet med Europaparlamentets och rådets direktiv 86/635/EEG</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003302"/>
      <w:r>
        <w:rPr>
          <w:rFonts w:ascii="Times New Roman" w:hAnsi="Times New Roman"/>
          <w:szCs w:val="20"/>
        </w:rPr>
        <w:t>Redovisningsstandarder</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Såvida inget annat anges i denna bilaga ska instituten rapportera samtliga belopp baserat på de redovisningsregler som de använder för att rapportera finansiell information i enlighet med artiklarna 9–11 i genomförandeförordning (EU) 2021/451. Institut som inte är skyldiga att rapportera finansiell information i enlighet med den förordningen ska följa reglerna i sina respektive redovisningsregler.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För institut som rapporterar enligt IFRS-standarder har hänvisningar infogats till berörda IFRS-standarder.</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003303"/>
      <w:r>
        <w:rPr>
          <w:rFonts w:ascii="Times New Roman" w:hAnsi="Times New Roman"/>
          <w:szCs w:val="20"/>
        </w:rPr>
        <w:t>Omfattning av konsolidering</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Detta ramverk gäller, beroende på mall</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konsolidering som grundar sig på redovisningskonsolidering (enheter som är inkluderade i konsoliderade finansiella rapporter i enlighet med tillämpliga redovisningsregler),</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 xml:space="preserve">konsolidering för tillsynsändamål (enheter som omfattas av konsolidering i enlighet med del ett avsnitt II kapitel 2 i Europaparlamentets och rådets förordning (EU) nr 575/2013 </w:t>
      </w:r>
      <w:r>
        <w:rPr>
          <w:rStyle w:val="FootnoteReference"/>
          <w:rFonts w:ascii="Times New Roman" w:hAnsi="Times New Roman"/>
          <w:sz w:val="20"/>
          <w:szCs w:val="20"/>
        </w:rPr>
        <w:footnoteReference w:id="5"/>
      </w:r>
      <w:r>
        <w:rPr>
          <w:rFonts w:ascii="Times New Roman" w:hAnsi="Times New Roman"/>
          <w:sz w:val="20"/>
          <w:szCs w:val="20"/>
        </w:rPr>
        <w:t xml:space="preserve">) på nivån för moderföretaget inom unionen,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konsolidering på nivån för resolutionsenheten för resolutionskoncernen.</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För vare mall ska institutet följa den grund eller de grunder för konsolidering som är tillämpliga i enlighet med artikel 4 i denna förordning.</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003304"/>
      <w:r>
        <w:rPr>
          <w:rFonts w:ascii="Times New Roman" w:hAnsi="Times New Roman"/>
          <w:szCs w:val="20"/>
        </w:rPr>
        <w:lastRenderedPageBreak/>
        <w:t>Numrering och övriga konventioner</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Anvisningarna i denna bilaga följer den benämningsmodell som anges i punkterna nedan, där hänvisning till mallars kolumner, rader och celler görs med hjälp av sifferkoder. I valideringsbestämmelserna hänvisas ofta till dessa sifferkoder.</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Följande allmänna beteckningar används:</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{Mall; Rad; Kolumn} för att hänvisa till kolumner, rader och celler i en mall.</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{Rad; Kolumn} för validering inom en mall där man endast använder uppgiftsposter från den mallen, utan hänvisning till en mall.</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{Mall; Rad} om mallen bara har en kolumn; då anges endast rader.</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En asterisk betyder att valideringen avser tidigare angivna rader eller kolumner.</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Om en uppgiftspost inte är tillämplig för de enheter som rapporten lämnas in för ska motsvarande fält lämnas tomt.</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det fall anvisningarna i denna bilaga hänvisar till en primärnyckel innebär detta att en kolumn eller en kombination av kolumner är avsedda för att identifiera samtliga rader i mallen unikt. En primärnyckel ska innehålla ett unikt värde för varje rad i mallen. Den får inte innehålla ett nollvärde.</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003305"/>
      <w:r>
        <w:rPr>
          <w:rFonts w:ascii="Times New Roman" w:hAnsi="Times New Roman"/>
          <w:szCs w:val="20"/>
        </w:rPr>
        <w:t>Mallrelaterade anvisningar</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003306"/>
      <w:bookmarkEnd w:id="10"/>
      <w:r>
        <w:rPr>
          <w:rFonts w:ascii="Times New Roman" w:hAnsi="Times New Roman"/>
          <w:szCs w:val="20"/>
        </w:rPr>
        <w:t>Z 01.00 - Organisationsstruktur (ORG)</w:t>
      </w:r>
      <w:bookmarkEnd w:id="11"/>
    </w:p>
    <w:p w14:paraId="677C5E01" w14:textId="77777777" w:rsidR="00E13CE3" w:rsidRPr="00D92B3C" w:rsidRDefault="00E13CE3" w:rsidP="00EC261B">
      <w:pPr>
        <w:pStyle w:val="Instructionsberschrift3"/>
      </w:pPr>
      <w:r>
        <w:t>Allmänna anmärkningar</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Denna mall ger en överblick över koncernens juridiska struktur och ägarstruktur. En enda mall ska lämnas in för varje koncernenhet som uppfyller minimitröskeln i artikel 4.2 a i denna förordning. Endast juridiska personer ska anges i denna mall. </w:t>
      </w:r>
    </w:p>
    <w:p w14:paraId="14ECDB9F" w14:textId="77777777" w:rsidR="00E13CE3" w:rsidRPr="00D92B3C" w:rsidRDefault="00AF189E" w:rsidP="00EC261B">
      <w:pPr>
        <w:pStyle w:val="Instructionsberschrift3"/>
      </w:pPr>
      <w:r>
        <w:t>Anvisningar för specifika positioner</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Kolumner</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Anvisningar</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Enhet</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Namn</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Enhetens namn. Officiellt namn så som detta anges i bolagshandlingar, med angivelse av dess juridiska form.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Kod</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Enhetens kod. Institut ska anges med den 20-siffriga alfanumeriska LEI-koden. För övriga enheter anges den 20-siffriga alfanumeriska LEI-koden eller, om någon sådan inte finns, en kod enligt en enhetlig kodifiering som tillämpas i unionen eller, om någon sådan inte finns, en nationell kod.</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Koden ska vara unik och användas konsekvent i mallarna. Koden ska alltid ha ett värde.</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LEI-kod</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Enhetens 20-siffriga, alfanumeriska LEI-kod, när en sådan finns.</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Enhetstyp</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lastRenderedPageBreak/>
              <w:t>Typen av enhet, efter prioriteringsordning, ska vara en av följande:</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”Kreditinstitut”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Denna kategori ska omfatta kreditinstitut enligt definitionen i artikel 4.1.1 i förordning (EU) nr 575/2013, med undantag för de enheter som avses i artikel 2.5 i Europaparlamentets och rådets direktiv 2013/36/EU</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”Värdepappersföretag som lyder under krav på startkapital som föreskrivs i artikel 28.2 i Europaparlamentets och rådets direktiv 2013/36/EU”</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Denna kategori ska omfatta värdepappersföretag enligt definitionen i artikel 4.1.2 i förordning (EU) nr 575/2013 som omfattas av de krav på startkapital som föreskrivs i artikel 28.2 i Europaparlamentets och rådets direktiv 2013/36/EU.</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”Värdepappersföretag som inte lyder under de krav på startkapital som föreskrivs i artikel 28.2 i Europaparlamentets och rådets direktiv 2013/36/EU”</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”Finansiellt institut”</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Denna kategori ska omfatta finansiella institut enligt definitionen i artikel 4.1.26 i förordning (EU) nr 575/2013, med undantag för dem som klassas som ”holdingbolag” enligt beskrivningen i punkt e) nedan.</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”Holdingbolag”</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Denna kategori ska omfatta samtliga följande:</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Finansiella holdingföretag enligt definitionen i artikel 4.1.20 i förordning (EU) nr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Blandade finansiella holdingföretag enligt definitionen i artikel 4.1.21 i förordning (EU) nr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Holdingföretag med blandad verksamhet enligt definitionen i artikel 4.1.22 i förordning (EU) nr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Finansiella moderholdingföretag i en medlemsstat enligt definitionen i artikel 4.1.30 i förordning (EU) nr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Finansiella moderholdingföretag inom EU enligt definitionen i artikel 4.1.31 i förordning (EU) nr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Blandade finansiella moderholdingföretag i en medlemsstat enligt definitionen i artikel 4.1.32 i förordning (EU) nr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Blandade finansiella moderholdingföretag inom EU enligt definitionen i artikel 4.1.33 i förordning (EU) nr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”Försäkringsföretag”</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Denna kategori omfattar försäkringsföretag enligt definitionen i artikel 13 i Europaparlamentets och rådets direktiv 2009/138/EG</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”Annan typ av enhet”, för enheter som inte omfattas av någon av ovan nämnda kategorier.</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Land</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ISO-koden 3166-1-alfa-2-kod för enhetens bolagsbildningsland, som kan vara en medlemsstat eller ett tredjeland.</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Ingår i tillsynsramen</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Följande förkortningar rapporteras:</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Y - Ja.</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Nej.</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Artikel 7 CRR-undantag</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Följande förkortningar rapporteras:</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–om behörig myndighet har avstått från att tillämpa artikel 6.1 i förordning (EU) nr 575/2013 i enlighet med artikel 7 i förordning (EU) nr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i övriga fall</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Artikel 10 CRR-undantag</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Följande förkortningar rapporteras:</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om behörig myndighet har tillämpat ett undantag i enlighet med artikel 10 i förordning (EU) nr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i övriga fall</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Summa tillgångar</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Summa tillgångar enligt definitionen för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Totalt riskexponeringsbelopp</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Totalt riskexponeringsbelopp enligt definitionen för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Denna post ska inte rapporteras för enheter som inte är institut eller för enheter som omfattas av ett undantag i enlighet med artikel 7 eller artikel 10 i förordning (EU) nr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Bruttosoliditetsgradens exponeringsvärde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Summa bruttosoliditetsexponering enligt definitionen för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Denna post ska inte rapporteras för enheter som inte är institut eller för enheter som omfattas av ett undantag i enlighet med artikel 7 eller artikel 10 i förordning (EU) nr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Redovisningsstandard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Enhetens tillämpade redovisningsstandarder. Följande förkortningar rapporteras:</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Bidrag till de totala sammanställda tillgångarna</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Det belopp som enheten bidrar med till de totala sammanställda tillgångarna för den koncern som rapporten avser.</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Bidrag till det totala sammanställda riskexponeringsbeloppet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Det belopp som enheten bidrar med till det totala sammanställda riskexponeringsbeloppet för den koncern som rapporten avser.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Bidrag till konsoliderad bruttosoliditetsexponering</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Det belopp som enheten bidrar med till den konsoliderade bruttosoliditetsexponeringen för den koncern som rapporten avser.</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Relevant juridisk person</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Ifall enheten utgör en relevant juridisk person enligt definitionen i artikel 2 i denna förordning.</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Direkt moderföretag</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Enhetens direkta moderföretag. Endast direkta moderföretag med mer än 5 % rösträtt inom enheten </w:t>
            </w:r>
            <w:r>
              <w:rPr>
                <w:rFonts w:ascii="Times New Roman" w:hAnsi="Times New Roman"/>
                <w:color w:val="000000" w:themeColor="text1"/>
                <w:sz w:val="20"/>
                <w:szCs w:val="20"/>
              </w:rPr>
              <w:lastRenderedPageBreak/>
              <w:t>ska rapporteras.</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Ifall en enhet har mer än ett direkt moderföretag ska endast det direkta moderföretaget som har det högsta aktieinnehavet eller, om det är relevant, den högsta andelen röster rapporteras.</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Namn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Namnet på enhetens direkta moderföretag.</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Kod</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Det direkta moderföretagets kod. Institut ska ha den 20-siffriga alfanumeriska LEI-koden. För övriga enheter anges den 20-siffriga alfanumeriska LEI-koden eller, om någon sådan inte finns, en kod enligt en enhetlig kodifiering som tillämpas i unionen eller, om någon sådan inte finns, en nationell kod.</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Koden ska vara unik och användas konsekvent i mallarna. Koden ska alltid ha ett värde.</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LEI-kod</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Enhetens 20-siffriga, alfanumeriska LEI-kod, när en sådan finns.</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Aktiekapital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Det direkta moderföretagets aktieinnehav i enheten, exklusive reserver.</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Rösträtt i enheten</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Det direkta moderföretagets procentandel av rösterna i enheten.</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Denna information krävs endast ifall en aktie inte motsvaras av en röst (eftersom rösträtterna då inte motsvaras av aktiekapitalet).</w:t>
            </w:r>
          </w:p>
        </w:tc>
      </w:tr>
    </w:tbl>
    <w:p w14:paraId="7D57015D" w14:textId="77777777" w:rsidR="00E13CE3" w:rsidRPr="00BA7748"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003307"/>
      <w:r>
        <w:rPr>
          <w:rFonts w:ascii="Times New Roman" w:hAnsi="Times New Roman"/>
          <w:szCs w:val="20"/>
        </w:rPr>
        <w:t>Z 02.00 - Skuldstruktur (LIAB)</w:t>
      </w:r>
      <w:bookmarkEnd w:id="12"/>
      <w:bookmarkEnd w:id="13"/>
    </w:p>
    <w:p w14:paraId="5599ADA4" w14:textId="77777777" w:rsidR="005B4526" w:rsidRPr="00D92B3C" w:rsidRDefault="005B4526" w:rsidP="00EC261B">
      <w:pPr>
        <w:pStyle w:val="Instructionsberschrift3"/>
      </w:pPr>
      <w:r>
        <w:t>Allmänna anmärkningar</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Denna mall innehåller detaljerad information om enhetens eller koncernens skuldstruktur. Skulder delas in i skulder som är exkluderade från skuldnedskrivning och skulder som inte är exkluderade från skuldnedskrivning. Vidare indelning efter skuldklass, motpartsklass och löptid anges.</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Om en uppdelning av löptiden anges i denna mall ska återstående löptid vara tiden fram till den avtalsenliga förfallodagen. Dock gäller följande undantag:</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Om ett skuldinstrument inbegriper en inlösenoption för innehavaren som kan utnyttjas före instrumentets ursprungliga förfallodag, ska instrumentets förfallodag vara den dag då innehavaren tidigast kan utnyttja inlösenoptionen och begära inlösen eller återbetalning av instrumentet.</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Om ett skuldinstrument inbegriper ett incitament till inlösen, återbetalning eller återköp för emittenten som kan utnyttjas före instrumentets ursprungliga förfallodag, ska instrumentets förfallodag vara den dag då emittenten tidigast kan utnyttja denna option och begära inlösen eller återbetalning av instrumentet.</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Om instrumentet inbegriper en sådan köpoption för emittenten, med ett ospecificerat inlösendatum, eller om utnyttjandet av optionen utlöses av specifika händelser, ska ett försiktigt uppskattat sannolikt inlösendatum användas för rapporteringen. Reglerings- eller skatterelaterade köpoptioner ska inte beaktas i detta sammanhang.</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Vid mellanliggande betalningar av kapitalbeloppet ska kapitalbeloppet delas upp och fördelas i motsvarande löptidsintervall. I förekommande fall ska löptiden beaktas separat för både kapitalbeloppet och den upplupna räntan.</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lastRenderedPageBreak/>
        <w:t xml:space="preserve">De belopp som redovisas i denna mall ska vara utestående belopp. Det utestående beloppet av en fordran eller ett instrument utgörs av fordrans eller instrumentets kapitalbelopp plus upplupen ränta. Det utestående skuldbeloppet motsvarar värdet på den fordran som borgenären skulle kunna registrera under insolvensförfaranden.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Dock ska balansräkningsskulder som härrör från derivat (rapporterade på rad 0330) rapporteras som redovisade värden. Det redovisade värdet ska vara redovisat värde enligt definitionen för Finrep, antingen enligt IFRS eller nGAAP, beroende på vad som är tillämpligt. För övriga fall ska siffror enligt nGAAP-rapportering användas. </w:t>
      </w:r>
    </w:p>
    <w:p w14:paraId="2CF3C59A" w14:textId="77777777" w:rsidR="00E13CE3" w:rsidRPr="00D92B3C" w:rsidRDefault="00E13CE3" w:rsidP="00EC261B">
      <w:pPr>
        <w:pStyle w:val="Instructionsberschrift3"/>
      </w:pPr>
      <w:r>
        <w:t>Anvisningar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Kolumner</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Anvisningar</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Hushåll</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bilaga V, del 1, punkt 42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Individer eller grupper av individer i egenskap av konsumenter och producenter av varor och icke-finansiella tjänster uteslutande för egen slutlig användning, och som producenter av marknadsförda varor och icke-finansiella och finansiella tjänster, förutsatt att dessa aktiviteter inte utförs av kvasibolag. Här ingår hushållens ideella organisationer som betjänar hushåll och som främst ägnar sig åt produktion av varor och tjänster avsedda för specifika grupper av hushåll utanför marknaden.</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Icke-finansiella företag (SMF)</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Avdelning I artikel 2.1 i bilagan till kommissionens rekommendation av den 6 maj 2003</w:t>
            </w:r>
            <w:r>
              <w:rPr>
                <w:rStyle w:val="FootnoteReference"/>
                <w:rFonts w:eastAsia="Cambria" w:cs="Cambria"/>
                <w:color w:val="1A171C"/>
                <w:spacing w:val="-2"/>
                <w:w w:val="95"/>
                <w:lang w:val="en-GB"/>
              </w:rPr>
              <w:footnoteReference w:id="8"/>
            </w:r>
            <w:r>
              <w:t>.</w:t>
            </w:r>
            <w:r>
              <w:rPr>
                <w:rFonts w:ascii="Times New Roman" w:hAnsi="Times New Roman"/>
                <w:color w:val="000000" w:themeColor="text1"/>
                <w:sz w:val="20"/>
                <w:szCs w:val="20"/>
              </w:rPr>
              <w:t xml:space="preserve"> Finrep, bilaga V, del 1, punkt 5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Företag som sysselsätter färre än 250 personer och vars årsomsättning inte överskrider 50 miljoner euro och/eller vars årliga totala balansomslutning inte överskrider 43 miljoner euro.</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Icke-finansiella företag (icke-SMF)</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bilaga V, del 1, punkt 42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Företag och kvasibolag som inte ägnar sig åt finansförmedling utan främst åt produktion av handelsvaror och icke-finansiella tjänster i enlighet med förordning (EU) 2021/379</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Exklusive de ”SMF” som redovisas i kolumn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Kreditinstitut</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bilaga V, del 1, punkt 42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Kreditinstitut i den mening som avses i artikel 4.1.1 i förordning (EU) nr 575/2013 samt multilaterala utvecklingsbanker.</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Andra finansiella företag</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bilaga V, del 1, punkt 42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Alla finansiella företag och kvasibolag som inte är kreditinstitut, såsom värdepappersföretag, värdepappersfonder, försäkringsbolag, pensionsfonder, fondbolag och clearingorganisationer liksom återstående finansiella mellanhänder, finansiella serviceföretag och interna finansinstitut och utlåningsföretag.</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Nationella regeringar &amp; centralbanker</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bilaga V, del 1, punkt 42 (a) och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Centralbanker och nationella regeringar, statliga eller regionala myndigheter samt lokala myndigheter, däribland administrativa organ och icke-kommersiella företag, dock undantaget offentliga och privata företag som ägs av dessa administrativa organ och bedriver kommersiell verksamhet (dessa ska rapporteras under ”kreditinstitut”, ”övriga finansiella företag” eller ”icke-finansiella företag” beroende på deras verksamhet), socialförsäkringsfonder och internationella organisationer såsom Europeiska gemenskapen, Internationella valutafonden och Banken för internationell betalningsutjämning.</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Oidentifierade, listade på en handelsplats</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När en innehavares identitet är okänd på grund av att instrumentet har listats på en handelsplats, enligt definitionen i Europaparlamentets och rådets direktiv 2014/65/EU om marknader för finansiella instrument</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ska beloppen redovisas i denna kolumn.</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Oidentifierade, ej listade på en handelsplats</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När en innehavares identitet är okänd utan att instrumentet har listats på en handelsplats, ska beloppen redovisas i denna kolumn och ingen vidare uppdelning av motparterna krävs. Enheter ska göra sitt bästa för att identifiera motparter och begränsa användandet av denna kolumn till ett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Totalt</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Varav: inom koncernen</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Skulder till enheter som inkluderas i det yttersta moderföretagets konsoliderade finansiella rapporter (till skillnad från konsolideringens omfattning för tillsynsändamål).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Varav: skulder som regleras av lagstiftning i ett tredjeland, med undantag för skulder inom koncernen</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dessa ska bruttovärdet på skulderna som regleras av lagen i ett tredjeland och/eller som har utfärdats av koncernenheter som är etablerade i ett tredjeland redovisas. Skulder inom koncernen ska uteslutas.</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 det fall resolutionsmyndigheten, i enlighet med artikel 55.1 tredje stycket i Europaparlamentets och rådets direktiv 2014/59/EU</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har bekräftat att samtliga beslut från en resolutionsmyndighet gällande nedskrivning eller omvandling av en skuld är giltiga enligt lagen i detta tredjeland ska skulden i fråga inte redovisas i denna kolumn.</w:t>
            </w:r>
          </w:p>
        </w:tc>
      </w:tr>
    </w:tbl>
    <w:p w14:paraId="784CE850" w14:textId="77777777" w:rsidR="0081175C" w:rsidRPr="00BA7748"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4"/>
        <w:gridCol w:w="8122"/>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Rader</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Anvisningar</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exkluderade från skuldnedskrivning</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artikel 44.2 i direktiv 2014/59/EU anges att resolutionsmyndigheterna inte får använda skuldnedskrivnings- eller konverteringsbefogenheter avseende skulder som är exkluderade från skuldnedskrivning, oavsett om de regleras enligt en medlemsstats eller ett tredjelands rätt.</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Garanterade insättningar</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Beloppet av garanterade insättningar enligt definitionen i artikel 2.1.5 i Europaparlamentets och rådets direktiv 2014/49/EU</w:t>
            </w:r>
            <w:r>
              <w:rPr>
                <w:rStyle w:val="FootnoteReference"/>
                <w:color w:val="000000" w:themeColor="text1"/>
                <w:lang w:val="en-GB" w:eastAsia="en-GB"/>
              </w:rPr>
              <w:footnoteReference w:id="12"/>
            </w:r>
            <w:r>
              <w:rPr>
                <w:rFonts w:ascii="Times New Roman" w:hAnsi="Times New Roman"/>
                <w:color w:val="000000" w:themeColor="text1"/>
                <w:sz w:val="20"/>
                <w:szCs w:val="20"/>
              </w:rPr>
              <w:t xml:space="preserve">, med undantag för tillfälligt höga belopp enligt definitionen i artikel 6.2 </w:t>
            </w:r>
            <w:r>
              <w:rPr>
                <w:rFonts w:ascii="Times New Roman" w:hAnsi="Times New Roman"/>
                <w:color w:val="000000" w:themeColor="text1"/>
                <w:sz w:val="20"/>
                <w:szCs w:val="20"/>
              </w:rPr>
              <w:lastRenderedPageBreak/>
              <w:t>i samma direktiv.</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Skulder med säkerhet - garanterad del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b i direktiv 2014/59/EU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Skulder med säkerhet inbegripet återköpsavtal (repor), säkerställda obligationer och skulder i form av finansiella instrument som ingår som en integrerad del av säkerhetspoolen och som enligt nationell rätt är säkrade på ett liknande sätt som säkerställda obligationer.</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Varken kravet på att alla säkrade tillgångar som hänför sig till säkerställda obligationer i en täckt säkerhetspool inte påverkas och förblir separerade med tillräcklig finansiering, eller exkludering enligt artikel 44.2 b i direktiv 2014/59/EU, ska hindra resolutionsmyndigheter från att, när så är lämpligt, utöva sina befogenheter gällande delar av skulder med säkerhet eller skulder för vilka säkerhet har ställts som överstiger värdet av de tillgångar, den panträtt, den företagsinteckning eller annan säkerhet som ställts för fordran. Ett sådant osäkrat belopp av dessa skulder med säkerhet ska inte redovisas på denna rad, utan på rad 0340, och delas in ytterligare.</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Centralbanksskulder som täcks av en säkerhetspool (</w:t>
            </w:r>
            <w:r>
              <w:rPr>
                <w:rFonts w:ascii="Times New Roman" w:hAnsi="Times New Roman"/>
                <w:color w:val="1A171C"/>
                <w:sz w:val="20"/>
                <w:szCs w:val="20"/>
              </w:rPr>
              <w:t>till exempel huvudsakliga refinansieringstransaktioner, långfristiga refinansieringstransaktioner, riktade långfristiga refinansieringstransaktioner etc.</w:t>
            </w:r>
            <w:r>
              <w:rPr>
                <w:rFonts w:ascii="Times New Roman" w:hAnsi="Times New Roman"/>
                <w:color w:val="000000" w:themeColor="text1"/>
                <w:sz w:val="20"/>
                <w:szCs w:val="20"/>
              </w:rPr>
              <w:t xml:space="preserve">) ska räknas som skulder med säkerhet.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En särskild typ av skulder är säkerheter som tas emot och redovisas på balansräkningen. När sådana säkerheter är juridiskt bundna till tillgångar ska de hanteras som skulder med säkerhet för denna rapportering.</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Kundrelaterade skulder, om dessa skyddas vid insolvens</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c i direktiv 2014/59/EU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Skulder som kan hänföras till innehav hos institut eller enheter som avses i artikel 1.1 b, c eller d i direktiv 2014/59/EU av kundtillgångar eller kundmedel inbegripet kundtillgångar eller kundmedel som innehas på uppdrag av fondföretag enligt definitionen i artikel 1.2 i Europaparlamentets och rådets direktiv 2009/65/EG</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eller på uppdrag av alternativa investeringsfonder enligt definitionen i artikel 4.1 a i Europaparlamentets och rådets direktiv 2011/61/EU</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under förutsättning att en sådan kund är skyddad enligt tillämplig insolvensrätt.</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Förvaltningsskulder, om dessa skyddas vid insolvens</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d i direktiv 2014/59/EU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Skulder som hänför sig till en förtroenderelation mellan institut eller enheter som avses i artikel 1.1 b, c eller d i direktiv 2014/59/EU (som förvaltare) och en annan person (som mottagare), under förutsättning att en sådan mottagare åtnjuter skydd enligt tillämplig insolvensrätt eller civilrätt.</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Institutionella skulder &lt; 7 dagar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e i direktiv 2014/59/EU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Skulder till institut, med undantag för enheter inom samma redovisningskoncern, med en ursprunglig löptid på mindre än sju dagar.</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till system (-operatörer) och centrala motparter &lt; 7 dagar</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f i direktiv 2014/59/EU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sz w:val="20"/>
                <w:szCs w:val="20"/>
              </w:rPr>
              <w:t>Skulder med en återstående löptid på mindre än sju dagar till system eller systemoperatörer som har utsetts i enlighet med Europaparlamentets och rådets direktiv 98/26/EG</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xml:space="preserve"> eller till deras deltagare </w:t>
            </w:r>
            <w:r>
              <w:rPr>
                <w:rFonts w:ascii="Times New Roman" w:hAnsi="Times New Roman"/>
                <w:sz w:val="20"/>
                <w:szCs w:val="20"/>
              </w:rPr>
              <w:lastRenderedPageBreak/>
              <w:t>och som uppstår till följd av deltagandet i ett sådant system, eller till centrala motparter som har auktoriserats inom unionen enligt artikel 14 i Europaparlamentets och rådets förordning (EU) nr 648/2012</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xml:space="preserve"> och centrala motparter från tredjeland som godkänts av Esma enligt artikel 25 i den förordningen.</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till anställda</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g i i direktiv 2014/59/EU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Skulder till en anställd, relaterade till inarbetad lön, pensionsförmåner eller annan fast ersättning, med undantag för den rörliga delen av ersättning som inte regleras av kollektivavtal. Ovanstående ska dock inte tillämpas på den rörliga delen av en ersättning i det fall den anställde är en väsentlig risktagare, enligt definitionen i artikel 92.2 i direktiv 2013/36/EU.</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som är kritiska för den dagliga driften</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g ii i direktiv 2014/59/EU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Skulder gentemot en borgenär inom affärs- eller handelssektorn där skulden hänför sig till att institut eller enheter som avses i artikel 1.1 b, c eller d i direktiv 2014/59/EU, erhållit varor eller tjänster som är kritiska för dess löpande verksamhet, däribland it-tjänster, försörjningstjänster och hyra, förvaltning och underhåll av lokaler.</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till skatte- och socialförsäkringsmyndigheter, om prioriterade</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g iii i direktiv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Skulder till skatte- och socialförsäkringsmyndigheter, förutsatt att skulderna är prioriterade enligt tillämplig rätt.</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till insättningsgarantisystem</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g i iv direktiv 2014/59/EU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Skulder till insättningsgarantisystem till följd av bidrag som ska betalas i enlighet med direktiv 2014/49/EU.</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till andra enheter i resolutionskoncernen</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44.2 h i direktiv 2014/59/EU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Skulder till institut eller enheter som avses i artikel 1.1 b, c eller d i direktiv 2014/59/EU som ingår i samma resolutionskoncern utan att själva utgöra resolutionsenheter, oberoende av deras löptider, utom om dessa skulder har en lägre rangordning än vanliga skulder utan säkerhet enligt den relevanta nationella rätt som reglerar normala insolvensförfaranden som är tillämplig på dagen för införlivandet av direktiv 2014/59/EU.</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 den exkluderade skulden är en derivatskuld ska nettoskuldpositionerna, med hänsyn tagen till de tillsynsregler om nettning som fastställs i artikel 429c i förordning (EU) nr 575/2013, rapporteras.</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som inte är exkluderade från skuldnedskrivning</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Insättningar, inte garanterade men prioriterade</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108 i direktiv 2014/59/EU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Insättningar enligt definitionen i artikel 2.1.3 i direktiv 2014/49/EU som inte uppfyller kraven för att exkluderas från skuldnedskrivning (artikel 44.2 a i direktiv 2014/59/EU), men där prioritering föreskrivs i enlighet med artikel 108 i direktiv 2014/59/EU.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Insättningar, inte garanterade och inte prioriterade</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Insättningar enligt definitionen i artikel 2.1.3 i direktiv 2014/49/EU som inte uppfyller kraven för att exkluderas från skuldnedskrivning eller prioritering enligt artiklarna 44.2 a eller 108 i direktiv </w:t>
            </w:r>
            <w:r>
              <w:rPr>
                <w:rFonts w:ascii="Times New Roman" w:hAnsi="Times New Roman"/>
                <w:color w:val="000000" w:themeColor="text1"/>
                <w:sz w:val="20"/>
                <w:szCs w:val="20"/>
              </w:rPr>
              <w:lastRenderedPageBreak/>
              <w:t>2014/59/EU.</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Skulder på balansräkningen som kan hänföras till derivat</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Redovisat värde av skulder som kan hänföras till derivat.</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Sammanlagd nettoskuldposition med beaktande av avtalsenliga nettningsmängder, efter marknadsprisjustering, före kvittning av säkerhet</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Summan av alla nettomarknadsvärden av derivatskulderna i varje avtalsenlig nettningsmängd. Nettomarknadsvärdet för en nettningsmängd ska endast redovisas om det utgör en skuld. Derivat för vilka inga nettningsavtal gjorts ska hanteras som enskilda avtal, dvs. som om det vore en nettningsmängd med endast ett derivat.</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Sammanlagd nettoskuldposition med beaktande av avtalsenliga nettningsmänger, efter marknadsprisjustering, efter kvittning av säkerhet</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Uppskattningen på rad 0331 justeras för säkerhet som ställts för att säkra exponeringen, vilket leder till summan av dessa nettomarknadsvärden efter kvittning av säkerhet till marknadsvärde.</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Sammanlagd nettoskuldposition med beaktande av avtalsenliga nettningsmängder, efter marknadsprisjustering, efter kvittning av säkerhet, inräknat förväntat avräkningsbelopp</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enlighet med kommissionens delegerade förordning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ett ytterligare avräkningsbelopp som täcker de förluster eller kostnader som derivatmotparter ådrar sig, eller de vinster som de gör, genom att ersätta eller erhålla den ekonomiska motsvarigheten av de materiella villkoren i de uppsagda avtalen och parternas optionsrättigheter för dessa avtal.</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Det kan vara svårt att göra de uppskattningar som behövs för att fastställa avräkningsbeloppet i enlighet med den delegerade förordningen för enheten på individuell nivå. Därför kan proxy-värden användas i stället, och dessa kan baseras på tillgängliga data så som tillsynskraven för marknadsrisker. Om det visar sig omöjligt att beräkna avräkningsbeloppet för derivatskulderna ska den redovisade summan vara densamma som den summa som redovisas på rad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Sammanlagd nettoskuldposition med beaktande av tillsynsregler för nettning</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Nettoskuldpositionen för derivat ska redovisas med beaktande av tillsynsreglerna för nettning i artikel 429c i förordning (EU) nr 575/2013 (gällande beräkning av bruttosoliditetsgradens totala exponeringsmått).</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Icke-garanterade skulder med säkerhet</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Summan av skulder med säkerhet eller skulder för vilka säkerhet har ställts som överstiger värdet av de tillgångar, den panträtt, den företagsinteckning eller annan säkerhet som ställts för fordran. Detta ska omfatta den ”osäkrade” delen av varje skuld med säkerhet, t.ex. den osäkrade delen av säkerställda obligationer eller återköpstransaktioner.</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Strukturerade produkter</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Strukturerade produkter specificeras för detta syfte som skuldförbindelser med inbäddade derivatkomponenter, vars vinster är kopplade till en underliggande säkerhet eller ett index (offentligt eller anpassat, så som aktier eller obligationer, fasta inkomstsatser eller kredit, valuta, råvaror etc.). Strukturerade produkter inkluderar inte skuldinstrument som endast innehåller köp- och säljoptioner, dvs. instrument vars värde är oberoende av inbäddade derivatkomponenter.</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Seniora skulder utan säkerhet</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Detta omfattar alla osäkrade seniora instrument som inte ingår i kategorin strukturerade produkter.</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Icke-prioriterade seniora skulder</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Summa av någon av följande skulder:</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osäkrade fordringar som är ett resultat av skuldinstrument som uppfyller villkoren i artikel 108.2 a, b och c och 108.3 i direktiv 2014/59/EU,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osäkrade fordringar som är ett resultat av skuldinstrument som avses i artikel 108.5 första stycket b i direktiv 2014/59/EU,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 lägst rankade skuldinstrumenten bland vanliga osäkrade fordringar som är ett resultat av skuldinstrument som avses i artikel 108.7 i direktiv 2014/59/EU, och för vilka en medlemsstat, i enlighet med den punkten, har sett till att de har samma rangordning som fordringar som uppfyller kraven i artikel 108.2 a, b och c och 108.3 i direktiv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Efterställda skulder</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Skulder som enligt nationell insolvensrätt endast ska återbetalas efter det att samtliga klasser av vanliga borgenärer och icke-prioriterade seniora borgenärer har återbetalats till fullo. Detta inkluderar både avtalsenliga skulder och lagenligt efterställda skulder. När det gäller holdingbolag kan även icke efterställda skuldsäkerheter redovisas i denna kategori (dvs. strukturerad efterställdhet).</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Endast efterställda instrument som inte är erkända som kapitalbas ska inkluderas i denna kategori.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Denna rad ska också inkludera den del av de efterställda skulderna som i princip kan räknas som kapitalbas men som inte ingår i kapitalbasen på grund av utfasningsbestämmelserna i t.ex. artikel 64 i förordning (EU) nr 575/2013 (återstående löptid) eller del tio i förordning (EU) nr 575/2013 (övergångsbestämmelser).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Övriga MREL-kvalificerade skulder</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Alla instrument som är kvalificerade för att uppfylla kravet i artikel 45 i direktiv 2014/59/EU men som inte tas upp på raderna 0320 och 0340–0370.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Icke-finansiella skulder</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Denna rad är för icke-finansiella skulder som inte är kopplade till skuldinstrument där innehavaren kan få skulden nedskriven av praktiska skäl, så som avsättningar kopplade till tvister som enheten är inblandad i.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Skulder, restposter</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Alla skulder som inte har redovisats på rad 0100 till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Kapitalbas</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4.1.118 och artikel 72 i förordning (EU) nr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Samma definition som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Kärnprimärkapital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50 i förordning (EU) nr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Samma definition som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Varav: kapitalinstrument/aktiekapital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Rättsliga instrument som utgör (en del av) kärnprimärkapital i form av kapitalinstrument/aktiekapital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Varav:</w:t>
            </w:r>
            <w:r>
              <w:rPr>
                <w:rFonts w:ascii="Times New Roman" w:hAnsi="Times New Roman"/>
                <w:b/>
                <w:bCs/>
                <w:color w:val="000000" w:themeColor="text1"/>
                <w:sz w:val="20"/>
                <w:szCs w:val="20"/>
              </w:rPr>
              <w:t xml:space="preserve"> instrument som är likställda med vanliga aktier</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Rättsliga instrument som utgör (en del av) kärnprimärkapitalbas i form av instrument som inte är kapitalinstrument/aktiekapital men som rankas likadant som denna kategori</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Övrigt primärkapital för kapitaltäckningsändamål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Artikel 61 i förordning (EU) nr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Samma definition som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Varav: </w:t>
            </w:r>
            <w:r>
              <w:rPr>
                <w:rFonts w:ascii="Times New Roman" w:hAnsi="Times New Roman"/>
                <w:b/>
                <w:color w:val="000000" w:themeColor="text1"/>
                <w:sz w:val="20"/>
                <w:szCs w:val="20"/>
              </w:rPr>
              <w:t>(delar av) efterställda skulder erkända som kapitalbas</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Rättsliga instrument som utgör (en del av) övrigt primärkapital.</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Supplementärkapital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71 i förordning (EU) nr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Samma definition som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Varav: (delar av) efterställda skulder erkända som kapitalbas</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Denna indelning identifierar de rättsliga instrument som utgör (en del av) supplementärkapitalbasen.</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Summa skulder och kapitalbas inklusive derivatskulder</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Summan av samtliga skulder som redovisas i denna mall och beloppet för den lagstadgade kapitalbasen. För detta ändamål ska alla belopp på ovanstående rader adderas. När det gäller derivat ska värdet på rad 0334 ”sammanlagd nettoskuldposition med beaktande av tillsynsregler för nettning” användas.</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003308"/>
      <w:r>
        <w:rPr>
          <w:rFonts w:ascii="Times New Roman" w:hAnsi="Times New Roman"/>
          <w:szCs w:val="20"/>
        </w:rPr>
        <w:t>Z 03.00 - Kapitalbaskrav (OWN)</w:t>
      </w:r>
      <w:bookmarkEnd w:id="14"/>
      <w:bookmarkEnd w:id="15"/>
    </w:p>
    <w:p w14:paraId="1EB4E523" w14:textId="77777777" w:rsidR="00F73F97" w:rsidRPr="00D92B3C" w:rsidRDefault="00F73F97" w:rsidP="00EC261B">
      <w:pPr>
        <w:pStyle w:val="Instructionsberschrift3"/>
      </w:pPr>
      <w:r>
        <w:t>Allmänna anmärkningar</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Denna mall innehåller information som rör enhetens eller koncernens kapitalbaskrav.</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All redovisad information ska återspegla de kapitalbaskrav som är tillämpliga på rapporteringsreferensdagen.</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Den information om ytterligare kapitalbaskrav enligt andra pelaren som redovisas i denna mall ska baseras på det senast tillgängliga officiella ÖUP-brevet från behörig myndighet.</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Ifall kapitalkraven inte är tillämpliga på individuell nivå för den enhet som rapporten gäller ska denna endast redovisa rad 0110.</w:t>
      </w:r>
    </w:p>
    <w:p w14:paraId="4CE17C26" w14:textId="77777777" w:rsidR="00E13CE3" w:rsidRPr="00D92B3C" w:rsidRDefault="00E13CE3" w:rsidP="00EC261B">
      <w:pPr>
        <w:pStyle w:val="Instructionsberschrift3"/>
      </w:pPr>
      <w:r>
        <w:t>Anvisningar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Rader</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Anvisningar</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Totalt riskexponeringsbelopp</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92.3 i förordning (EU) nr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Se Z 01.00, kolumn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Totalt riskexponeringsbelopp enligt definitionen för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Bidrag till det totala sammanställda riskexponeringsbeloppet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Z 01.00, kolumn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Denna post ska endast redovisas för enheter som inte omfattas av kapitalkrav på individuell nivå.</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Totalt exponeringsmått</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Artikel 429.4 i förordning (EU) nr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Startkapital och bruttosoliditetskrav</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Startkapital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Artiklarna 12 samt 28–31 i direktiv 2013/36/EU och artikel 93 i förordning (EU) nr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Det startkapital som krävs för att ett institut ska få tillstånd att påbörja sin verksamhet.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Bruttosoliditetskrav</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Bruttosoliditetskrav i enlighet med artikel 92.1 d i förordning (EU) nr 575/2013, beroende på vad som är tillämpligt på enheten eller koncernen, uttryckt i procent av det totala exponeringsmåttet. Rapporterande enheter som utesluter exponeringar mot institutets centralbank enligt artikel 429a.1 n i förordning (EU) nr 575/2013 ska rapportera det justerade bruttosoliditetskravet i enlighet med artikel 429a.7 i den förordningen. Ifall inga formella krav ställs ska enheterna lämna denna cell tom.</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BA7748" w:rsidRDefault="009968AE" w:rsidP="00B525EC">
            <w:pPr>
              <w:pStyle w:val="TableParagraph"/>
              <w:spacing w:before="108"/>
              <w:jc w:val="both"/>
              <w:rPr>
                <w:rFonts w:ascii="Times New Roman" w:hAnsi="Times New Roman" w:cs="Times New Roman"/>
                <w:b/>
                <w:bCs/>
                <w:color w:val="000000" w:themeColor="text1"/>
                <w:sz w:val="20"/>
                <w:szCs w:val="20"/>
                <w:lang w:val="en-US"/>
              </w:rPr>
            </w:pPr>
            <w:r w:rsidRPr="00BA7748">
              <w:rPr>
                <w:rFonts w:ascii="Times New Roman" w:hAnsi="Times New Roman"/>
                <w:b/>
                <w:bCs/>
                <w:color w:val="000000" w:themeColor="text1"/>
                <w:sz w:val="20"/>
                <w:szCs w:val="20"/>
                <w:lang w:val="en-US"/>
              </w:rPr>
              <w:t xml:space="preserve">Total ÖUP-kapitalkravsrelation (TSCR) </w:t>
            </w:r>
          </w:p>
          <w:p w14:paraId="72F8AE53" w14:textId="0E5BD1B5" w:rsidR="002F55A8" w:rsidRPr="00BA7748"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lang w:val="en-US"/>
              </w:rPr>
            </w:pPr>
            <w:r w:rsidRPr="00BA7748">
              <w:rPr>
                <w:rFonts w:ascii="Times New Roman" w:hAnsi="Times New Roman"/>
                <w:color w:val="000000" w:themeColor="text1"/>
                <w:sz w:val="20"/>
                <w:szCs w:val="20"/>
                <w:lang w:val="en-US"/>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Den totala kapitalrelationen (8 %) enligt vad som anges i artikel 92.1 c i förordning (EU) nr 575/2013.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Relationstalet för ytterligare kapitalbaskrav (krav enligt andra pelaren – P2R) som har bestämts i enlighet med artikel 104a i direktiv 2013/36/EU och EBA-riktlinjerna om gemensamma förfaranden och metoder för översyns- och utvärderingsprocessen och stresstest – konsoliderad version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Denna post ska återspegla total ÖUP-kapitalkravsrelation (TSCR) enligt den information som institutet har erhållit av behörig myndighet. TSCR definieras i avsnitt 1.2 i EBA/ÖUP-riktlinjerna.</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Ifall inga ytterligare kapitalbaskrav har kommunicerats av behörig myndighet ska endast punkt i) redovisas.</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som ska utgöras av kärnprimärkapital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Summan av i) och ii) enligt följande:</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Kärnprimärkapitalrelationen (4,5 %) enligt vad som fastställs i artikel 92.1 a i förordning (EU) nr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Den del av relationstalet för ytterligare kapitalbaskrav (P2R), som avses i punkt ii) på rad 0300, som behörig myndighet kräver ska hållas i form av kärnprimärkapital.</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Ifall inga krav på att ytterligare kapitalbas ska hållas i form av kärnprimärkapital har kommunicerats av behörig myndighet ska endast punkt i) redovisas.</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som ska utgöras av primärkapital</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Primärkapitalrelationen (6 %) enligt vad som fastställs i artikel 92.1 b i förordning (EU) nr 575/2013.</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Den del av relationstalet för ytterligare kapitalbaskrav (P2R), som avses i punkt ii) på rad 0300, som behörig myndighet kräver ska hållas i form av primärkapital.</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Ifall inga ytterligare krav på att kapitalbasen ska hållas i form av primärkapital har kommunicerats av behörig myndighet ska endast punkt i) redovisas.</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Kombinerade buffertkrav</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128.6 i direktiv 2013/36/EU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Kapitalkonserveringsbuffert</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Artiklarna 128.1 och 129 i direktiv 2013/36/EU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Enligt artikel 129.1 i det direktivet är kapitalkonserveringsbufferten ett tillägg till kärnprimärkapitalet. Eftersom kapitalkonserveringsbufferten utgörs av en fast andel på 2,5 % ska ett belopp rapporteras i denna cell.</w:t>
            </w:r>
          </w:p>
          <w:p w14:paraId="09409E4E" w14:textId="77777777" w:rsidR="00046CD0" w:rsidRPr="00BA7748"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Konserveringsbuffert på grund av makrotillsynsrisker eller systemrisker identifierade på medlemsstatsnivå</w:t>
            </w:r>
          </w:p>
          <w:p w14:paraId="76B66FEC" w14:textId="77777777" w:rsidR="005337DD" w:rsidRPr="00BA7748"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Artikel 458.2 led d iv i förordning (EU) nr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 denna cell ska den del av konserveringsbufferten för makrotillsynsrisker eller systemrisker identifierade på medlemsstatsnivå redovisas som kan krävas utöver kapitalkonserveringsbufferten, detta i enlighet med artikel 458 i förordning (EU) nr 575/2013.</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Det rapporterade beloppet ska representera det kapitalbasbelopp som behövs för att fylla respektive kapitalbuffertkrav på rapporteringsdatumet.</w:t>
            </w:r>
          </w:p>
          <w:p w14:paraId="30AC9E9B" w14:textId="77777777" w:rsidR="005337DD" w:rsidRPr="00BA7748"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Institutspecifik kontracyklisk kapitalbuffert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Artiklarna 128.2, 130 och 135–140 i direktiv 2013/36/EU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rapporterade beloppet ska representera det kapitalbasbelopp som behövs för att fylla respektive kapitalbuffertkrav på rapporteringsdatumet.</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Systemriskbuffert</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Artiklarna 128.5, 133 och 134 i direktiv 2013/36/EU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rapporterade beloppet ska representera det kapitalbasbelopp som behövs för att fylla respektive kapitalbuffertkrav på rapporteringsdatumet.</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Buffert för globalt systemviktigt institut</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Artiklarna 128.2 och 131 i direktiv 2013/36/EU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rapporterade beloppet ska representera det kapitalbasbelopp som behövs för att fylla respektive kapitalbuffertkrav på rapporteringsdatumet.</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Övrig buffert för systemviktiga institut</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Artiklarna 128.4 och 131 i direktiv 2013/36/EU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rapporterade beloppet ska representera det kapitalbasbelopp som behövs för att fylla respektive kapitalbuffertkrav på rapporteringsdatumet.</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Samlad kapitalkravsrelation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TSCR-relationstalet som avses på rad 0300,</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ifall det är tillämpligt i gällande rätt, relationstalet för de kombinerade buffertkrav som avses i artikel 128.6 i direktiv 2013/36/EU.</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Denna post ska återspegla den samlade kapitalkravsrelationen (OCR) enligt definitionen i stycke 1.2 i EBA/ÖUP-riktlinjerna.</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Ifall inga buffertkrav är tillämpliga ska endast punkt i) redovisas.</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som ska utgöras av kärnprimärkapital</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TSCR-relationstalet som ska bestå av det kärnprimärkapital som avses på rad 0310,</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ifall det är tillämpligt i gällande rätt, relationstalet för de kombinerade buffertkrav som avses i artikel 128.6 i direktiv 2013/36/EU.</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Ifall inga buffertkrav är tillämpliga ska endast punkt i) redovisas.</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som ska utgöras av primärkapital</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TSCR-relationstalet som ska bestå av det primärkapital som avses på rad 0320,</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ifall det är tillämpligt i gällande rätt, relationstalet för de kombinerade buffertkrav som avses i artikel 128.6 i direktiv 2013/36/EU.</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Ifall inga buffertkrav är tillämpliga ska endast punkt i) redovisas.</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och riktlinje för ytterligare kapitalbas (andra pelaren,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OCR-relationstalet som avses på rad 0500.</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I förekommande fall, riktlinjen för ytterligare kapitalbas (andra pelaren, P2G) enligt definitionen i EBA/ÖUP-riktlinjerna. Ytterligare kapitalbas (P2G) ska endast inkluderas ifall behörig myndighet har meddelat institutet detta.</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Ifall ingen ytterligare kapitalbas meddelas av behörig myndighet ska endast punkt i) redovisas.</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och P2G: som ska utgöras av kärnprimärkapital</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OCR-relationstalet som ska bestå av det kärnprimärkapital som avses på rad 0510.</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I förekommande fall, den del av den ytterligare kapitalbasen som avses i punkt ii) på rad 0600, som behörig myndighet kräver ska hållas i form av kärnprimärkapital. Ytterligare kapitalbas (P2G) ska endast inkluderas ifall behörig myndighet har meddelat institutet detta.</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Ifall ingen ytterligare kapitalbas meddelas av behörig myndighet ska endast punkt i) redovisas.</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och P2G: som ska utgöras av primärkapital</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Summan av i) och ii) enligt följande:</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OCR-relationstalet som ska bestå av det primärkapital som avses på rad 0520.</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 förekommande fall, den del av den ytterligare kapitalbasen som avses i punkt ii) på rad 600, som behörig myndighet kräver ska hållas i form av primärkapital. Ytterligare kapitalbas (P2G) ska endast inkluderas ifall behörig myndighet har meddelat institutet detta.</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Ifall ingen ytterligare kapitalbas meddelas av behörig myndighet ska endast punkt i) redovisas.</w:t>
            </w:r>
          </w:p>
        </w:tc>
      </w:tr>
    </w:tbl>
    <w:p w14:paraId="4396EC85" w14:textId="77777777" w:rsidR="00FE3E96" w:rsidRPr="00BA7748"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003309"/>
      <w:r>
        <w:rPr>
          <w:rFonts w:ascii="Times New Roman" w:hAnsi="Times New Roman"/>
          <w:szCs w:val="20"/>
        </w:rPr>
        <w:t>Z 04.00 - Finansiell sammanlänkning inom koncernen (IFC)</w:t>
      </w:r>
      <w:bookmarkEnd w:id="16"/>
      <w:bookmarkEnd w:id="17"/>
    </w:p>
    <w:p w14:paraId="651647D3" w14:textId="77777777" w:rsidR="00E13CE3" w:rsidRPr="00D92B3C" w:rsidRDefault="00AD2380" w:rsidP="00EC261B">
      <w:pPr>
        <w:pStyle w:val="Instructionsberschrift3"/>
      </w:pPr>
      <w:r>
        <w:t>Allmänna anmärkningar</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Denna mall innehåller information om skulder inom koncernen som inte är exkluderade från skuldnedskrivning, kapitalinstrument samt garantier.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All finansiell sammanlänkning mellan relevanta juridiska personer som ingår i den konsoliderade finansiella rapporten ska redovisas. Redovisade belopp som avser samma motpart ska samlas ihop (både efter utfärdare och garanterad enhet samt borgenär, innehavare och garantigivare) och även ordnas efter skuldtyp, kapitalinstrument eller garanti.</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av värden som redovisas i kolumnerna 0020, 0040 och 0050 i denna mall utgör en primärnyckel som måste vara unik för varje rad i mallen.</w:t>
      </w:r>
    </w:p>
    <w:p w14:paraId="2B305CA8" w14:textId="77777777" w:rsidR="00E13CE3" w:rsidRPr="00D92B3C" w:rsidRDefault="00E13CE3" w:rsidP="00715DAB">
      <w:pPr>
        <w:pStyle w:val="Instructionsberschrift3"/>
      </w:pPr>
      <w:r>
        <w:t>Anvisningar för specifika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Kolumner</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Anvisningar</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Utfärdare eller garanterad enhet</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 person som utfärdar skulderna eller kapitalinstrumenten, eller är en garanterad enhet.</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Enhetens namn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Måste skilja sig från enhetsnamnet som anges i kolumn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Utfärdarens eller garantimottagarens kod. Institut ska ha den 20-siffriga alfanumeriska LEI-koden. För övriga enheter anges den 20-siffriga alfanumeriska LEI-koden eller, om någon sådan inte finns, en kod enligt en enhetlig kodifiering som tillämpas i unionen eller, om någon sådan inte finns, en nationell kod.</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 vara unik och användas konsekvent i mallarna.</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måste skilja sig från den kod som anges i kolumn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Kreditgivare, innehavare eller garantigivare</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 person som är skuldens borgenär, innehavare av kapitalinstrumentet eller tillhandahåller garantin.</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Enhetens namn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Måste skilja sig från enhetsnamnet som anges i kolumn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för borgenären, innehavaren, eller garantigivaren. För institut ska den 20-siffriga alfanumeriska LEI-koden anges. För övriga enheter anges den 20-siffriga alfanumeriska LEI-koden eller, om någon sådan inte finns, en kod enligt en enhetlig kodifiering som tillämpas i unionen eller, om någon sådan inte finns, en nationell kod.</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 vara unik och användas konsekvent i mallarna.</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Måste skilja sig från den som anges i kolumn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Finansiell sammanlänkning </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detta fält beskrivs finansiell sammanlänkning mellan de relevanta juridiska personerna.</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Välj en ur följande lista:</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Skulder inom koncernen</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Insättningar, inte garanterade men prioriterade</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Insättningar, inte garanterade och inte prioriterade</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Skulder som kan hänföras till derivat (avräkningsbelopp)</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Icke-garanterade skulder med säkerhet</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Strukturerade produkter</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Seniora skulder utan säkerhet</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Icke-prioriterade seniora skulder</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Efterställda skulder</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Övriga MREL-kvalificerade skulder</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Icke-finansiella skulder</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Skulder, restposter</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0400 Skulder som inte passar in på någon av ovanstående poster.</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Supplementärkapital</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Primärkapitaltillskott</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Kärnprimärkapital</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Samma definition som i Z 02.00 (LIAB), rad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Garantier inom koncernen</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Utställande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Garantier för specifika instrument/skulder som har utfärdats</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Motpart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Garantier som har beviljats en specifik motpart bland institutets motparter</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Obegränsat</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Allmänna garantier som inte är begränsade till ett fast belopp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Övrigt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Samtliga garantier som inte kan räknas in bland ovanstående garantityper.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Utestående belopp</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För skulder (kolumn 0050, typerna L.1, L.2 och L.4-L.14), det utestående beloppet av skulderna inom koncernen. För skulder som kan hänföras till derivat (typ L.3), avräkningsbelopp enligt definitionen för mall Z 02.00 (LIAB), rad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För garantier (kolumn 0050, värden G.1 - G.4), den potentiellt högsta max-summan för framtida betalningar inom garantin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Varav: som har utfärdats enligt lagstiftning i tredjeland</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Andelen, i monetärt belopp, av utestående belopp som regleras av lagstiftningen i ett tredjeland.</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Varav: MREL-kvalificerade</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Beloppet för kapitalbas och skulder som kan medräknas för att uppfylla det krav som anges i artikel 45 i direktiv 2014/59/EU.</w:t>
            </w:r>
            <w:r>
              <w:t xml:space="preserve"> </w:t>
            </w:r>
          </w:p>
        </w:tc>
      </w:tr>
    </w:tbl>
    <w:p w14:paraId="27337152" w14:textId="77777777" w:rsidR="00E13CE3" w:rsidRPr="00BA7748"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003310"/>
      <w:r>
        <w:rPr>
          <w:rFonts w:ascii="Times New Roman" w:hAnsi="Times New Roman"/>
          <w:szCs w:val="20"/>
        </w:rPr>
        <w:lastRenderedPageBreak/>
        <w:t>Z 05.01 och Z 05.02 -</w:t>
      </w:r>
      <w:r>
        <w:t xml:space="preserve"> </w:t>
      </w:r>
      <w:bookmarkStart w:id="19" w:name="_Toc492542325"/>
      <w:r>
        <w:rPr>
          <w:rFonts w:ascii="Times New Roman" w:hAnsi="Times New Roman"/>
          <w:szCs w:val="20"/>
        </w:rPr>
        <w:t>Större motparter (MCP)</w:t>
      </w:r>
      <w:bookmarkEnd w:id="19"/>
      <w:bookmarkEnd w:id="18"/>
    </w:p>
    <w:p w14:paraId="3CC29F42" w14:textId="77777777" w:rsidR="00BF5063" w:rsidRPr="00D92B3C" w:rsidRDefault="00BF5063" w:rsidP="00715DAB">
      <w:pPr>
        <w:pStyle w:val="Instructionsberschrift3"/>
      </w:pPr>
      <w:r>
        <w:t>Allmänna anmärkningar</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dessa mallar samlas information om skulder till större motparter (Z 05.01) och poster utanför balansräkningen som mottagits från större motparter (Z 05.02). Rapporterade belopp ska läggas samman om de gäller samma motpart och samma typ av skulder eller poster utanför balansräkningen.</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Skulder samt poster utanför balansräkningen för vilka ingen motpart kan identifieras ska inte redovisas i dessa mallar. Skulder samt poster utanför balansräkningen vars motpart är en enhet som är inkluderad i den konsoliderade finansiella rapporten ska inte redovisas.</w:t>
      </w:r>
    </w:p>
    <w:p w14:paraId="3454E902" w14:textId="77777777" w:rsidR="00DF1EA4" w:rsidRPr="00D92B3C" w:rsidRDefault="00F7117F" w:rsidP="00715DAB">
      <w:pPr>
        <w:pStyle w:val="Instructionsberschrift3"/>
      </w:pPr>
      <w:r>
        <w:t>Z 05.01 – Större skuldmotparter - Anvisningar gällande specifika positioner</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av värden som redovisas i kolumnerna 0020 och 0060 i denna mall utgör en primärnyckel som måste vara unik för varje rad i mallen.</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Kolumner</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Anvisningar</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Motpart</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Information gällande större motparter gentemot vilka skulderna har uppstått.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Större motparter identifieras genom en sammanräkning av den i mallen redovisade koncernens eller enhetens samtliga utestående skuldbelopp gentemot varje motpart eller grupp av kunder med inbördes anknytning, detta med undantag för skulder till enheter som är inkluderade i den konsoliderade finansiella rapporten.</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Motparterna och grupperna av kunder med inbördes anknytning ska sedan rangordnas efter det aggregerade utestående beloppet i syfte att identifiera de 10 största motparterna, och information om dessa ska presenteras i denna mall.</w:t>
            </w:r>
          </w:p>
          <w:p w14:paraId="06033B0A" w14:textId="77777777" w:rsidR="00AD011A" w:rsidRPr="00BA7748"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Definitionen av ”grupp av motparter med inbördes anknytning” ska följa definitionen av ”grupp av kunder med inbördes anknytning” i artikel 4.1.39 i förordning (EU) nr 575/2013. </w:t>
            </w:r>
          </w:p>
          <w:p w14:paraId="294E9015" w14:textId="77777777" w:rsidR="00AD011A" w:rsidRPr="00BA7748"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För ändamålet med denna mall ska en motpart inte vara en enhet som är inkluderad i den konsoliderade finansiella rapporten.</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Namnet på den största motparten eller, i förekommande fall, namnet på gruppen av kunder med inbördes anknytning.</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Namnet på en grupp av kunder med inbördes anknytning ska överensstämma med det namn som rapporteras för moderföretaget eller, när gruppen av kunder med inbördes anknytning inte har något moderföretag, med gruppens handelsnamn.</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för den största motparten eller gruppen av kunder med inbördes anknytning. Institut ska ha den 20-siffriga alfanumeriska LEI-koden. För övriga enheter anges den 20-siffriga alfanumeriska LEI-koden eller, om någon sådan inte finns, en kod enligt en enhetlig kodifiering som tillämpas i unionen eller, om någon sådan inte finns, en nationell kod.</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 vara unik och användas konsekvent i mallarna.</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Koncern eller enskild</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Institutet ska redovisa ”1” för enskilda större motparter och ”2” för grupper av kunder med inbördes anknytning.</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ISO-koden 3166-1-alfa-2 för motpartens bolagsbildningsland. Detta inkluderar pseudo-ISO-koder för internationella organisationer, tillgängliga i den senaste versionen av Eurostats ”Balance of Payments Vademecum”.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Landet bestäms utifrån var motparten har sitt säte. När det gäller grupper av kunder med inbördes anknytning ska moderföretagets bolagsbildningsland redovisas.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sektor ska hänföras till varje motpart på grundval av följande Finrep-sektorer (Finrep, bilaga V, del 1, kapitel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Centralbanker</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Offentlig sektor</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Kreditinstitut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Andra finansiella företag</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Icke-finansiella företag</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Hushåll</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För grupper av kunder med inbördes anknytning ska ingen sektor rapporteras.</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Skuldtypen ska vara en av de skuldtyper som anges i mall Z 02.00 - skuldstruktur (LIAB), nämligen:</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Skulder exkluderade från skuldnedskrivning</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Insättningar, inte garanterade men prioriterade</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Insättningar, inte garanterade och inte prioriterade</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Skulder som kan hänföras till derivat</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Icke-garanterade skulder med säkerhet</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Strukturerade produkter</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Seniora skulder utan säkerhet</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Icke-prioriterade seniora skulder</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Efterställda skulder (inte erkända som kapitalbas)</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Övriga MREL-kvalificerade skulder</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Icke-finansiella skulder</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Skulder, restposter</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Ifall skulderna till en större motpart består av fler än en av dessa skuldtyper ska varje skuldtyp redovisas på en separat rad.</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Belopp</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Beloppet ska motsvara definitionen av ”utestående belopp” enligt mall Z 02.00 - skuldstruktur (LIAB). När det gäller skulder som kan hänföras till derivat (typ L.3) ska avräkningsbeloppen redovisas enligt definitionen för rad 0333 i mall Z 02.00 .</w:t>
            </w:r>
          </w:p>
        </w:tc>
      </w:tr>
    </w:tbl>
    <w:p w14:paraId="3AE50F86" w14:textId="77777777" w:rsidR="00627D51" w:rsidRPr="00BA7748"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Större motparter utanför balansräkningen: Anvisningar för specifika positioner</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av värden som redovisas i kolumnerna 0020 och 0060 i denna mall utgör en primärnyckel som måste vara unik för varje rad i mallen.</w:t>
      </w:r>
    </w:p>
    <w:tbl>
      <w:tblPr>
        <w:tblW w:w="0" w:type="auto"/>
        <w:tblCellMar>
          <w:top w:w="57" w:type="dxa"/>
          <w:left w:w="57" w:type="dxa"/>
          <w:bottom w:w="57" w:type="dxa"/>
          <w:right w:w="0" w:type="dxa"/>
        </w:tblCellMar>
        <w:tblLook w:val="01E0" w:firstRow="1" w:lastRow="1" w:firstColumn="1" w:lastColumn="1" w:noHBand="0" w:noVBand="0"/>
      </w:tblPr>
      <w:tblGrid>
        <w:gridCol w:w="953"/>
        <w:gridCol w:w="8073"/>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r>
              <w:rPr>
                <w:rFonts w:ascii="Times New Roman" w:hAnsi="Times New Roman"/>
                <w:color w:val="000000" w:themeColor="text1"/>
                <w:sz w:val="20"/>
                <w:szCs w:val="20"/>
              </w:rPr>
              <w:lastRenderedPageBreak/>
              <w:t>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lastRenderedPageBreak/>
              <w:t>Motpart</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Information gällande de största motparterna utanför balansräkningen.</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Större motparter utanför balansräkningen ska identifieras genom en sammanslagning av det totala nominella beloppet av låneåtaganden och erhållna finansiella garantier (enligt definition i Finrep, mall F 09) som den i mallen redovisade enheten eller koncernen har tagit emot av motparter eller grupper av kunder med inbördes anknytning. Enheter som är inkluderade i koncernens konsoliderade finansiella rapport ska exkluderas från de större motparterna utanför balansräkningen. Motparterna eller gruppen av kunder med inbördes anknytning ska sedan rangordnas efter sammanslaget belopp i syfte att identifiera de 10 största motparterna utanför balansräkningen, och information om dessa ska redovisas i denna mall.</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För denna mall får endast motparter som inte är inkluderade i den konsoliderade finansiella rapporten redovisas.</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anvisningarna för kolumn 0010 i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anvisningarna för kolumn 0020 i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Koncern eller enskild</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anvisningarna för kolumn 0030 i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anvisningarna för kolumn 0040 i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anvisningarna för kolumn 0050 i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Typ av post utanför balansräkningen ska vara en av följande, enligt Finreps definition, mall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Erhållna låneåtaganden</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Erhållna finansiella garantier</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Övriga erhållna åtaganden</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Ifall posterna utanför balansräkningen från en större motpart består av mer än en av dessa typer ska varje post utanför balansräkningen redovisas på en separat rad.</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Belopp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003311"/>
      <w:r>
        <w:rPr>
          <w:rFonts w:ascii="Times New Roman" w:hAnsi="Times New Roman"/>
          <w:szCs w:val="20"/>
        </w:rPr>
        <w:t>Z 06.00 - Insättningsgaranti (DIS)</w:t>
      </w:r>
      <w:bookmarkEnd w:id="20"/>
      <w:bookmarkEnd w:id="21"/>
    </w:p>
    <w:p w14:paraId="3E891384" w14:textId="77777777" w:rsidR="008F7980" w:rsidRPr="00D92B3C" w:rsidRDefault="006A7DCF" w:rsidP="00715DAB">
      <w:pPr>
        <w:pStyle w:val="Instructionsberschrift3"/>
      </w:pPr>
      <w:r>
        <w:t>Allmänna anmärkningar</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Denna mall ger en översikt över insättningsgarantin inom en grupp. Om en relevant juridisk person i koncernen är medlem i ett insättningsgarantisystem ska detta rapporteras i denna mall.</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Varje kreditinstitut som tillhör koncernen ska redovisas på en separat rad.</w:t>
      </w:r>
    </w:p>
    <w:p w14:paraId="039239B2" w14:textId="77777777" w:rsidR="006A7DCF" w:rsidRPr="00D92B3C" w:rsidRDefault="006A7DCF" w:rsidP="00715DAB">
      <w:pPr>
        <w:pStyle w:val="Instructionsberschrift3"/>
      </w:pPr>
      <w:r>
        <w:t>Anvisningar för specifika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Enhet</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Namnet på enheten enligt vad som anges i Z 01.00 - organisationsstruktur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Enhetens kod enligt vad som anges i Z 01.00 - organisationsstruktur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identifierar raden och måste vara unik för varje rad i tabellen.</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Insättningsgarantisystem (DGS)</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4.3 i direktiv 2014/49/EU</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Namnet på det officiellt erkända insättningsgarantisystem som enheten är medlem i enligt direktiv 2014/49/EU. Detta ska vara insättningsgarantisystemet i den medlemsstat som utgör enhetens bolagsbildningsland, och övriga insättningsgarantisystem som i övriga medlemsstater kan ge ytterligare skydd (”tillägg”) till enhetens kunder i en filial i denna medlemsstat ska uteslutas. Om ett institut är medlem i ett institutionellt skyddssystem som även är officiellt erkänt som ett insättningsgarantisystem, i enlighet med artikel 4.2 i direktiv 2014/49/EU, ska insättningsgarantisystemets namn vara identiskt med namnet på det institutionella skyddssystemet på rad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För varje bolagsbildningsland för enheten ska insättningsgarantisystemet väljas bland följande:</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Österrike</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Belgien</w:t>
            </w:r>
          </w:p>
          <w:p w14:paraId="08603455" w14:textId="77777777" w:rsidR="004842F3" w:rsidRPr="00BA774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BA7748">
              <w:rPr>
                <w:rFonts w:ascii="Times New Roman" w:hAnsi="Times New Roman"/>
                <w:color w:val="000000" w:themeColor="text1"/>
                <w:sz w:val="20"/>
                <w:szCs w:val="20"/>
                <w:lang w:val="fr-BE"/>
              </w:rPr>
              <w:t>”Garantiefonds voor financiële diensten/Fonds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Bulgarien</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Kroatien</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Cypern</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Tjeckien</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Danmark</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Estland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Frankrike</w:t>
            </w:r>
          </w:p>
          <w:p w14:paraId="38F2590C" w14:textId="77777777" w:rsidR="004842F3" w:rsidRPr="00BA774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BA7748">
              <w:rPr>
                <w:rFonts w:ascii="Times New Roman" w:hAnsi="Times New Roman"/>
                <w:color w:val="000000" w:themeColor="text1"/>
                <w:sz w:val="20"/>
                <w:szCs w:val="20"/>
                <w:lang w:val="fr-BE"/>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Tyskland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w:t>
            </w:r>
            <w:r>
              <w:rPr>
                <w:rFonts w:ascii="Times New Roman" w:hAnsi="Times New Roman"/>
                <w:color w:val="000000" w:themeColor="text1"/>
                <w:sz w:val="20"/>
                <w:szCs w:val="20"/>
              </w:rPr>
              <w:lastRenderedPageBreak/>
              <w:t>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Grekland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Ungern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Italien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Lettland</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Lichtenstein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Litauen</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Luxemburg</w:t>
            </w:r>
          </w:p>
          <w:p w14:paraId="46B805EB" w14:textId="77777777" w:rsidR="004842F3" w:rsidRPr="00BA774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BA7748">
              <w:rPr>
                <w:rFonts w:ascii="Times New Roman" w:hAnsi="Times New Roman"/>
                <w:color w:val="000000" w:themeColor="text1"/>
                <w:sz w:val="20"/>
                <w:szCs w:val="20"/>
                <w:lang w:val="fr-BE"/>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Nederländerna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Norge</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Polen</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Rumänien</w:t>
            </w:r>
          </w:p>
          <w:p w14:paraId="7E7EAD06" w14:textId="34311B43" w:rsidR="004842F3" w:rsidRPr="00BA774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BA7748">
              <w:rPr>
                <w:rFonts w:ascii="Times New Roman" w:hAnsi="Times New Roman"/>
                <w:color w:val="000000" w:themeColor="text1"/>
                <w:sz w:val="20"/>
                <w:szCs w:val="20"/>
                <w:lang w:val="fr-BE"/>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Slovakien</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Slovenien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Spanien</w:t>
            </w:r>
          </w:p>
          <w:p w14:paraId="00EC15AE" w14:textId="77777777" w:rsidR="004842F3" w:rsidRPr="00BA774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BA7748">
              <w:rPr>
                <w:rFonts w:ascii="Times New Roman" w:hAnsi="Times New Roman"/>
                <w:color w:val="000000" w:themeColor="text1"/>
                <w:sz w:val="20"/>
                <w:szCs w:val="20"/>
                <w:lang w:val="fr-BE"/>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lastRenderedPageBreak/>
              <w:t>Sverige</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Ifall det officiellt erkända insättningsgarantisystem som enheten är medlem i inte anges ovan ska ”övriga” redovisas.</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Summa garanterade insättningar</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Artiklarna 2.1.5 och 6.2 i direktiv 2014/49/EU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Beloppet av garanterade insättningar enligt definitionen i artikel 2.1.5 tillsammans med artikel 6 i direktiv 2014/49/EU, som omfattas av insättningsgarantisystemet enligt rad 00030, med undantag för tillfälligt höga belopp enligt definitionen i artikel 6.2 i samma direktiv.</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Institutionellt skyddssystem</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113.7 i förordning (EU) nr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Namnet på det institutionella skyddssystem som avses i artikel 113.7 i förordning (EU) nr 575/2013, och som enheten är medlem i. Ifall enheten inte är medlem i ett institutionellt skyddssystem ska ingenting redovisas. När ett institut är medlem i ett institutionellt skyddssystem som även är officiellt erkänt som ett insättningsgarantisystem, i enlighet med artikel 4.2 i direktiv 2014/49/EU, ska insättningsgarantisystemets namn vara identiskt med namnet på det institutionella skyddssystemet på rad 030.</w:t>
            </w:r>
          </w:p>
          <w:p w14:paraId="76DBA0CC" w14:textId="77777777" w:rsidR="0057049E" w:rsidRPr="00BA7748"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Ytterligare skydd enligt avtalsreglerad plan</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1.3 a i direktiv 2014/49/EU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Belopp av insättningar som omfattas av enhetens system som regleras genom avtal.</w:t>
            </w:r>
          </w:p>
        </w:tc>
      </w:tr>
    </w:tbl>
    <w:p w14:paraId="54A835DD" w14:textId="77777777" w:rsidR="0057049E" w:rsidRPr="00BA7748"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003312"/>
      <w:r>
        <w:rPr>
          <w:rFonts w:ascii="Times New Roman" w:hAnsi="Times New Roman"/>
          <w:szCs w:val="20"/>
        </w:rPr>
        <w:t>Kritiska funktioner och kärnaffärsområden</w:t>
      </w:r>
      <w:bookmarkEnd w:id="23"/>
      <w:bookmarkEnd w:id="24"/>
    </w:p>
    <w:p w14:paraId="7F5A1735" w14:textId="77777777" w:rsidR="00AA4026" w:rsidRPr="00D92B3C" w:rsidRDefault="00AA4026" w:rsidP="00715DAB">
      <w:pPr>
        <w:pStyle w:val="Instructionsberschrift3"/>
      </w:pPr>
      <w:r>
        <w:t>Allmänna anmärkningar</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 fyra mallarna i detta stycke ges nyckeldata och en kvalitativ bedömning av koncernens ekonomiska funktioners verkningar, utbytbarhet samt kriticitet, och härtill en kartläggning av dessa kritiska funktioner enligt kärnaffärsområden och juridiska personer.</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Närmare bestämt omfattar mallarna följande områden:</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Mall Z 07.01 - I kriticitetsbedömningen av de ekonomiska funktionerna (FUNC 1) identifieras, utifrån kvantitativa och kvalitativa indikatorer, koncernens icke-kritiska och kritiska funktioner för varje medlemsstat där enheten är aktiv.</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Mall Z 07.02 - Kartläggningen av kritiska funktioner enligt juridisk person (FUNC 2) ordnar de identifierade kritiska funktionerna efter juridisk person och det bedöms ifall den juridiska personen är väsentlig för den kritiska funktionen eller inte.</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 07.03 - Kartläggningen av kärnaffärsområden enligt juridisk person (FUNC 3) ger en fullständig lista på kärnaffärsområden och ordnar dem efter juridisk person.</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Mall Z 07.04 - Kartläggningen av kritiska funktioner enligt kärnaffärsområden (FUNC 4) ordnar de identifierade kritiska funktionerna efter affärsområden.</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 enlighet med artikel 2.1.35 i direktiv 2014/59/EU avses med kritiska funktioner </w:t>
      </w:r>
      <w:r>
        <w:rPr>
          <w:rFonts w:ascii="Times New Roman" w:hAnsi="Times New Roman"/>
          <w:i/>
          <w:iCs/>
          <w:sz w:val="20"/>
          <w:szCs w:val="20"/>
        </w:rPr>
        <w:t xml:space="preserve">aktiviteter, tjänster eller transaktioner som om de upphörde sannolikt skulle leda till störningar av tjänster som är avgörande för realekonomin eller störa den finansiella stabiliteten på grund av institutets eller koncernens storlek, </w:t>
      </w:r>
      <w:r>
        <w:rPr>
          <w:rFonts w:ascii="Times New Roman" w:hAnsi="Times New Roman"/>
          <w:i/>
          <w:iCs/>
          <w:sz w:val="20"/>
          <w:szCs w:val="20"/>
        </w:rPr>
        <w:lastRenderedPageBreak/>
        <w:t>marknadsandel, externa och interna sammanlänkning, komplexitet eller gränsöverskridande verksamhet, i en eller flera medlemsstater, särskilt med avseende på dessa aktiviteters, tjänsters eller transaktioners utbytbarhet</w:t>
      </w:r>
      <w:r>
        <w:rPr>
          <w:rFonts w:ascii="Times New Roman" w:hAnsi="Times New Roman"/>
          <w:sz w:val="20"/>
          <w:szCs w:val="20"/>
        </w:rPr>
        <w:t xml:space="preserve">.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rPr>
        <w:t>I enlighet med artikel 6.1 i kommissionens delegerade förordning (EU) 2016/778</w:t>
      </w:r>
      <w:r>
        <w:rPr>
          <w:rFonts w:ascii="Times New Roman" w:hAnsi="Times New Roman" w:cs="Times New Roman"/>
          <w:vertAlign w:val="superscript"/>
          <w:lang w:val="en-GB"/>
        </w:rPr>
        <w:footnoteReference w:id="18"/>
      </w:r>
      <w:r>
        <w:rPr>
          <w:rFonts w:ascii="Times New Roman" w:hAnsi="Times New Roman"/>
        </w:rPr>
        <w:t>, ska en funktion anses vara kritisk när den uppfyller båda av följande:</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Funktionen tillhandahålls av ett institut till tredje parter som inte är anknutna till institutet eller koncernen, och</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en plötslig störning i utförandet av den funktionen skulle sannolikt ha en väsentlig negativ påverkan på den tredje parten, ge spridningseffekter eller underminera marknadsaktörernas allmänna förtroende på grund av funktionens systembetydelse för tredje part, och betydelsen för systemet av att institutet eller koncernen tillhandahåller denna funktion.</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 enlighet med artikel 2.1.36 i direktiv 2014/59/EU avses med kärnaffärsområden </w:t>
      </w:r>
      <w:r>
        <w:rPr>
          <w:rFonts w:ascii="Times New Roman" w:hAnsi="Times New Roman"/>
          <w:i/>
          <w:iCs/>
          <w:sz w:val="20"/>
          <w:szCs w:val="20"/>
        </w:rPr>
        <w:t>affärsområden och kringtjänster som utgör faktiska källor till inkomst, vinst eller har ett franchisevärde för ett institut eller en koncern som institutet tillhör</w:t>
      </w:r>
      <w:r>
        <w:rPr>
          <w:rFonts w:ascii="Times New Roman" w:hAnsi="Times New Roman"/>
          <w:sz w:val="20"/>
          <w:szCs w:val="20"/>
        </w:rPr>
        <w:t>.</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denna mall avses med ekonomiska funktioner de funktioner som listas i tabellen nedan.</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För varje kategori av ekonomiska funktioner kan kategorin ”övriga” väljas ifall funktionen inte omfattas av de andra fördefinierade funktionerna.</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 motparter som avses på rad 0010–0070 och rad 0080–0150 identifieras likadant som motpartssektorerna i Finrep bilaga V del 1 kapitel 6. Med ”SMF” avses små och medelstora företag enligt definitionen i Finrep, bilaga V, del 1, punkt 5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Ekonomisk funktion</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Insättningar</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Inlåning ska avse mottagande av insättningar från icke-finansiella mellanhänder. Detta inkluderar inte lån från andra finansiella mellanhänder, vilka hanteras separat under ”kapitalmarknadsfinansiering”.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Insättningar inkluderar: i) löpande räkningar/inlåning över natten, ii) insättningar med avtalad löptid och iii) aviserade insättningar, och återköpsavtal ingår inte.</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Referenser: FSB-råd gällande identifiering av kritiska funktioner och kritiska delade tjänster (2013) s. 14, bilaga II del 2 posterna 9.1, 9.2 och 9.3 i förordning (EU) nr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Hushåll</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Icke-finansiella företag (SMF)</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Icke-finansiella företag (icke-SMF)</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Offentlig sektor</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Övriga sektorer/motparter (1), (2) och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Utlåning</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Lån ska avse finansiering till  icke-finansiella motparter, så som företagskunder eller hushållskunder. Lån till finansiella motparter är en annan typ av verksamhet och bedöms under ”kapitalmarknadsfinansiering”. Lån inkluderar skuldinstrument som innehas av instituten men exkluderar skuldinstrument som är värdepapper, </w:t>
            </w:r>
            <w:r>
              <w:rPr>
                <w:rFonts w:ascii="Times New Roman" w:hAnsi="Times New Roman"/>
                <w:color w:val="000000" w:themeColor="text1"/>
                <w:sz w:val="20"/>
                <w:szCs w:val="20"/>
              </w:rPr>
              <w:lastRenderedPageBreak/>
              <w:t>oavsett vilken redovisningsklassificering dessa har.</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Referenser: FSB-råd gällande identifiering av kritiska funktioner och kritiska delade tjänster (2013) s.17, bilaga II del 2 post 2 i förordning (EU) nr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Hushåll - bostadslån</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Med bostadslån avses lån till hushåll för inköp av bostad för eget bruk eller uthyrning, inklusive lån för byggnation och renovering.</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Hushåll - övriga lån</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Icke-finansiella företag - SMF</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Icke-finansiella företag - icke-SMF</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Offentlig sektor</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Övriga sektorer/motparter (1), (2) och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 kontant-, avvecklings-, clearing- och depåtjänster</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 FSB-råd gällande identifiering av kritiska funktioner och kritiska delade tjänster (2013) s.20.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ekonomiska funktioner som ingår under denna rubrik ska bestå av tjänster för betalningar, kontanter, avveckling, clearing och depåer som tillhandahålls av ett kreditinstitut, i egenskap av mellanhand mellan två kunder eller som en mellanhand mellan en kund och en eller flera relevanta finansmarknadsinfrastrukturer (FMI), eller tillhandahållande av (indirekt) åtkomst till övriga bankers finansmarknadsinfrastrukturer. I enlighet med FSB-råden gällande identifiering av kritiska funktioner och kritiska delade tjänster ska funktionen för betalningar, clearing och avveckling begränsas till tjänster som bankerna tillhandahåller sina kunder. Denna kategori omfattar inte tjänster som tillhandahålls av (rena) finansmarknadsinfrastrukturleverantörer. För ändamålet med denna mall ska finansmarknadsinfrastrukturer inkludera betalningssystem, centrala värdepapperscentraler och centrala motparter (men inte transaktionsregister).</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Begreppen ”betaltjänster”, ”betalningstransaktioner” och ”betalningssystem” har samma innebörd som respektive definition i artiklarna 4.3, 4.5 och 4.7 i Europaparlamentets och rådets direktiv (EU)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BA7748"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Betaltjänster till MFI</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På denna rad ska även betaltjänster till monetära finansinstitut (MFI) redovisas, med eller utan användning av externa betalningssystem. Här ska även (betalningar kopplade till) motsvarande banktjänster redovisas. MFI ska bestå av samtliga institutionella enheter som ingår i undersektorerna: i) en centralbank, ii) företag som tar emot inlåning, förutom centralbanken, och iii) penningmarknadsfonder.</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Betaltjänster till icke-MFI</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Betaltjänster som erbjuds till kunder med eller utan användning av externa betalningssystem. Här ska även fysiska och juridiska personer som inte tillhör MFI-sektorn inkluderas. Leverantörer av betaltjänster ska också exkluderas från ”icke-MFI-sektorn”.</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Kontanttjänster</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Tillhandahållande av kontanttjänster till kunder (både privatkunder och företagskunder, endast icke-MFI). Dessa tjänster avser uttag i uttagsautomater samt över disk hos filialer och inkluderar inte övriga kontanttjänster (däribland värdetransporttjänster till stora distributörer). Här ingår kontantuttag med checkar samt uttag över disk hos filialer genom användning av bankblanketter (där kort kan användas för identifiering).</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Värdepappersavvecklingstjänster</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Tjänster till kunder för bestyrkande, clearing och avveckling av värdepapperstransaktioner, med eller utan användning av garantiavvecklingssystem. Med ”avveckling” avses avslutande av en värdepapperstransaktion när denna avslutas i syfte att reglera förpliktelserna mellan transaktionsparterna genom överföring av kontantmedel och/eller värdepapper.</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CCP-clearingtjänster</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Värdepapperstjänster och derivatclearingtjänster till kunder. Här ingår även tillhandahållande av indirekt åtkomst till en central motpart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Depåtjänster</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Förvaring och handhavande av finansiella instrument för kunders räkning samt depåtjänster, exempelvis handhavande av kontanta medel/finansiella säkerheter.</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Övriga tjänster/aktiviteter/funktioner (1), (2) och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Kapitalmarknader</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Med kapitalmarknadsaktiviteter ska avses emission och handel med värdepapper, härtill hörande rådgivningstjänster samt tillhörande tjänster såsom prime brokerage och marknadsgarantering.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 som innehas för handel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2.5 och 2.7 i förordning (EU) nr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Med derivat eller derivatkontrakt avses ett finansiellt instrument enligt avsnitt C punkterna 4–10 i bilaga I till direktiv 2014/65/EU, genomfört genom artiklarna 38 och 39 i kommissionens förordning (EG) nr 1287/2006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Med OTC-derivat eller OTC-derivatkontrakt avses ett derivatkontrakt vars handel inte genomförs på en reglerad marknad i den mening som avses i artikel 4.1.21 i direktiv 2014/65/EU eller på en marknad i ett tredjeland som anses vara likvärdig med en reglerad marknad i enlighet med artikel 2a i förordning (EU) nr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redovisade beloppet ska endast inkludera derivat som köps och säljs på OTC-marknaden.</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 som innehas för handel (icke-OTC)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Alla derivat som innehas för handel exklusive OTC-derivat som innehas för handel.</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Andrahandsmarknader/handel:</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är på andrahandsmarknaden som investerare köper och säljer värdepapper. Denna funktion gäller hela handelsportföljen (dvs. eget kapital, företagskredit och statskredit).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redovisade beloppet ska inkludera värdet av värdepapperna beräknat efter den totala mängden värdepapper som innehas för handel (held-for-trading, HFT). Värdepapper ska redovisas till verkligt värde på rapporteringsdatumet.</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Lån, derivat och tillgångar som inte kan köpas och säljas (t.ex. fordringar) ska inte inkluderas i beloppet.</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Primära marknader/emissionsgarantier</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Med primära marknader avses när nya värdepapper utfärdas på en börs av företag, offentlig sektor eller andra grupper i syfte att få finansiering genom räntebärande eller egetkapitalbaserade värdepapper (såsom stamaktier och preferensaktier, företagsobligationer, skuldväxlar och statsobligationer). Primära marknader understödjs av emissionsgarantigrupper.</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Övriga tjänster/aktiviteter/funktioner (1), (2) och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Kapitalmarknadsfinansiering</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Utlåning och upplåning på kapitalmarknaden till eller av finansiella motparter (kreditinstitut och övriga finansiella företag).</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Upplåning</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Upplåning på kapitalmarknaden från finansiella motparter (inklusive genom återköpsavtal, upplåning mellan banker, obligationer, bankcertifikat, penningmarknadsfonder, kreditlinjer, obligationer med bakomliggande tillgångar som säkerhet och förvaltarinsättningar).</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 (tillgångar)</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Samtliga derivat med finansiella motparter som står med bland balansräkningens tillgångar. Till skillnad från ”kapitalmarknader” omfattar derivat under ”kapitalmarknadsfinansiering” samtliga derivatkontrakt med finansiella motparter (inte endast HFT).</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Utlåning</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Utlåning på kapitalmarknaden till finansiella motparter (inklusive genom återköpsavtal, upplåning mellan banker, obligationer, bankcertifikat, penningmarknadsfonder, kreditlinjer, obligationer med bakomliggande tillgångar som säkerhet och förvaltarinsättningar).</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 (skulder)</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Samtliga derivat med finansiella motparter som står med bland balansräkningens skulder.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Övriga produkttyper (1), (2) och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Varje funktion inom den ekonomiska funktionen ”kapitalmarknadsfinansiering” som inte inkluderas i punkt 5.1–5.4.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Kriticitetsbedömning av ekonomiska funktioner (FUNC 1): Anvisningar avseende specifika</w:t>
      </w:r>
      <w:r>
        <w:rPr>
          <w:rFonts w:ascii="Times New Roman" w:hAnsi="Times New Roman"/>
          <w:color w:val="000000" w:themeColor="text1"/>
          <w:sz w:val="20"/>
          <w:szCs w:val="20"/>
        </w:rPr>
        <w:t xml:space="preserve"> </w:t>
      </w:r>
      <w:r>
        <w:rPr>
          <w:rFonts w:ascii="Times New Roman" w:hAnsi="Times New Roman"/>
          <w:b w:val="0"/>
          <w:color w:val="000000" w:themeColor="text1"/>
          <w:sz w:val="20"/>
          <w:szCs w:val="20"/>
          <w:u w:val="single"/>
        </w:rPr>
        <w:t>positioner</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denna mall ska varje medlemsstat där koncernen är aktiv (identifierad som ”land”) redovisas varsin gång.</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Här omfattas samtliga ekonomiska funktioner genomförda i denna medlemsstat av någon av koncernenheterna, oavsett ifall denna funktion är en kritisk funktion eller inte.</w:t>
      </w:r>
    </w:p>
    <w:p w14:paraId="0F54907C" w14:textId="77777777" w:rsidR="005244DF" w:rsidRPr="00BA7748"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Rader</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Ekonomiska funktioner</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Ekonomiska funktioner enligt definitionen ovan</w:t>
            </w:r>
          </w:p>
        </w:tc>
      </w:tr>
    </w:tbl>
    <w:p w14:paraId="1B2F7A7F" w14:textId="77777777" w:rsidR="0056559D" w:rsidRPr="00BA7748"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Beskrivning av ekonomisk funktion</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När den ekonomiska funktionen är av typen ”övriga” (funktionerna 1.5–1.7, 2.6–2.8, 3.7–3.9, 4.5–4.7 och 5.5–5.7), ska funktionen i fråga beskrivas.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Marknadsandel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Institutets eller koncernens förväntade marknadsandel för den ekonomiska funktionen i respektive land. Som en procentandel av hela marknaden i form av ett monetärt belopp.</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Monetärt belopp</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Innehållet i denna kolumn är beroende av vilken ekonomisk funktion som tillhandahålls:</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Insättningar</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Redovisat värde (inklusive upplupen ränta) av de godkända insättningarna.</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Referenser: Finrep, bilagorna III och IV, mall F 08.01 och bilaga V, del 2 punkt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Utlåning</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Redovisat bruttovärde för säkra och osäkra lån och förskott (inklusive upplupen ränta). Utlåningslager tas som en fullmakt för förväntad framtida utlåning.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Referenser: Finrep, bilagorna III och IV, mall F 04.04.01 och bilaga V, del 1, punkt 34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 kontant-, avvecklings-, clearing- och depåtjänster</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Medelvärdet för dagliga transaktioner under året ska alltid redovisas. Om inget sådant finns tillgängligt kan ett medelvärde för en kortare period (t.ex. några månader) redovisas.</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Särskilt vad gäller de olika funktionerna ska följande beaktas: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Betaltjänster (3.1 och 3.2): värdet av sända transaktioner. </w:t>
            </w:r>
            <w:r>
              <w:t xml:space="preserve"> </w:t>
            </w:r>
            <w:r>
              <w:br/>
            </w:r>
            <w:r>
              <w:rPr>
                <w:rFonts w:ascii="Times New Roman" w:hAnsi="Times New Roman"/>
                <w:color w:val="000000" w:themeColor="text1"/>
                <w:sz w:val="20"/>
                <w:szCs w:val="20"/>
              </w:rPr>
              <w:t>(Referenser: Artikel 4.5 i direktiv (EU) 2015/2366, ECB/2013/43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Kontanttjänster (3.3): värdet på transaktioner via uttagsautomat, enligt definitionen i ECB/2013/43 tabell 7, och OTC-kontantuttag, enligt definitionen i ECB/2014/15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xml:space="preserve"> tabell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Värdepappersavvecklingstjänster (3.4): värdet av värdepappersöverföringar för kunders räkning. Här ingår transaktioner genomförda i ett värdepappersavvecklingssystem eller genomförda internt av det redovisande institutet, samt ”betalfria” transaktioner.</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CCP-clearingtjänster (3.5): de positioner (exponering) som den CCP som institutet är medlem av åtar sig gentemot institutet på kunders vägnar. Redovisa det dagliga medelvärdet för öppna positioner som är kopplade till kundaktiviteter hos en CCP. Om inget sådant finns tillgängligt kan ett medelvärde för en kortare period (t.ex. några månader) redovisas.</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Depåtjänster (3.6): summan av tillgångar under förvaring, till verkligt värde. Om verkligt värde inte finns tillgängligt kan andra värderingsgrunder användas, t.ex. nominellt värde. I de fall där institutet tillhandahåller tjänster till företag såsom fondbolag eller pensionsfonder, får de berörda tillgångarna redovisas med det värde som dessa företag redovisar i sina egna balansräkningar. De redovisade beloppen ska i tillämpliga fall innehålla upplupen ränta. </w:t>
            </w:r>
            <w:r>
              <w:t xml:space="preserve"> </w:t>
            </w:r>
            <w:r>
              <w:br/>
            </w:r>
            <w:r>
              <w:rPr>
                <w:rFonts w:ascii="Times New Roman" w:hAnsi="Times New Roman"/>
                <w:color w:val="000000" w:themeColor="text1"/>
                <w:sz w:val="20"/>
                <w:szCs w:val="20"/>
              </w:rPr>
              <w:t>(Referens: Finrep, bilagorna III och IV, mall F 22.02, kolumn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Kapitalmarknader</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Teoretiskt belopp - redovisas endast för derivat (4.1-4.2): Det teoretiska bruttobeloppet för alla ingångna avtal som ännu inte avvecklats vid referensdatumet.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Referenser: Finrep, bilaga V, del 2, punkt 133 (definition), Finrep, bilagorna III, IV och V för uppgifterna.</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Summa derivat (4.1-4.2): mall F 10.00 kolumn 030 rad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OTC-derivat (4.1): mall F 10.00 kolumn 030 rad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Andrahandsmarknadsaktiviteter (4.3): Tillgångar som redovisat värde - det redovisade värde som ska redovisas bland balansräkningens tillgångar, inklusive upplupen ränta [Finrep: bilaga V, del 1, punkt 27] för egetkapitalinstrument och räntebärande </w:t>
            </w:r>
            <w:r>
              <w:rPr>
                <w:rFonts w:ascii="Times New Roman" w:hAnsi="Times New Roman"/>
                <w:color w:val="000000" w:themeColor="text1"/>
                <w:sz w:val="20"/>
                <w:szCs w:val="20"/>
              </w:rPr>
              <w:lastRenderedPageBreak/>
              <w:t>värdepapper [Finrep: bilaga V, del 1, punkt 31], klassade som ”innehas för handel” [Finrep: bilaga V, del 1, punkt 15 (a) och punkt 16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Referenser: Finrep: bilaga III mall F 04.01 kolumn 010 rad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Primära marknader (4.4): Avgiftsintäkt - arvoden och provisioner som erhållits för deltagande i upplägg eller emission av säkerheter som inte lagts upp eller emitterats av institutet.</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 Finrep: bilaga III och IV mall F 22.01 kolumn 010 rad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Kapitalmarknadsfinansiering</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Använd redovisat bruttovärde enligt definition i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Referenser: Finrep: bilaga V, del 1 punkt 34, Finrep: bilaga III och IV, mallar:</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Upplåning (5.1): mall F 20.06 kolumn 010 rad 100+110, samtliga länder.</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 (tillgångar) (5.2): mall F20.04 kolumn 010 rad 010, samtliga länder.</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Utlåning (5.3): mall F 20.04 kolumn 010 rad 170+180, samtliga länder.</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 (skulder) (5.4): mall F20.06 kolumn 010 rad 010, samtliga länder.</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Numerisk indikator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Innehållet i denna kolumn är beroende av vilken ekonomisk funktion som tillhandahålls:</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Insättningar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Totalt antal kunder som har satt in det värde som redovisas i monetärt belopp. En kund som använder flera insättningsprodukter/konton ska endast räknas en gång.</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Utlåning</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Totalt antal kunder. En kund som använder flera låneprodukter/konton ska endast räknas en gång.</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 kontant-, avvecklings-, clearing- och depåtjänster</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Medelvärdet för dagliga transaktioner under året ska alltid redovisas. Om inget sådant finns tillgängligt kan ett medelvärde för en kortare period (t.ex. några månader) redovisas.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Särskilt vad gäller de olika funktionerna ska följande beaktas:</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Betaltjänster (3.1-3.2): antal utförda transaktioner. </w:t>
            </w:r>
            <w:r>
              <w:t xml:space="preserve"> </w:t>
            </w:r>
            <w:r>
              <w:br/>
            </w:r>
            <w:r>
              <w:rPr>
                <w:rFonts w:ascii="Times New Roman" w:hAnsi="Times New Roman"/>
                <w:color w:val="000000" w:themeColor="text1"/>
                <w:sz w:val="20"/>
                <w:szCs w:val="20"/>
              </w:rPr>
              <w:t>Referenser: Artikel 4.5 i direktiv (EU) 2015/2366, ECB/2013/43.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Kontanttjänster (3.3): antal transaktioner via uttagsautomat, enligt definitionen i ECB/2013/43 tabell 7, och OTC-kontantuttag, enligt definitionen i ECB/2014/15 tabell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Värdepappersavvecklingstjänster (3.4): antalet värdepappersöverföringar för kunders räkning. Här ingår transaktioner genomförda i ett värdepappersavvecklingssystem eller genomförda internt av det redovisande institutet eller den redovisande koncernen, samt ”betalfria” transaktioner.</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Kapitalmarknader</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Antal motparter eller transaktioner. För derivat (4.1-4.2) och andrahandsmarknadsinstrument (4.3), totalt antal motparter. För primära marknader (4.4) ska det totala antalet garanterade emissioner redovisas.</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Kapitalmarknadsfinansiering</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Totalt antal motparter. En motpart som har flera konton och/eller flera transaktioner ska endast räknas en gång.</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Verkningar på marknaden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Förväntad inverkan ifall tredjeparters, finansmarknadens eller realekonomins funktion plötsligt upphör, med beaktande av storlek, marknadsandel i landet, extern och intern sammanlänkning, </w:t>
            </w:r>
            <w:r>
              <w:rPr>
                <w:rFonts w:ascii="Times New Roman" w:hAnsi="Times New Roman"/>
                <w:color w:val="000000" w:themeColor="text1"/>
                <w:sz w:val="20"/>
                <w:szCs w:val="20"/>
              </w:rPr>
              <w:lastRenderedPageBreak/>
              <w:t>komplexitet samt institutets gränsöverskridande verksamhet.</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Denna bedömning ska uttryckas kvalitativt som ”hög (H)”, ”medelhög (MH)”, ”medellåg (ML)” eller låg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ska väljas om nedläggningen har en allvarlig påverkan på den nationella marknaden, ”MH” om påverkan är betydelsefull, ”ML” om påverkan är väsentlig men begränsad och ”L” om påverkan är ringa.</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Utbytbarhet</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Artikel 6.3 i delegerad förordning (EU)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funktion ska anses vara utbytbar om den kan ersättas på ett acceptabelt sätt och inom rimlig tid så att systemproblem för realekonomin och finansmarknaden kan undvikas. Följande ska tas i beaktande:</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Funktionens marknadsstruktur och tillgången till ersättningsleverantörer.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Andra leverantörers förmåga i fråga om kapacitet, krav för att kunna utföra funktionen och eventuella hinder för marknadsinträde eller expansion.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Incitament för andra leverantörer att ta över denna verksamhet.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Den tid som krävs för att de som använder tjänsten ska kunna gå över till den nya leverantören och kostnaderna för denna övergång, den tid som krävs för att andra konkurrenter ska kunna ta över funktionerna, och huruvida den tidsramen är tillräcklig för att förhindra betydande störningar, beroende på typen av tjänst.</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Denna bedömning ska uttryckas kvalitativt som ”hög (H)”, ”medelhög (MH)”, ”medellåg (ML)” eller låg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ska väljas om en funktion enkelt kan tillhandahållas av en annan bank under jämförbara villkor och inom rimlig tid,</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om en funktion inte kan ersättas enkelt eller snabbt,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och ”ML” för fall däremellan med beaktande av olika dimensioner (t.ex. marknadsandel, marknadskoncentration, tid fram till bytet, samt rättsliga hinder och operationella krav för marknadsinträde eller expansion).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denna kolumn ska redovisas huruvida den ekonomiska funktionen kan anses vara kritisk på ifrågavarande lands marknad, detta med beaktande av kvantitativ data och kriticitetsindikatorer i denna mall.</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 ”ja” eller ”nej”.</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Kartläggning av kritiska funktioner enligt juridisk person (FUNC 2): Anvisningar för specifika positioner</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Denna mall ska redovisas för hela koncernen. Endast de funktioner som har identifierats som kritiska i {Z 07.01;070} (per medlemsstat) ska redovisas i denna mall.</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av värden som redovisas i kolumnerna 0010, 0020 och 0040 i denna mall utgör en primärnyckel som måste vara unik för varje rad i mallen.</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Landet för vilket funktionen är kritisk, enligt vad som angetts i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 för den kritiska funktionen enligt definitionen i kapitel II.7.1 ovan och som avses i mall Z </w:t>
            </w:r>
            <w:r>
              <w:rPr>
                <w:rFonts w:ascii="Times New Roman" w:hAnsi="Times New Roman"/>
                <w:color w:val="000000" w:themeColor="text1"/>
                <w:sz w:val="20"/>
                <w:szCs w:val="20"/>
              </w:rPr>
              <w:lastRenderedPageBreak/>
              <w:t>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Namn på enheten som utför den kritiska funktionen, enligt vad som anges i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 flera enheter utför samma kritiska funktion i samma land ska varje enhet redovisas på en separat rad.</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på enheten som utför den kritiska funktionen, enligt vad som anges i Z 01.00 - organisationsstruktur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Monetärt belopp</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 juridiska personens bidrag, i monetärt belopp, till det monetära beloppet enligt beskrivning i kolumn 0030 i mall Z 07.01 (FUNC 1) </w:t>
            </w:r>
          </w:p>
        </w:tc>
      </w:tr>
    </w:tbl>
    <w:p w14:paraId="1C505975" w14:textId="77777777" w:rsidR="0056559D" w:rsidRPr="00BA7748"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07.03 -Kartläggning av kärnaffärsområden enligt juridisk person (FUNC 3) Anvisningar för specifika positioner</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av värden som redovisas i kolumnerna 0020 och 0040 i denna mall utgör en primärnyckel som måste vara unik för varje rad i mallen.</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Endast juridiska personer ska anges i denna mall.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Kärnaffärsområde</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Kärnaffärsområde i enlighet med artikel 2.1.36 i direktiv 2014/59/EU och artikel 7 i kommissionens delegerade förordning (EU) 2016/778.</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Affärsområde-ID</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Affärsområdets unika ID som tillhandahålls av institutet.</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Beskrivning</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Beskrivning av kärnaffärsområde.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Namn på enhet, enligt vad som anges i Z 01.00 (ORG) som är eller har varit en del av kärnaffärsområdet.</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 flera enheter är eller har varit en del av samma kärnaffärsområde ska varje enhet redovisas på en separat rad.</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 för enhet som är eller har varit del av kärnaffärsområdet, enligt vad som anges i Z 01.00 (ORG).</w:t>
            </w:r>
          </w:p>
        </w:tc>
      </w:tr>
    </w:tbl>
    <w:p w14:paraId="258A1667" w14:textId="3BCA2C0A" w:rsidR="0056559D" w:rsidRPr="00D92B3C" w:rsidRDefault="00F7117F" w:rsidP="00715DAB">
      <w:pPr>
        <w:pStyle w:val="Instructionsberschrift3"/>
      </w:pPr>
      <w:r>
        <w:t>Z 07.04 - Kartläggning av kritiska funktioner enligt kärnaffärsområden (FUNC 4): Anvisningar för specifika positioner</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av värden som redovisas i kolumnerna 0010, 0020 och 0040 i denna mall utgör en primärnyckel som måste vara unik för varje rad i mallen.</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Endast väsentliga enheter som identifieras i {Z 07.01;0070} ska redovisas i denna mall.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Landet för vilket funktionen är kritisk, enligt vad som redovisas i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Funktions-ID</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 för den kritiska funktionen enligt definitionen i kapitel II.7.1 ovan och som avses i mall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Kärnaffärsområde</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Kärnaffärsområde i enlighet med artikel 2.1.36 i direktiv 2014/59/EU och artikel 7 i kommissionens delegerade förordning (EU) 2016/778 av den 2 februari 2016, enligt vad som redovisas i mall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Affärsområde-ID</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Affärsområdets unika ID som ska tillhandahållas av institutet, samma ID som redovisas i mall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003313"/>
      <w:r>
        <w:rPr>
          <w:rFonts w:ascii="Times New Roman" w:hAnsi="Times New Roman"/>
          <w:szCs w:val="20"/>
        </w:rPr>
        <w:t>Z 08.00 - Kritiska tjänster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Allmänna anvisningar</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Informationen i denna mall ska redovisas en gång för hela koncernen, den ska innehålla en lista över de kritiska tjänster som enheterna i koncernen har tagit emot och dessa ska kopplas till de kritiska funktioner som koncernen tillhandahållit.</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Kritiska tjänster omfattar underliggande transaktioner, aktiviteter och tjänster som utförs för en affärsenhet (riktade tjänster) eller för flera affärsenheter eller juridiska personer (gemensamma tjänster) inom koncernen, och som behövs för att tillhandahålla en eller flera kritiska funktioner. Kritiska tjänster kan utföras av enheter inom koncernen (interna tjänster) eller utkontrakteras till utomstående leverantörer (externa tjänster). En tjänst bör betraktas som kritisk om en störning i tillhandahållandet kan utgöra ett allvarligt hinder för, eller helt hindra, att kritiska funktioner fullgörs, eftersom de är nära knutna till de kritiska funktioner som ett institut utför för tredje parts räkning.</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Tjänster som endast utförs internt för en juridisk person ska inte redovisas i denna mall.</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Tjänster som inte har någon väsentlig påverkan på kritiska funktioner ska inte redovisas i denna mall.</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Kombinationen av värden som redovisas i kolumnerna 0005, 0010, 0030, 0050, 0070 och 0080 i denna mall utgör en primärnyckel som måste vara unik för varje rad i mallen.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Anvisningar för specifika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Identifiering</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 av tjänst</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Typen av tjänst ska vara en av de typer som listas nedan.</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När så är möjligt ska underkategorin redovisas (tvåsiffrig identifieringskod). Om det inte finns någon underkategori eller om ingen underkategori passar för den tjänst som institutet tillhandahåller ska huvudkategorin (ensiffrig identifieringskod) redovisas.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HR-support</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1.1</w:t>
            </w:r>
            <w:r>
              <w:tab/>
            </w:r>
            <w:r>
              <w:rPr>
                <w:rFonts w:ascii="Times New Roman" w:hAnsi="Times New Roman"/>
                <w:color w:val="000000" w:themeColor="text1"/>
                <w:sz w:val="20"/>
                <w:szCs w:val="20"/>
              </w:rPr>
              <w:t xml:space="preserve">Personaladministration, inklusive administrering av avtal och ersättning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Intern kommunikation</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Informationsteknik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och kommunikationshårdvara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Datalagring och databehandling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Övrig it-infrastruktur, arbetsstationer, telekommunikation, servrar, datacentraler och liknande tjänster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Administration av mjukvarulicenser och applikationer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Tillgång till externa leverantörer, i synnerhet leverantörer av data och infrastruktur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Underhåll av applikationer, inklusive mjukvaruunderhåll och tillhörande dataflöden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Rapportgenerering, interna informationsflöden och databaser</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Användarstöd</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Nöd- och katastrofåterställning</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Transaktionsbearbetning, inklusive rättsliga transaktionsärenden, i synnerhet penningtvätt.</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Tillhandahållande av fastigheter och lokaler eller drift och tillhörande lokaler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Kontorslokaler och förvaring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Intern lokaldrift</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Säkerhet och åtkomsträttigheter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Fastighetsportföljsförvaltning</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Övrigt, precisera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Rättsliga tjänster och efterlevnadsfunktioner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Rättsligt företagssupport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Affärs- och transaktionsbaserade rättsliga tjänster</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Efterlevnadssupport</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Kassarelaterade tjänster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Samordning, administrering och förvaltning av kassan</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Samordning, administration och förvaltning av enhetens refinansiering, inklusive säkerhetsförvaltning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Redovisningsfunktion, i synnerhet när det gäller likviditetskvoter för tillsynsändamål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Samordning, administrering och förvaltning av medel- och långfristiga finansieringsprogram, samt refinansiering av koncernenheter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Samordning, administrering och förvaltning av refinansiering, i synnerhet kortfristig</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Handel/förvaltning av tillgångar</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Beredning: upprättande och utförande av handel samt design och underhåll av handelsprodukter</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Bekräftelse, värdepappersavveckling och betalning</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Hantering av positioner och motparter, när det gäller dataredovisning och motpartsrelationer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Positionshantering (risk och avstämning)</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Riskhantering och riskvärdering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Riskhantering, central, affärsområdesrelaterad eller risktyprelaterad</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Riskredovisningsgenerering</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9.</w:t>
            </w:r>
            <w:r>
              <w:tab/>
            </w:r>
            <w:r>
              <w:rPr>
                <w:rFonts w:ascii="Times New Roman" w:hAnsi="Times New Roman"/>
                <w:color w:val="000000" w:themeColor="text1"/>
                <w:sz w:val="20"/>
                <w:szCs w:val="20"/>
              </w:rPr>
              <w:t xml:space="preserve">Redovisning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Lagstadgad redovisning och tillsynsredovisning</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Värdering, i synnerhet av marknadspositioner</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Förvaltningsrapporter</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Hantering av kontanta medel</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Tjänstemottagare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 koncernenhet som erhåller den kritiska tjänsten som redovisas i kolumn 0010 från en annan enhet inom koncernen eller från den externa leverantör som redovisas i kolumn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Enhetens namn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Måste skilja sig från det namn som anges i kolumn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 identifieringskod för den juridiska personen i kolumn 0020 enligt vad som redovisas i mall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Måste skilja sig från den identifierare som anges i kolumn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Tjänsteleverantör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 juridiska person (intern eller extern) som tillhandahåller den kritiska tjänsten som redovisas i kolumn 0010 till en enhet inom koncernen.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Enhetens namn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Måste skilja sig från det namn som anges i kolumn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 identifieringskod för den juridiska personen i kolumn 0040. Måste vara en annan kod än den som anges i kolumn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Om tjänsteleverantören är en enhet inom koncernen ska koden vara densamma som den som redovisas i mall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 tjänsteleverantören inte är en enhet inom koncernen ska enhetskoden vara följande:</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Institut ska ha den 20-siffriga alfanumeriska LEI-koden.</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För övriga enheter anges den 20-siffriga alfanumeriska LEI-koden eller, om någon sådan inte finns, en kod enligt en enhetlig kodifiering som tillämpas i unionen eller, om någon sådan inte finns, en nationell kod.</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 vara unik och användas konsekvent i mallarna.</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Del av koncernen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om tjänsten tillhandahålls av en enhet inom koncernen (”interna tjänster”).</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”Nej” – om tjänsten tillhandahålls av en enhet utanför koncernen (”externa tjänster”).</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 kritiska funktion som skulle hindras allvarligt eller helt upphöra om den kritiska tjänsten avbryts. Det är en av de funktioner som har bedömts som kritiska i mall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Medlemsstaten för vilken funktionen är kritisk, enligt vad som redovisas i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ID för den kritiska funktionen enligt definitionen i kapitel II.7.1 ovan och som avses i mall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Förväntad tid för utbytbarhet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 tid det förväntas ta att byta ut en leverantör mot en annan som är jämförbar vad gäller mål, kvalitet och kostnader för den erhållna tjänsten.</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 ett av följande värden:</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dag – 1 vecka” om utbytestiden är högst en vecka.</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vecka – 1 månad” om utbytestiden är längre än en vecka men högst en månad.</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 6 månader” om utbytestiden är längre än en månad men högst sex månader.</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månader” om utbytestiden är längre än sex månader men högst ett år.</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”mer än 1 år” om utbytestiden är längre än ett år.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Förväntad tid för tillgång till avtal</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 tid det förväntas ta att inhämta följande information i ett avtal som reglerar tjänsten efter att resolutionsmyndigheten har bett om detta:</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Avtalets löptid.</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Avtalets parter (avtalets upphovsman och leverantör, kontaktpersoner) och deras jurisdiktion.</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Tjänstens natur (dvs. en kort beskrivning av transaktionen mellan parterna, inklusive priser).</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Uppgifter om huruvida tjänsten kan tillhandahållas av några andra interna/externa leverantörer (potentiella kandidater ska identifieras).</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Avtalets jurisdiktion.</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Avdelning som är ansvarig för den viktigaste verksamheten som regleras i avtalet.</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Avtalets viktigaste påföljder vid inställd eller försenad betalning.</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Skäl till förtida uppsägning och tillåten tid för uppsägning.</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Verksamhetssupport efter uppsägning.</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Betydelse för kritiska funktioner och affärsområden.</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 ett av följande värden:</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dag.</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dag-1 vecka.</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Mer än 1 vecka.</w:t>
            </w:r>
          </w:p>
          <w:p w14:paraId="4BD39BFA" w14:textId="77777777" w:rsidR="000713A0" w:rsidRPr="00D92B3C" w:rsidRDefault="000713A0">
            <w:pPr>
              <w:pStyle w:val="List1"/>
              <w:rPr>
                <w:rFonts w:eastAsia="Cambria"/>
                <w:w w:val="95"/>
              </w:rPr>
            </w:pPr>
            <w:r>
              <w:rPr>
                <w:rFonts w:ascii="Times New Roman" w:hAnsi="Times New Roman"/>
                <w:sz w:val="20"/>
                <w:szCs w:val="20"/>
              </w:rPr>
              <w:t>Det finns inget avtal som reglerar tjänsten.</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Tillämplig lag</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Landets ISO-kod och koden för den lag som reglerar avtalet.</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Resolutionsbeständigt avtal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Återspeglar bedömningen av huruvida avtalet kan fortsätta och omvandlas vid resolution.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Denna bedömning ska, bland annat, ta följande faktorer i beaktande:</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Samtliga klausuler som ger en motpart rätt att säga upp avtalet endast på grund av en resolution samt tidiga interventionsåtgärder eller cross-default-scenarier, trots att väsentliga skyldigheter fortfarande uppfylls.</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Samtliga klausuler som ger en motpart rätt att ändra villkoren för en tjänst eller prissättning endast på grund av en resolution samt tidiga interventionsåtgärder eller cross-default-scenarier, trots att väsentliga skyldigheter fortfarande uppfylls.</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Erkännande, i avtalet, av resolutionsmyndighetens uppsägningsrätt.</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 ett av följande värden:</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om avtalet bedöms vara resolutionssäkert.</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”Nej” – om avtalet inte bedöms vara resolutionssäkert.</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”Ej bedömt” – om ingen bedömning gjorts.</w:t>
            </w:r>
          </w:p>
        </w:tc>
      </w:tr>
    </w:tbl>
    <w:p w14:paraId="4E1DED29" w14:textId="77777777" w:rsidR="00276FFB" w:rsidRPr="00BA7748"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003314"/>
      <w:r>
        <w:rPr>
          <w:rFonts w:ascii="Times New Roman" w:hAnsi="Times New Roman"/>
          <w:color w:val="000000" w:themeColor="text1"/>
          <w:szCs w:val="20"/>
        </w:rPr>
        <w:lastRenderedPageBreak/>
        <w:t>Z 09.00 -FMI-tjänster - leverantörer och användare - kartläggning enligt kritiska</w:t>
      </w:r>
      <w:bookmarkEnd w:id="26"/>
      <w:r>
        <w:rPr>
          <w:rFonts w:ascii="Times New Roman" w:hAnsi="Times New Roman"/>
          <w:color w:val="000000" w:themeColor="text1"/>
          <w:szCs w:val="20"/>
        </w:rPr>
        <w:t xml:space="preserve"> funktioner.</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Allmänna anmärkningar</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denna mall identifieras verksamhet, funktioner och tjänster för clearing, betalningar, värdepappersavveckling och depåer, vars nedläggning kan utgöra ett allvarligt hinder för, eller helt hindra, att en eller flera kritiska funktioner utförs.</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Denna mall ska redovisas en gång för hela institutet eller hela koncernen.</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Endast de finansmarknadsinfrastrukturer ska identifieras där en eventuell störning i dessa allvarligt kan försvåra eller helt förhindra utförandet av en kritisk funktion.</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av värden som redovisas i kolumnerna 0020, 0030, 0040, 0070 och 0100 i denna mall utgör en primärnyckel som måste vara unik för varje rad i mallen.</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Anvisningar för specifika positioner</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Användare</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Den enhet inom koncernen</w:t>
            </w:r>
            <w:r>
              <w:rPr>
                <w:rFonts w:ascii="Times New Roman" w:hAnsi="Times New Roman"/>
                <w:color w:val="000000" w:themeColor="text1"/>
                <w:sz w:val="20"/>
                <w:szCs w:val="20"/>
              </w:rPr>
              <w:t xml:space="preserve"> som använder tjänster för betalningar, depåer, värdepappersavveckling, clearing eller transaktionsregister, enligt vad som redovisas i Z 01.00 - organisationsstruktur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Namnet på den enhet som använder tjänster för betalningar, depåer, värdepappersavveckling, clearing eller transaktionsregister, enligt vad som redovisas i Z 01.00 - organisationsstruktur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Endast de enheter som har identifierats som leverantörer av kritiska funktioner i Z 07.02 ska redovisas.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Koden för den enhet som använder tjänster för betalningar, depåer, värdepappersavveckling, clearing eller transaktionsregister, enligt vad som redovisas i Z 01.00 - organisationsstruktur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Cs/>
                <w:color w:val="000000" w:themeColor="text1"/>
                <w:sz w:val="20"/>
                <w:szCs w:val="20"/>
              </w:rPr>
              <w:t>Kritisk funktion som utförs av enheten som skulle störas eller förhindras ifall tillgången till tjänster för betalningar, depåer, värdepappersavveckling, clearing eller transaktionsregister upphörde.</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Landet för vilket funktionen är kritisk, enligt vad som redovisas i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för den kritiska funktionen enligt definitionen i kapitel II.7.1 ovan och som avses i mall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Finansmarknadsinfrastruktur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Referens: CPMI, </w:t>
            </w:r>
            <w:hyperlink r:id="rId8" w:history="1">
              <w:r>
                <w:rPr>
                  <w:rFonts w:ascii="Times New Roman" w:hAnsi="Times New Roman"/>
                  <w:color w:val="000000" w:themeColor="text1"/>
                  <w:sz w:val="20"/>
                  <w:szCs w:val="20"/>
                </w:rPr>
                <w:t>Principer för finansmarknadsinfrastrukturer</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Ett multilateralt system bland de deltagande finansiella instituten, inklusive systemoperatören, som används för registrering, clearing eller avveckling av betalningar, säkerheter och derivat eller </w:t>
            </w:r>
            <w:r>
              <w:rPr>
                <w:rFonts w:ascii="Times New Roman" w:hAnsi="Times New Roman"/>
                <w:color w:val="000000" w:themeColor="text1"/>
                <w:sz w:val="20"/>
                <w:szCs w:val="20"/>
              </w:rPr>
              <w:lastRenderedPageBreak/>
              <w:t>för övriga finansiella transaktioner.</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Systemtyp</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 ett av följande värden:</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Betalningssystem.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VPC” - (internationell) värdepapperscentral, inklusive (I)VPC som tillhandahåller värdepappersavvecklingstjänster (internt och via utkontraktering).</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System för avveckling av värdepapper utan depåer.</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 –värdepapper”</w:t>
            </w:r>
            <w:r>
              <w:tab/>
            </w:r>
            <w:r>
              <w:rPr>
                <w:rFonts w:ascii="Times New Roman" w:hAnsi="Times New Roman"/>
                <w:color w:val="000000" w:themeColor="text1"/>
                <w:sz w:val="20"/>
                <w:szCs w:val="20"/>
              </w:rPr>
              <w:t xml:space="preserve">Central motpart för clearing av värdepapper.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 – derivat”</w:t>
            </w:r>
            <w:r>
              <w:tab/>
            </w:r>
            <w:r>
              <w:rPr>
                <w:rFonts w:ascii="Times New Roman" w:hAnsi="Times New Roman"/>
                <w:color w:val="000000" w:themeColor="text1"/>
                <w:sz w:val="20"/>
                <w:szCs w:val="20"/>
              </w:rPr>
              <w:t>Central motpart för clearing av derivat.</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Transaktionsregister.</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”Övrigt”</w:t>
            </w:r>
            <w:r>
              <w:tab/>
            </w:r>
            <w:r>
              <w:rPr>
                <w:rFonts w:ascii="Times New Roman" w:hAnsi="Times New Roman"/>
                <w:color w:val="000000" w:themeColor="text1"/>
                <w:sz w:val="20"/>
                <w:szCs w:val="20"/>
              </w:rPr>
              <w:t>För FMI-system som inte matchar någon av de fördefinierade typerna ovan.</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”Ej tillämpligt”</w:t>
            </w:r>
            <w:r>
              <w:tab/>
            </w:r>
            <w:r>
              <w:rPr>
                <w:rFonts w:ascii="Times New Roman" w:hAnsi="Times New Roman"/>
                <w:color w:val="000000" w:themeColor="text1"/>
                <w:sz w:val="20"/>
                <w:szCs w:val="20"/>
              </w:rPr>
              <w:t>När kritiska tjänster för betalningar, clearing, avveckling eller depåer tillhandahålls av en enhet som inte är en av de finansmarknadsinfrastrukturer som nämns ovan, utan till exempel ett förvaltningsinstitut.</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Namn</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Finansmarknadsinfrastrukturens handelsnamn</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 ”ej tillämpligt” har redovisats i kolumn 0050 ska denna kolumn lämnas tom.</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FMI-kod</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FMI-koden. Koden ska i förekommande fall vara den 20-siffriga alfanumeriska LEI-koden. Ifall ingen LEI-kod finns tillgänglig ska en kod enligt en enhetlig kodifiering som tillämpas i unionen eller, om någon sådan inte finns, en nationell kod användas.</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 ”ej tillämpligt” har redovisats i kolumn 0050 ska denna kolumn lämnas tom.</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 av deltagande</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 ett av följande värden:</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w:t>
            </w:r>
            <w:r>
              <w:tab/>
            </w:r>
            <w:r>
              <w:rPr>
                <w:rFonts w:ascii="Times New Roman" w:hAnsi="Times New Roman"/>
                <w:color w:val="000000" w:themeColor="text1"/>
                <w:sz w:val="20"/>
                <w:szCs w:val="20"/>
              </w:rPr>
              <w:t>För direkt medlemskap eller direkt deltagande.</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”Indirekt”</w:t>
            </w:r>
            <w:r>
              <w:tab/>
            </w:r>
            <w:r>
              <w:rPr>
                <w:rFonts w:ascii="Times New Roman" w:hAnsi="Times New Roman"/>
                <w:color w:val="000000" w:themeColor="text1"/>
                <w:sz w:val="20"/>
                <w:szCs w:val="20"/>
              </w:rPr>
              <w:t>För indirekt medlemskap eller indirekt deltagande.</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”Ej tillämpligt”</w:t>
            </w:r>
            <w:r>
              <w:tab/>
            </w:r>
            <w:r>
              <w:rPr>
                <w:rFonts w:ascii="Times New Roman" w:hAnsi="Times New Roman"/>
                <w:color w:val="000000" w:themeColor="text1"/>
                <w:sz w:val="20"/>
                <w:szCs w:val="20"/>
              </w:rPr>
              <w:t>Om ”ej tillämpligt” har redovisats i kolumn 0050.</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Namn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Mellanhandens handelsnamn, om ”indirekt” eller ”ej tillämpligt” har redovisats i kolumn 0080.</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Om ”direkt” har redovisats i kolumn 0080, ska ”ej tillämpligt” redovisas.</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Mellanhanden kan antingen tillhöra samma koncern som den redovisande enheten eller vara ett annat kreditinstitut som inte är kopplat till koncernen.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mellanhand kan vara ett bolag som tillhandahåller tjänster för clearing, betalningar, värdepappersavveckling och/eller depåer till andra bolag (i synnerhet när ”ej tillämpligt” har redovisats i kolumn 0050). Den kan även vara direkt medlem av en eller flera FMI och tillhandahålla indirekt åtkomst till tjänster som erbjuds av dessa FMI (i synnerhet när ”ej tillämpligt” har redovisats i kolumn 0080).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Mellanhandens kod. Koden ska i förekommande fall vara den 20-siffriga alfanumeriska LEI-koden. Ifall ingen LEI-kod finns tillgänglig ska en kod enligt en enhetlig kodifiering som tillämpas i unionen eller, om någon sådan inte finns, en nationell kod användas.</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Om ”direkt” har redovisats i kolumn 0090, ska ”ej tillämpligt” redovisas.</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Beskrivning av tjänsten</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Beskrivning av tjänsten om systemtypen som redovisats i kolumn 050 är ”övrigt” eller ”ej tillämpligt”.</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Tillämplig lag</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ISO 3166-1 alfa-2-identifieringskoden för det land vars lag reglerar åtkomsten till FMI.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Vid direkt medlemskap eller direkt deltagande är det den tillämpliga lagen för avtalet mellan finansmarknadsinfrastrukturen och användaren som ska anges. Vid indirekt medlemskap eller indirekt deltagande är det den tillämpliga lagen för avtalet mellan det representerande institutet och användaren som ska anges.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003315"/>
      <w:r>
        <w:rPr>
          <w:rFonts w:ascii="Times New Roman" w:hAnsi="Times New Roman"/>
          <w:color w:val="000000" w:themeColor="text1"/>
          <w:szCs w:val="20"/>
        </w:rPr>
        <w:t>Kritiska informationssystem</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Allmänna anmärkningar</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Detta avsnitt består av följande mallar:</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Kritiska informationssystem (allmän information) (CIS 1), som listar alla kritiska informationssystem inom koncernen.</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Kartläggning av kritiska informationssystem (CIS 2), som ordnar de kritiska informationssystemen efter användarenheter inom koncernen samt kritiska funktioner.</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Ett kritiskt informationssystem (CIS) ska förstås som en it-applikation eller mjukvara som ger support till en kritisk tjänst och vars upphörande allvarligt skulle störa eller hindra utförandet av en kritisk funktion.</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Dessa mallar ska redovisas för hela koncernen.</w:t>
      </w:r>
    </w:p>
    <w:p w14:paraId="70CC17BA" w14:textId="77777777" w:rsidR="00AD4B22" w:rsidRPr="00BA7748"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Kritiska informationssystem (allmän information) (CIS 1) Anvisningar för specifika positioner</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Värdet som redovisas i kolumn 0010 i denna mall utgör en primärnyckel som måste vara unik för varje rad i mallen. </w:t>
      </w:r>
    </w:p>
    <w:p w14:paraId="06AD164E" w14:textId="77777777" w:rsidR="000B75A6" w:rsidRPr="00BA7748"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Kritiska informationssystem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Systemidentifieringskod</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Systemidentifieringskoden är en akronym som sätts upp av institutet och som entydigt identifierar det kritiska informationssystemet.</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identifierar raden och måste vara unik för varje rad i tabellen.</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Systemnamn</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Systemets handelsnamn eller interna namn</w:t>
            </w:r>
            <w:r>
              <w:rPr>
                <w:rFonts w:ascii="Times New Roman" w:hAnsi="Times New Roman"/>
                <w:bCs/>
                <w:color w:val="000000" w:themeColor="text1"/>
                <w:sz w:val="20"/>
                <w:szCs w:val="20"/>
              </w:rPr>
              <w:t>.</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Systemtyp</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Redovisa ett av följande värden:</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lastRenderedPageBreak/>
              <w:t>”Specialanpassad mjukvara för affärssupport”</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Applikationer som har utvecklats i enlighet med detaljerade verksamhetsspecifikationer. De kan ha utvecklats internet eller av externt anlitade företag, men alltid i syfte att ge verksamhetssupport.</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”Mjukvara inköpt i befintligt skick”</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Applikationer som har köpts in på marknaden, i regel sålda eller licensierade av en leverantör, och som inte har skräddarsytts för organisationens verksamhet. Här ingår även applikationer som har genomgått normal konfigurering.</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”Mjukvara inköpt med anpassade ändringar”</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Applikationer som har köpts in på marknaden, men där leverantören (eller en representant) har skapat en särskild version för den kontext den ska installeras i. En sådan särskild version karaktäriseras av ändringar i applikationens beteende, tillägg av nya funktioner eller inkluderande av plugins som inte är standard utan har utvecklats särskilt för organisationens verksamhet.</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”Applikation/Extern portal”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Externa portaler eller applikationer som tillhandahålls av tredje parter, i regel av partner, för att ge åtkomst till deras tjänster. De omfattas normalt sett inte av organisationens informationssystemshantering utan installeras, underhålls och sköts av partnern själv. Dessa applikationer utgör ofta portaler (tillgängliga via internet eller privata nätverk) och trots att de inte omfattas av organisationens informationssystemshantering är de viktiga (eller kritiska) för vissa verksamhetsfunktioner.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Beskrivning</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Beskrivning av informationssystemets huvudsyfte i verksamhetskontexten.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Koncernenhet som är ansvarig för systemet</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Namnet på den juridiska person inom koncernen som är ansvarig för systemet.</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Denna enhet har ett övergripande ansvar för informationssystemet och dess upphandling, utveckling, integrering, modifiering, drift, underhåll och nedläggning och är även huvudansvarig för att utveckla systemdesignspecifikationer som garanterar att säkerhets- och användarbehoven dokumenteras, testas och genomförs.</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för den juridiska person inom koncernen som är ansvarig för systemet, enligt vad som redovisas i Z 01.00 - organisationsstruktur (ORG).</w:t>
            </w:r>
          </w:p>
        </w:tc>
      </w:tr>
    </w:tbl>
    <w:p w14:paraId="70CC4DE4" w14:textId="77777777" w:rsidR="00AD4B22" w:rsidRPr="00BA7748"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Kartläggning av informationssystem (CIS 2): Anvisningar för specifika positioner</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Kombinationen av värden som redovisas i kolumnerna 0010, 0030, 0040, 0050 och 0060 i denna mall utgör en primärnyckel som måste vara unik för varje rad i mallen. </w:t>
      </w:r>
    </w:p>
    <w:p w14:paraId="3AB449B8" w14:textId="77777777" w:rsidR="00720344" w:rsidRPr="00BA7748"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Kolumner</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Anvisningar</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Systemidentifieringskod</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Informationssystemets identifieringskod, enligt vad som redovisas i kolumn 010 i mall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Koncernenhet som använder systemet</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Enhet inom koncernen som använder systemet (”användare”). Om det rör sig om flera användare ska en separat rad för varje användare av samma informationssystem rapporteras.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Enhetens namn</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Namnet på användarenheten, enligt vad som redovisas i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Användarenhetens kod, enligt vad som redovisas i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tjänst</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Identifieringskoden för den kritiska tjänst som systemet stödjer, enligt vad som redovisas i Z 08.00 (kolumn 0005). Den kritiska tjänsten kan vara en it-tjänst eller en annan typ av tjänst som stödjs av systemet (till exempel transaktionsbearbetning).</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 kritiska funktion vars utförande allvarligt skulle hindras eller helt upphöra om de tjänster som informationssystemet stöder störs. Det kan finnas flera kritiska funktioner och i så fall ska flera rader redovisas för samma informationssystem.</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Landet för vilket funktionen är kritisk, enligt vad som redovisas i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för den kritiska funktionen enligt definitionen i kapitel II.7.1 ovan och som avses i mall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44014A41" w:rsidR="0075382A" w:rsidRDefault="0075382A" w:rsidP="000E60D6">
        <w:pPr>
          <w:pStyle w:val="Footer"/>
          <w:jc w:val="center"/>
        </w:pPr>
        <w:r>
          <w:fldChar w:fldCharType="begin"/>
        </w:r>
        <w:r>
          <w:instrText xml:space="preserve"> PAGE   \* MERGEFORMAT </w:instrText>
        </w:r>
        <w:r>
          <w:fldChar w:fldCharType="separate"/>
        </w:r>
        <w:r w:rsidR="00C07F25">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ab/>
        <w:t>Kommissionens genomförandeförordning (EU) 2021/451 av den 17 december 2020 om tekniska genomförandestandarder för tillämpningen av Europaparlamentets och rådets förordning (EU) nr 575/2013 vad gäller instituts tillsynsrapportering och om upphävande av genomförandeförordning (EU) nr 680/2014 (EUT L 97, 19.3.2021, s. 1).</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Europaparlamentets och rådets förordning (EG) nr 1606/2002 av den 19 juli 2002 om tillämpning av internationella redovisningsstandarder (EGT L 243, 11.9.2002, s. 1).</w:t>
      </w:r>
    </w:p>
  </w:footnote>
  <w:footnote w:id="3">
    <w:p w14:paraId="3BD45C59" w14:textId="6A60F93C" w:rsidR="0075382A" w:rsidRPr="0090323D" w:rsidRDefault="0075382A">
      <w:pPr>
        <w:pStyle w:val="FootnoteText"/>
      </w:pPr>
      <w:r>
        <w:rPr>
          <w:rStyle w:val="FootnoteReference"/>
        </w:rPr>
        <w:footnoteRef/>
      </w:r>
      <w:r>
        <w:t xml:space="preserve"> Närmare information finns på följande webbplats: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Rådets direktiv 86/635/EEG av den 8 december 1986 om årsbokslut och sammanställd redovisning för banker och andra finansiella institut (EGT L 372, 31.12.1986, s. 1).</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Europaparlamentets och rådets förordning (EU) nr 575/2013 av den 26 juni 2013 om tillsynskrav för kreditinstitut och värdepappersföretag och om ändring av förordning (EU) nr 648/2012 (EUT L 176, 27.6.2013, s. 1).</w:t>
      </w:r>
    </w:p>
  </w:footnote>
  <w:footnote w:id="6">
    <w:p w14:paraId="708D686D" w14:textId="77777777" w:rsidR="0075382A" w:rsidRPr="00E17940" w:rsidRDefault="0075382A">
      <w:pPr>
        <w:pStyle w:val="FootnoteText"/>
      </w:pPr>
      <w:r>
        <w:rPr>
          <w:rStyle w:val="FootnoteReference"/>
        </w:rPr>
        <w:footnoteRef/>
      </w:r>
      <w:r>
        <w:t xml:space="preserve"> Europaparlamentets och rådets direktiv 2013/36/EU av den 26 juni 2013 om behörighet att utöva verksamhet i kreditinstitut och om tillsyn av kreditinstitut och värdepappersföretag, om ändring av direktiv 2002/87/EG och om upphävande av direktiv 2006/48/EG och 2006/49/EG (EUT L 176, 27.6.2013, s.338).</w:t>
      </w:r>
    </w:p>
  </w:footnote>
  <w:footnote w:id="7">
    <w:p w14:paraId="7BEC1B79" w14:textId="49B4DD17" w:rsidR="0075382A" w:rsidRPr="00CF3EBF" w:rsidRDefault="0075382A">
      <w:pPr>
        <w:pStyle w:val="FootnoteText"/>
      </w:pPr>
      <w:r>
        <w:rPr>
          <w:rStyle w:val="FootnoteReference"/>
          <w:rFonts w:ascii="Times New Roman" w:hAnsi="Times New Roman"/>
        </w:rPr>
        <w:footnoteRef/>
      </w:r>
      <w:r>
        <w:tab/>
        <w:t>Europaparlamentets och rådets direktiv 2009/138/EG av den 25 november 2009 om upptagande och utövande av försäkrings- och återförsäkringsverksamhet (Solvens II) (EUT L 335, 17.12.2009, s. 1).</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Kommissionens rekommendation av den 6 maj 2003 om definitionen av mikroföretag samt små och medelstora företag (EUT L 124, 20.5.2003, s. 36).</w:t>
      </w:r>
    </w:p>
  </w:footnote>
  <w:footnote w:id="9">
    <w:p w14:paraId="56A4794B" w14:textId="1D36E5BD" w:rsidR="0075382A" w:rsidRDefault="0075382A">
      <w:pPr>
        <w:pStyle w:val="FootnoteText"/>
      </w:pPr>
      <w:r>
        <w:rPr>
          <w:rStyle w:val="FootnoteReference"/>
          <w:rFonts w:ascii="Times New Roman" w:hAnsi="Times New Roman"/>
        </w:rPr>
        <w:footnoteRef/>
      </w:r>
      <w:r>
        <w:t xml:space="preserve"> Europeiska centralbankens förordning (EU) 2021/379 om kreditinstitutens och MFI-sektorns balansräkningsposter (omarbetning) (EUT L 73, 3.3.2021, s.16).</w:t>
      </w:r>
    </w:p>
  </w:footnote>
  <w:footnote w:id="10">
    <w:p w14:paraId="33320726" w14:textId="397F1E31" w:rsidR="0075382A" w:rsidRPr="00433423" w:rsidRDefault="0075382A">
      <w:pPr>
        <w:pStyle w:val="FootnoteText"/>
      </w:pPr>
      <w:r>
        <w:rPr>
          <w:rStyle w:val="FootnoteReference"/>
        </w:rPr>
        <w:footnoteRef/>
      </w:r>
      <w:r>
        <w:tab/>
        <w:t>Europaparlamentets och rådets direktiv 2014/65/EU av den 15 maj 2014 om marknader för finansiella instrument och om ändring av direktiv 2002/92/EG och av direktiv 2011/61/EU (EUT L 173, 12.6.2014, s. 349).</w:t>
      </w:r>
    </w:p>
  </w:footnote>
  <w:footnote w:id="11">
    <w:p w14:paraId="7ECE222F" w14:textId="77777777" w:rsidR="0075382A" w:rsidRPr="00B77FC7" w:rsidRDefault="0075382A">
      <w:pPr>
        <w:pStyle w:val="FootnoteText"/>
      </w:pPr>
      <w:r>
        <w:rPr>
          <w:rStyle w:val="FootnoteReference"/>
        </w:rPr>
        <w:footnoteRef/>
      </w:r>
      <w:r>
        <w:t xml:space="preserve"> Europaparlamentets och rådets direktiv 2014/59/EU av den 15 maj 2014 om inrättande av en ram för återhämtning och resolution av kreditinstitut och värdepappersföretag och om ändring av rådets direktiv 82/891/EEG och Europaparlamentets och rådets direktiv 2001/24/EG, 2002/47/EG, 2004/25/EG, 2005/56/EG, 2007/36/EG, 2011/35/EU, 2012/30/EU och 2013/36/EU samt Europaparlamentets och rådets förordningar (EU) nr 1093/2010 och (EU) nr 648/2012 (EUT L 173, 12.6.2014, s. 190).</w:t>
      </w:r>
    </w:p>
  </w:footnote>
  <w:footnote w:id="12">
    <w:p w14:paraId="45027383" w14:textId="7473EDB5" w:rsidR="0075382A" w:rsidRPr="001D3665" w:rsidRDefault="0075382A">
      <w:pPr>
        <w:pStyle w:val="FootnoteText"/>
      </w:pPr>
      <w:r>
        <w:rPr>
          <w:rStyle w:val="FootnoteReference"/>
        </w:rPr>
        <w:footnoteRef/>
      </w:r>
      <w:r>
        <w:t xml:space="preserve"> Europaparlamentets och rådets direktiv 2014/49/EU av den 16 april 2014 om insättningsgarantisystem (EUT L 173, 12.6.2014, s. 149).</w:t>
      </w:r>
    </w:p>
  </w:footnote>
  <w:footnote w:id="13">
    <w:p w14:paraId="0A164DF9" w14:textId="77777777" w:rsidR="0075382A" w:rsidRPr="00EB1AD3" w:rsidRDefault="0075382A">
      <w:pPr>
        <w:pStyle w:val="FootnoteText"/>
      </w:pPr>
      <w:r>
        <w:rPr>
          <w:rStyle w:val="FootnoteReference"/>
        </w:rPr>
        <w:footnoteRef/>
      </w:r>
      <w:r>
        <w:t xml:space="preserve"> Europaparlamentets och rådets direktiv 2009/65/EG av den 13 juli 2009 om samordning av lagar och andra författningar som avser företag för kollektiva investeringar i överlåtbara värdepapper (fondföretag) (EUT L 302, 17.11.2009, s. 32).</w:t>
      </w:r>
    </w:p>
  </w:footnote>
  <w:footnote w:id="14">
    <w:p w14:paraId="14B9F3B8" w14:textId="59942C0A" w:rsidR="0075382A" w:rsidRPr="00EB1AD3" w:rsidRDefault="0075382A">
      <w:pPr>
        <w:pStyle w:val="FootnoteText"/>
      </w:pPr>
      <w:r>
        <w:rPr>
          <w:rStyle w:val="FootnoteReference"/>
        </w:rPr>
        <w:footnoteRef/>
      </w:r>
      <w:r>
        <w:t xml:space="preserve"> Europaparlamentets och rådets direktiv 2011/61/EU av den 8 juni 2011 om förvaltare av alternativa investeringsfonder samt om ändring av direktiv 2003/41/EG och 2009/65/EG och förordningarna (EG) nr 1060/2009 och (EU) nr 1095/2010 (EUT L 174, 1.7.2011, s. 1).</w:t>
      </w:r>
    </w:p>
  </w:footnote>
  <w:footnote w:id="15">
    <w:p w14:paraId="7EA8BC4D" w14:textId="4A625A59" w:rsidR="0075382A" w:rsidRPr="002B0D5A" w:rsidRDefault="0075382A">
      <w:pPr>
        <w:pStyle w:val="FootnoteText"/>
      </w:pPr>
      <w:r>
        <w:rPr>
          <w:rStyle w:val="FootnoteReference"/>
        </w:rPr>
        <w:footnoteRef/>
      </w:r>
      <w:r>
        <w:t xml:space="preserve"> Europaparlamentets och rådets direktiv 98/26/EG av den 19 maj 1998 om slutgiltig avveckling i system för överföring av betalningar och värdepapper (EGT L 166, 11.6.1998, s. 45).</w:t>
      </w:r>
    </w:p>
  </w:footnote>
  <w:footnote w:id="16">
    <w:p w14:paraId="55D8C4D7" w14:textId="234F6046" w:rsidR="0075382A" w:rsidRPr="00D90DF8" w:rsidRDefault="0075382A">
      <w:pPr>
        <w:pStyle w:val="FootnoteText"/>
      </w:pPr>
      <w:r>
        <w:rPr>
          <w:rStyle w:val="FootnoteReference"/>
        </w:rPr>
        <w:footnoteRef/>
      </w:r>
      <w:r>
        <w:t xml:space="preserve"> Europaparlamentets och rådets förordning (EU) nr 648/2012 av den 4 juli 2012 om OTC-derivat, centrala motparter och transaktionsregister (EUT L 201, 27.7.2012, s. 1).</w:t>
      </w:r>
    </w:p>
  </w:footnote>
  <w:footnote w:id="17">
    <w:p w14:paraId="5114B6F9" w14:textId="77777777" w:rsidR="0075382A" w:rsidRPr="00CD04C7" w:rsidRDefault="0075382A">
      <w:pPr>
        <w:pStyle w:val="FootnoteText"/>
      </w:pPr>
      <w:r>
        <w:rPr>
          <w:rStyle w:val="FootnoteReference"/>
          <w:rFonts w:ascii="Times New Roman" w:hAnsi="Times New Roman"/>
        </w:rPr>
        <w:footnoteRef/>
      </w:r>
      <w:r>
        <w:tab/>
        <w:t>Kommissionens delegerade förordning (EU) 2016/1401 av den 23 maj 2016 om komplettering av Europaparlamentets och rådets direktiv 2014/59/EU om inrättande av en ram för återhämtning och resolution av kreditinstitut och värdepappersföretag med avseende på tekniska tillsynsstandarder för metoder och principer för värdering av skulder som hänför sig till derivat (EUT L 228, 23.8.2016, s. 7).</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Kommissionens delegerade förordning (EU) 2016/778 av den 2 februari 2016 om komplettering av Europaparlamentets och rådets direktiv 2014/59/EU vad gäller de omständigheter och villkor under vilka betalning av extraordinära efterhandsbidrag får skjutas upp helt eller delvis, och om kriterierna för fastställande av aktiviteter, tjänster och transaktioner avseende kritiska funktioner och för fastställande av affärsområden och kringtjänster avseende kärnaffärsområden (EUT L 131, 20.5.2016, s. 41).</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Europaparlamentets och rådets direktiv 2015/2366/EU av den 25 november 2015 om betaltjänster på den inre marknaden, om ändring av direktiven 2002/65/EG, 2009/110/EG och 2013/36/EU samt förordning (EU) nr 1093/2010 och om upphävande av direktiv 2007/64/EG (EUT L 337, 23.12.2015, s. 35).</w:t>
      </w:r>
    </w:p>
  </w:footnote>
  <w:footnote w:id="20">
    <w:p w14:paraId="17404B79" w14:textId="34E49F40" w:rsidR="0075382A" w:rsidRPr="00CF3B41" w:rsidRDefault="0075382A">
      <w:pPr>
        <w:pStyle w:val="FootnoteText"/>
      </w:pPr>
      <w:r>
        <w:rPr>
          <w:rStyle w:val="FootnoteReference"/>
        </w:rPr>
        <w:footnoteRef/>
      </w:r>
      <w:r>
        <w:t xml:space="preserve"> Kommissionens förordning (EG) nr 1287/2006 av den 10 augusti 2006 om genomförande av Europaparlamentets och rådets direktiv 2004/39/EG vad gäller dokumenteringsskyldigheter för värdepappersföretag, transaktionsrapportering, överblickbarhet på marknaden, upptagande av finansiella instrument till handel samt definitioner för tillämpning av det direktivet (EUT L 241, 2.9.2006, s. 1).</w:t>
      </w:r>
    </w:p>
  </w:footnote>
  <w:footnote w:id="21">
    <w:p w14:paraId="1556A3CF" w14:textId="00EE3CBB" w:rsidR="0075382A" w:rsidRPr="00264CA3" w:rsidRDefault="0075382A">
      <w:pPr>
        <w:pStyle w:val="FootnoteText"/>
      </w:pPr>
      <w:r>
        <w:rPr>
          <w:rStyle w:val="FootnoteReference"/>
        </w:rPr>
        <w:footnoteRef/>
      </w:r>
      <w:r>
        <w:t xml:space="preserve"> Europeiska centralbankens förordning (EU) nr 1409/2013 av den 28 november 2013 om betalningsstatistik (EUT L 352, 24.12.2013, s. 18).</w:t>
      </w:r>
    </w:p>
  </w:footnote>
  <w:footnote w:id="22">
    <w:p w14:paraId="19BD785A" w14:textId="266D260C" w:rsidR="0075382A" w:rsidRPr="00264CA3" w:rsidRDefault="0075382A" w:rsidP="00575F7D">
      <w:pPr>
        <w:pStyle w:val="FootnoteText"/>
      </w:pPr>
      <w:r>
        <w:rPr>
          <w:rStyle w:val="FootnoteReference"/>
        </w:rPr>
        <w:footnoteRef/>
      </w:r>
      <w:r>
        <w:t xml:space="preserve"> Europeiska centralbankens riktlinje av den 4 april 2014 om monetär och finansiell statistik (ECB/2014/15) (EUT L 340, 26.11.2014,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SV</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BILAGA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74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07F25"/>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sv-SE"/>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sv-SE"/>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sv-SE"/>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sv-SE"/>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sv-SE"/>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sv-SE"/>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sv-SE"/>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sv-SE"/>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sv-SE"/>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sv-SE"/>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sv-SE"/>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sv-S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sv-SE"/>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sv-SE"/>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sv-SE"/>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sv-SE"/>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sv-SE"/>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sv-SE"/>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sv-SE"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E0D171-C83E-4970-9110-49640FE93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13846</Words>
  <Characters>86541</Characters>
  <Application>Microsoft Office Word</Application>
  <DocSecurity>0</DocSecurity>
  <Lines>1966</Lines>
  <Paragraphs>1521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2022-03-08T15:53:00Z</dcterms:created>
  <dcterms:modified xsi:type="dcterms:W3CDTF">2022-03-08T15:53:00Z</dcterms:modified>
</cp:coreProperties>
</file>