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C80E03" w:rsidRDefault="00D175A7" w:rsidP="002F789A">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9FDD3B62-597A-4377-9538-E5E82B87F4FF" style="width:451.15pt;height:436.55pt">
            <v:imagedata r:id="rId9" o:title=""/>
          </v:shape>
        </w:pict>
      </w:r>
    </w:p>
    <w:p w:rsidR="007E1AE4" w:rsidRPr="00C80E03" w:rsidRDefault="007E1AE4">
      <w:pPr>
        <w:sectPr w:rsidR="007E1AE4" w:rsidRPr="00C80E03" w:rsidSect="00620381">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C80E03" w:rsidRDefault="002F789A" w:rsidP="002F789A">
      <w:pPr>
        <w:pStyle w:val="Typedudocument"/>
      </w:pPr>
      <w:r w:rsidRPr="002F789A">
        <w:t>ΕΚΤΕΛΕΣΤΙΚΟΣ ΚΑΝΟΝΙΣΜΟΣ (ΕΕ) …/... ΤΗΣ ΕΠΙΤΡΟΠΗΣ</w:t>
      </w:r>
    </w:p>
    <w:p w:rsidR="007E1AE4" w:rsidRPr="00C80E03" w:rsidRDefault="002F789A" w:rsidP="002F789A">
      <w:pPr>
        <w:pStyle w:val="Datedadoption"/>
      </w:pPr>
      <w:r w:rsidRPr="002F789A">
        <w:t xml:space="preserve">της </w:t>
      </w:r>
      <w:r w:rsidRPr="002F789A">
        <w:rPr>
          <w:rStyle w:val="Marker2"/>
        </w:rPr>
        <w:t>XXX</w:t>
      </w:r>
    </w:p>
    <w:p w:rsidR="007E1AE4" w:rsidRPr="00C80E03" w:rsidRDefault="002F789A" w:rsidP="002F789A">
      <w:pPr>
        <w:pStyle w:val="Titreobjet"/>
      </w:pPr>
      <w:r w:rsidRPr="002F789A">
        <w:t>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και για την κατάργηση του εκτελεστικού κανονισμού της Επιτροπής (ΕΕ) 2016/1066</w:t>
      </w:r>
      <w:r w:rsidRPr="002F789A">
        <w:br/>
      </w:r>
    </w:p>
    <w:p w:rsidR="007E1AE4" w:rsidRPr="00C80E03" w:rsidRDefault="002F789A" w:rsidP="002F789A">
      <w:pPr>
        <w:pStyle w:val="IntrtEEE"/>
      </w:pPr>
      <w:r w:rsidRPr="002F789A">
        <w:t>(Κείμενο που παρουσιάζει ενδιαφέρον για τον ΕΟΧ)</w:t>
      </w:r>
    </w:p>
    <w:p w:rsidR="007E1AE4" w:rsidRPr="00C80E03" w:rsidRDefault="007E1AE4" w:rsidP="007E1AE4">
      <w:pPr>
        <w:pStyle w:val="Institutionquiagit"/>
        <w:rPr>
          <w:color w:val="000000" w:themeColor="text1"/>
        </w:rPr>
      </w:pPr>
      <w:r w:rsidRPr="00C80E03">
        <w:rPr>
          <w:color w:val="000000" w:themeColor="text1"/>
        </w:rPr>
        <w:t>Η ΕΥΡΩΠΑΪΚΗ ΕΠΙΤΡΟΠΗ,</w:t>
      </w:r>
    </w:p>
    <w:p w:rsidR="007E1AE4" w:rsidRPr="00C80E03" w:rsidRDefault="007E1AE4" w:rsidP="007E1AE4">
      <w:pPr>
        <w:rPr>
          <w:color w:val="000000" w:themeColor="text1"/>
        </w:rPr>
      </w:pPr>
      <w:r w:rsidRPr="00C80E03">
        <w:rPr>
          <w:color w:val="000000" w:themeColor="text1"/>
        </w:rPr>
        <w:t>Έχοντας υπόψη τη Συνθήκη για τη λειτουργία της Ευρωπαϊκής Ένωσης,</w:t>
      </w:r>
    </w:p>
    <w:p w:rsidR="007E1AE4" w:rsidRPr="00C80E03" w:rsidRDefault="007E1AE4" w:rsidP="007E1AE4">
      <w:pPr>
        <w:rPr>
          <w:color w:val="000000" w:themeColor="text1"/>
        </w:rPr>
      </w:pPr>
      <w:r w:rsidRPr="00C80E03">
        <w:t>Έχοντας υπόψη την οδηγία 2014/59/ΕΕ του Ευρωπαϊκού Κοινοβουλίου και του Συμβουλίου για τη θέσπιση πλαισίου για την ανάκαμψη και την εξυγίανση πιστωτικών ιδρυμάτων και επιχειρήσεων επενδύσεων και για την τροποποίηση της οδηγίας 82/891/ΕΟΚ του Συμβουλίου, και των οδηγιών 2001/24/ΕΚ, 2002/47/ΕΚ, 2004/25/ΕΚ, 2005/56/ΕΚ, 2007/36/ΕΚ, 2011/35/ΕΕ, 2012/30/ΕΕ και 2013/36/ΕΕ, καθώς και των κανονισμών του Ευρωπαϊκού Κοινοβουλίου και του Συμβουλίου (ΕΕ) αριθ. 1093/2010 και (ΕΕ) αριθ. 648/2012</w:t>
      </w:r>
      <w:r w:rsidRPr="00C80E03">
        <w:rPr>
          <w:rStyle w:val="FootnoteReference"/>
        </w:rPr>
        <w:footnoteReference w:id="2"/>
      </w:r>
      <w:r w:rsidRPr="00C80E03">
        <w:t>, και ιδίως το άρθρο 11 παράγραφος 3,</w:t>
      </w:r>
    </w:p>
    <w:p w:rsidR="007E1AE4" w:rsidRPr="00C80E03" w:rsidRDefault="007E1AE4" w:rsidP="007E1AE4">
      <w:pPr>
        <w:rPr>
          <w:color w:val="000000" w:themeColor="text1"/>
        </w:rPr>
      </w:pPr>
      <w:r w:rsidRPr="00C80E03">
        <w:rPr>
          <w:color w:val="000000" w:themeColor="text1"/>
        </w:rPr>
        <w:t>Εκτιμώντας τα ακόλουθα:</w:t>
      </w:r>
    </w:p>
    <w:p w:rsidR="007E1AE4" w:rsidRPr="00C80E03" w:rsidRDefault="007E1AE4" w:rsidP="000117E1">
      <w:pPr>
        <w:pStyle w:val="Considrant"/>
        <w:numPr>
          <w:ilvl w:val="0"/>
          <w:numId w:val="6"/>
        </w:numPr>
      </w:pPr>
      <w:r w:rsidRPr="00C80E03">
        <w:t>Ο εκτελεστικός κανονισμός (ΕΕ) 2016/1066 της Επιτροπής</w:t>
      </w:r>
      <w:r w:rsidRPr="00C80E03">
        <w:rPr>
          <w:rStyle w:val="FootnoteReference"/>
        </w:rPr>
        <w:footnoteReference w:id="3"/>
      </w:r>
      <w:r w:rsidRPr="00C80E03">
        <w:t xml:space="preserve"> καθορίζει τη διαδικασία και θεσπίζει μια ελάχιστη σειρά υποδειγμάτων για την παροχή πληροφοριών από πιστωτικά ιδρύματα ή επιχειρήσεις επενδύσεων (εφεξής «ιδρύματα») στις αρχές εξυγίανσης για την κατάρτιση και την εφαρμογή σχεδίων εξυγίανσης για τα ιδρύματα. Από την έκδοση του εκτελεστικού κανονισμού (ΕΕ) 2016/1066 έως σήμερα, οι αρχές εξυγίανσης έχουν αποκτήσει πείρα στον τομέα του σχεδιασμού της εξυγίανσης. Λαμβανομένης υπόψη της εν λόγω πείρας, είναι αναγκαίο να επικαιροποιηθεί η ελάχιστη σειρά υποδειγμάτων για τη συλλογή πληροφοριών για τους σκοπούς του σχεδιασμού της εξυγίανσης.</w:t>
      </w:r>
    </w:p>
    <w:p w:rsidR="007E1AE4" w:rsidRPr="00C80E03" w:rsidRDefault="007E1AE4" w:rsidP="006E1E68">
      <w:pPr>
        <w:pStyle w:val="Considrant"/>
      </w:pPr>
      <w:r w:rsidRPr="00C80E03">
        <w:t>Ο εκτελεστικός κανονισμός (ΕΕ) 2016/1066 έχει επίσης ως στόχο να σχεδιαστούν η διαδικασία και η ελάχιστη σειρά υποδειγμάτων για την παροχή των αναγκαίων πληροφοριών από τα ιδρύματα, ώστε να μπορούν οι αρχές εξυγίανσης να συλλέγουν τις πληροφορίες αυτές με συνεπή τρόπο σε ολόκληρη την Ένωση και να διευκολυνθεί η ανταλλαγή πληροφοριών μεταξύ των οικείων αρχών. Ωστόσο, από την πείρα που έχει αποκτηθεί προκύπτει ότι η εναρμονισμένη προσέγγιση για τη συλλογή των εν λόγω πληροφοριών έχει επιτευχθεί μόνο εν μέρει. Ως εκ τούτου, είναι αναγκαίο να εξασφαλιστεί ότι οι αρχές εξυγίανσης συλλέγουν σε τακτική βάση έναν ελάχιστο πυρήνα πληροφοριών που αφορούν ένα ίδρυμα ή έναν όμιλο σε ολόκληρη την Ένωση. Αυτό δεν εμποδίζει τις αρχές εξυγίανσης να συλλέγουν όποιες πρόσθετες πληροφορίες κρίνουν αναγκαίες για την κατάρτιση και την εφαρμογή σχεδίων εξυγίανσης ή να καθορίζουν, όπως προβλέπεται στο άρθρο 4 της οδηγίας 2014/59/ΕΕ, απλουστευμένες υποχρεώσεις πληροφόρησης.</w:t>
      </w:r>
    </w:p>
    <w:p w:rsidR="007E1AE4" w:rsidRPr="00C80E03" w:rsidRDefault="007E1AE4" w:rsidP="007E1AE4">
      <w:pPr>
        <w:pStyle w:val="Considrant"/>
      </w:pPr>
      <w:r w:rsidRPr="00C80E03">
        <w:t>Προκειμένου να διασφαλιστεί ότι τα σχέδια εξυγίανσης βασίζονται σε ένα ελάχιστο σύνολο στοιχείων σταθερά υψηλής ποιότητας και ακρίβειας, τα στοιχεία δεδομένων που αναφέρονται στα υποδείγματα αναφοράς, τα οποία καθορίστηκαν με τον εκτελεστικό κανονισμό (ΕΕ) 2016/1066, θα πρέπει να μετατραπούν σε ένα ενιαίο μοντέλο σημείων δεδομένων, σύμφωνα με την πρακτική που ακολουθείται στην υποβολή εποπτικών αναφορών. Το ενιαίο μοντέλο σημείων δεδομένων θα πρέπει να αποτελείται από δομημένη απεικόνιση των στοιχείων δεδομένων και να προσδιορίζει όλες τις σχετικές επιχειρηματικές έννοιες για τους σκοπούς της ενιαίας υποβολής αναφορών για τον σχεδιασμό της εξυγίανσης, καθώς και να περιέχει όλες τις σχετικές προδιαγραφές που είναι αναγκαίες για την περαιτέρω ανάπτυξη ενιαίων λύσεων πληροφορικής για την υποβολή αναφορών.</w:t>
      </w:r>
    </w:p>
    <w:p w:rsidR="007E1AE4" w:rsidRPr="00C80E03" w:rsidRDefault="007E1AE4" w:rsidP="007E1AE4">
      <w:pPr>
        <w:pStyle w:val="Considrant"/>
      </w:pPr>
      <w:r w:rsidRPr="00C80E03">
        <w:t>Προκειμένου να διασφαλιστεί η ποιότητα, η συνεκτικότητα και η ακρίβεια των στοιχείων δεδομένων που υποβάλλονται από τα ιδρύματα, τα στοιχεία δεδομένων πρέπει να διέπονται από κοινούς κανόνες επικύρωσης.</w:t>
      </w:r>
    </w:p>
    <w:p w:rsidR="007E1AE4" w:rsidRPr="00C80E03" w:rsidRDefault="007E1AE4" w:rsidP="007E1AE4">
      <w:pPr>
        <w:pStyle w:val="Considrant"/>
      </w:pPr>
      <w:r w:rsidRPr="00C80E03">
        <w:t xml:space="preserve">Λόγω της φύσης τους, οι κανόνες επικύρωσης και οι ορισμοί των σημείων δεδομένων επικαιροποιούνται τακτικά, ώστε να εξασφαλίζεται ότι είναι σύμφωνοι, ανά πάσα στιγμή, με τις ισχύουσες απαιτήσεις στο πλαίσιο των κανονιστικών ρυθμίσεων, της ανάλυσης και της πληροφορικής. Ωστόσο, λόγω του χρόνου που απαιτείται επί του παρόντος για να εγκριθεί και να δημοσιευθεί το λεπτομερές ενιαίο μοντέλο σημείων δεδομένων, καθώς και οι κανόνες επικύρωσης, δεν είναι δυνατόν να γίνουν τροποποιήσεις αρκετά γρήγορα και έγκαιρα, ώστε να εξασφαλιστεί η συνεχής παροχή ενιαίων πληροφοριών σχετικά με τα σχέδια εξυγίανσης στην Ένωση. Ως εκ τούτου, θα πρέπει να θεσπιστούν αυστηρά ποιοτικά κριτήρια για το λεπτομερές ενιαίο μοντέλο σημείων δεδομένων, καθώς και οι λεπτομερείς κοινοί κανόνες επικύρωσης που θα δημοσιεύονται ηλεκτρονικά από την Ευρωπαϊκή Αρχή Τραπεζών (ΕΑΤ) στον δικτυακό της τόπο. </w:t>
      </w:r>
    </w:p>
    <w:p w:rsidR="007E1AE4" w:rsidRPr="00C80E03" w:rsidRDefault="007E1AE4" w:rsidP="007E1AE4">
      <w:pPr>
        <w:pStyle w:val="Considrant"/>
      </w:pPr>
      <w:r w:rsidRPr="00C80E03">
        <w:t>Σύμφωνα με το άρθρο 11 παράγραφος 2 της οδηγίας 2014/59/ΕΕ, οι αρμόδιες αρχές και οι αρχές εξυγίανσης θα πρέπει να συνεργάζονται, ώστε να ελαχιστοποιείται η αλληλεπικάλυψη μεταξύ των απαιτήσεων παροχής πληροφοριών. Για τον σκοπό αυτόν, ο εκτελεστικός κανονισμός (ΕΕ) 2016/1066 καθορίζει τη διαδικασία συνεργασίας μεταξύ των αρμόδιων αρχών και των αρχών εξυγίανσης, η οποία θα πρέπει να διατηρείται ώστε οι αρμόδιες αρχές και οι αρχές εξυγίανσης να επαληθεύουν από κοινού αν ορισμένες ή όλες οι ζητούμενες πληροφορίες είναι ήδη διαθέσιμες στην αρμόδια αρχή. Όταν οι πληροφορίες είναι διαθέσιμες στην αρμόδια αρχή, είναι σκόπιμο να τις διαβιβάζει άμεσα στην αρχή εξυγίανσης.</w:t>
      </w:r>
    </w:p>
    <w:p w:rsidR="007E1AE4" w:rsidRPr="00C80E03" w:rsidRDefault="007E1AE4" w:rsidP="007E1AE4">
      <w:pPr>
        <w:pStyle w:val="Considrant"/>
      </w:pPr>
      <w:r w:rsidRPr="00C80E03">
        <w:t>Με δεδομένη την έκταση των αναγκαίων τροποποιήσεων του εκτελεστικού κανονισμού (ΕΕ) 2016/1066, είναι προτιμότερο, για λόγους ασφάλειας δικαίου και νομικής σαφήνειας, να εκδοθεί νέος εκτελεστικός κανονισμός και, ως εκ τούτου, να καταργηθεί ο εκτελεστικός κανονισμός (ΕΕ) 2016/1066.</w:t>
      </w:r>
    </w:p>
    <w:p w:rsidR="007E1AE4" w:rsidRPr="00C80E03" w:rsidRDefault="007E1AE4" w:rsidP="007E1AE4">
      <w:pPr>
        <w:pStyle w:val="Considrant"/>
      </w:pPr>
      <w:r w:rsidRPr="00C80E03">
        <w:t>Ο παρών κανονισμός βασίζεται στα εκτελεστικά τεχνικά πρότυπα που υπέβαλε η ΕΑΤ στην Επιτροπή.</w:t>
      </w:r>
    </w:p>
    <w:p w:rsidR="007E1AE4" w:rsidRPr="00C80E03" w:rsidRDefault="007E1AE4" w:rsidP="007E1AE4">
      <w:pPr>
        <w:pStyle w:val="Considrant"/>
      </w:pPr>
      <w:r w:rsidRPr="00C80E03">
        <w:t>Η ΕΑΤ διεξήγαγε ανοικτές δημόσιες διαβουλεύσεις όσον αφορά τα εκτελεστικά τεχνικά πρότυπα στα οποία βασίζεται ο παρών κανονισμός, προέβη σε ανάλυση του δυνητικού σχετικού κόστους/οφέλους και ζήτησε τη γνώμη της ομάδας τραπεζικών συμφεροντούχων, που συστάθηκε σύμφωνα με το άρθρο 37 του κανονισμού (ΕΕ) αριθ. 1093/2010 του Ευρωπαϊκού Κοινοβουλίου και του Συμβουλίου</w:t>
      </w:r>
      <w:r w:rsidRPr="00C80E03">
        <w:rPr>
          <w:rStyle w:val="FootnoteReference"/>
        </w:rPr>
        <w:footnoteReference w:id="4"/>
      </w:r>
      <w:r w:rsidRPr="00C80E03">
        <w:t>,</w:t>
      </w:r>
    </w:p>
    <w:p w:rsidR="007E1AE4" w:rsidRPr="00C80E03" w:rsidRDefault="007E1AE4" w:rsidP="007E1AE4">
      <w:pPr>
        <w:pStyle w:val="Formuledadoption"/>
        <w:rPr>
          <w:color w:val="000000" w:themeColor="text1"/>
        </w:rPr>
      </w:pPr>
      <w:r w:rsidRPr="00C80E03">
        <w:rPr>
          <w:color w:val="000000" w:themeColor="text1"/>
        </w:rPr>
        <w:t>ΕΞΕΔΩΣΕ ΤΟΝ ΠΑΡΟΝΤΑ ΚΑΝΟΝΙΣΜΟ:</w:t>
      </w:r>
    </w:p>
    <w:p w:rsidR="007E1AE4" w:rsidRPr="00C80E03" w:rsidRDefault="007E1AE4" w:rsidP="007E1AE4">
      <w:pPr>
        <w:pStyle w:val="Titrearticle"/>
        <w:rPr>
          <w:color w:val="000000" w:themeColor="text1"/>
        </w:rPr>
      </w:pPr>
      <w:r w:rsidRPr="00C80E03">
        <w:rPr>
          <w:color w:val="000000" w:themeColor="text1"/>
        </w:rPr>
        <w:t xml:space="preserve">Άρθρο 1 </w:t>
      </w:r>
      <w:r w:rsidRPr="00C80E03">
        <w:rPr>
          <w:color w:val="000000" w:themeColor="text1"/>
        </w:rPr>
        <w:br/>
        <w:t>Αντικείμενο</w:t>
      </w:r>
    </w:p>
    <w:p w:rsidR="007E1AE4" w:rsidRPr="00C80E03" w:rsidRDefault="007E1AE4" w:rsidP="007E1AE4">
      <w:r w:rsidRPr="00C80E03">
        <w:t>Ο παρών κανονισμός θεσπίζει εκτελεστικά τεχνικά πρότυπα τα οποία καθορίζουν τις διαδικασίες και ένα ελάχιστο σύνολο τυποποιημένων υποδειγμάτων για την υποβολή στις αρχές εξυγίανσης των αναγκαίων πληροφοριών για την κατάρτιση και την εφαρμογή των επιμέρους σχεδίων εξυγίανσης, σύμφωνα με το άρθρο 11 της οδηγίας 2014/59/ΕΕ, και σχεδίων εξυγίανσης ομίλου σύμφωνα με το άρθρο 13 της εν λόγω οδηγίας.</w:t>
      </w:r>
    </w:p>
    <w:p w:rsidR="007E1AE4" w:rsidRPr="00C80E03" w:rsidRDefault="007E1AE4" w:rsidP="007E1AE4">
      <w:pPr>
        <w:pStyle w:val="Titrearticle"/>
        <w:rPr>
          <w:color w:val="000000" w:themeColor="text1"/>
        </w:rPr>
      </w:pPr>
      <w:r w:rsidRPr="00C80E03">
        <w:rPr>
          <w:color w:val="000000" w:themeColor="text1"/>
        </w:rPr>
        <w:t xml:space="preserve">Άρθρο 2 </w:t>
      </w:r>
      <w:r w:rsidRPr="00C80E03">
        <w:rPr>
          <w:color w:val="000000" w:themeColor="text1"/>
        </w:rPr>
        <w:br/>
        <w:t>Ορισμοί</w:t>
      </w:r>
    </w:p>
    <w:p w:rsidR="007E1AE4" w:rsidRPr="00C80E03" w:rsidRDefault="007E1AE4" w:rsidP="007E1AE4">
      <w:r w:rsidRPr="00C80E03">
        <w:t>Για τους σκοπούς του παρόντος κανονισμού, ισχύουν οι ακόλουθοι ορισμοί:</w:t>
      </w:r>
    </w:p>
    <w:p w:rsidR="00F14DE3" w:rsidRPr="00C80E03" w:rsidRDefault="00AD470D" w:rsidP="000117E1">
      <w:pPr>
        <w:pStyle w:val="Point0number"/>
        <w:numPr>
          <w:ilvl w:val="0"/>
          <w:numId w:val="7"/>
        </w:numPr>
      </w:pPr>
      <w:r w:rsidRPr="00C80E03">
        <w:t>«οντότητα εξυγίανσης»: οποιοδήποτε από τα εξής:</w:t>
      </w:r>
    </w:p>
    <w:p w:rsidR="00AD470D" w:rsidRPr="00C80E03" w:rsidRDefault="002F789A" w:rsidP="002F789A">
      <w:pPr>
        <w:pStyle w:val="Point2"/>
      </w:pPr>
      <w:r>
        <w:t>α)</w:t>
      </w:r>
      <w:r>
        <w:tab/>
      </w:r>
      <w:r w:rsidR="00AD470D" w:rsidRPr="00C80E03">
        <w:t>οντότητα εγκατεστημένη στην Ένωση, η οποία προσδιορίζεται από την αρχή εξυγίανσης σύμφωνα με το άρθρο 12 της οδηγίας 2014/59/ΕΕ ως οντότητα για την οποία το σχέδιο εξυγίανσης προβλέπει δράση εξυγίανσης· είτε</w:t>
      </w:r>
    </w:p>
    <w:p w:rsidR="00AD470D" w:rsidRPr="00C80E03" w:rsidRDefault="002F789A" w:rsidP="002F789A">
      <w:pPr>
        <w:pStyle w:val="Point2"/>
      </w:pPr>
      <w:r>
        <w:t>β)</w:t>
      </w:r>
      <w:r>
        <w:tab/>
      </w:r>
      <w:r w:rsidR="00AD470D" w:rsidRPr="00C80E03">
        <w:t>ίδρυμα που δεν αποτελεί μέρος ομίλου που υπόκειται σε ενοποιημένη εποπτεία σύμφωνα με τα άρθρα 111 και 112 της οδηγίας 2013/36/ΕΕ, για το οποίο το σχέδιο εξυγίανσης που καταρτίστηκε σύμφωνα με το άρθρο 10 της οδηγίας 2014/59/ΕΕ προβλέπει δράση εξυγίανσης·</w:t>
      </w:r>
    </w:p>
    <w:p w:rsidR="00AD470D" w:rsidRPr="00C80E03" w:rsidRDefault="00AD470D" w:rsidP="000117E1">
      <w:pPr>
        <w:pStyle w:val="Point0number"/>
        <w:numPr>
          <w:ilvl w:val="0"/>
          <w:numId w:val="7"/>
        </w:numPr>
        <w:rPr>
          <w:szCs w:val="24"/>
        </w:rPr>
      </w:pPr>
      <w:r w:rsidRPr="00C80E03">
        <w:t>«όμιλος εξυγίανσης»: οποιοδήποτε από τα εξής:</w:t>
      </w:r>
    </w:p>
    <w:p w:rsidR="00AD470D" w:rsidRPr="00C80E03" w:rsidRDefault="002F789A" w:rsidP="002F789A">
      <w:pPr>
        <w:pStyle w:val="Point1"/>
      </w:pPr>
      <w:r>
        <w:t>α)</w:t>
      </w:r>
      <w:r>
        <w:tab/>
      </w:r>
      <w:r w:rsidR="00AD470D" w:rsidRPr="00C80E03">
        <w:t>οντότητα εξυγίανσης και οι θυγατρικές της που δεν είναι:</w:t>
      </w:r>
    </w:p>
    <w:p w:rsidR="00AD470D" w:rsidRPr="00C80E03" w:rsidRDefault="00AD470D" w:rsidP="00AE1240">
      <w:pPr>
        <w:pStyle w:val="Point3"/>
      </w:pPr>
      <w:r w:rsidRPr="00C80E03">
        <w:t>i) οντότητες εξυγίανσης οι ίδιες· ή</w:t>
      </w:r>
    </w:p>
    <w:p w:rsidR="00AD470D" w:rsidRPr="00C80E03" w:rsidRDefault="00AD470D" w:rsidP="0051415A">
      <w:pPr>
        <w:pStyle w:val="Point3"/>
      </w:pPr>
      <w:r w:rsidRPr="00C80E03">
        <w:t>ii) θυγατρικές άλλων οντοτήτων εξυγίανσης· ή</w:t>
      </w:r>
    </w:p>
    <w:p w:rsidR="006D0EA9" w:rsidRPr="00C80E03" w:rsidRDefault="00AD470D" w:rsidP="0051415A">
      <w:pPr>
        <w:pStyle w:val="Point3"/>
      </w:pPr>
      <w:r w:rsidRPr="00C80E03">
        <w:t>iii) οντότητες εγκατεστημένες σε τρίτη χώρα που δεν περιλαμβάνονται στον όμιλο εξυγίανσης σύμφωνα με το σχέδιο εξυγίανσης και οι θυγατρικές τους·</w:t>
      </w:r>
    </w:p>
    <w:p w:rsidR="00AD470D" w:rsidRPr="00C80E03" w:rsidRDefault="002F789A" w:rsidP="002F789A">
      <w:pPr>
        <w:pStyle w:val="Point1"/>
      </w:pPr>
      <w:r>
        <w:t>β)</w:t>
      </w:r>
      <w:r>
        <w:tab/>
      </w:r>
      <w:r w:rsidR="00AD470D" w:rsidRPr="00C80E03">
        <w:t xml:space="preserve">τα πιστωτικά ιδρύματα που συνδέονται μόνιμα με κεντρικό οργανισμό, </w:t>
      </w:r>
      <w:r w:rsidR="003C06E8">
        <w:t>ο</w:t>
      </w:r>
      <w:r w:rsidR="00AD470D" w:rsidRPr="00C80E03">
        <w:t xml:space="preserve"> κεντρικό</w:t>
      </w:r>
      <w:r w:rsidR="003C06E8">
        <w:t>ς</w:t>
      </w:r>
      <w:r w:rsidR="00AD470D" w:rsidRPr="00C80E03">
        <w:t xml:space="preserve"> οργανισμό</w:t>
      </w:r>
      <w:r w:rsidR="003C06E8">
        <w:t>ς</w:t>
      </w:r>
      <w:r w:rsidR="00AD470D" w:rsidRPr="00C80E03">
        <w:t xml:space="preserve"> και κάθε ίδρυμα υπό τον έλεγχο του κεντρικού οργανισμού, όταν μία από τις εν λόγω οντότητες αποτελεί οντότητα εξυγίανσης·</w:t>
      </w:r>
    </w:p>
    <w:p w:rsidR="007E1AE4" w:rsidRPr="00C80E03" w:rsidRDefault="007E1AE4" w:rsidP="00AE1240">
      <w:pPr>
        <w:pStyle w:val="Point0number"/>
      </w:pPr>
      <w:r w:rsidRPr="00C80E03">
        <w:t>«ίδρυμα ομίλου»: η οντότητα του ομίλου που είναι πιστωτικό ίδρυμα ή επιχείρηση επενδύσεων·</w:t>
      </w:r>
    </w:p>
    <w:p w:rsidR="00F80209" w:rsidRPr="00C80E03" w:rsidRDefault="00F80209" w:rsidP="00AE1240">
      <w:pPr>
        <w:pStyle w:val="Point0number"/>
      </w:pPr>
      <w:r w:rsidRPr="00C80E03">
        <w:t>«σχετική νομική οντότητα»: η οντότητα του ομίλου που είτε:</w:t>
      </w:r>
    </w:p>
    <w:p w:rsidR="00F80209" w:rsidRPr="00C80E03" w:rsidRDefault="002F789A" w:rsidP="002F789A">
      <w:pPr>
        <w:pStyle w:val="Point2"/>
      </w:pPr>
      <w:r>
        <w:t>α)</w:t>
      </w:r>
      <w:r>
        <w:tab/>
      </w:r>
      <w:r w:rsidR="003C06E8" w:rsidRPr="00C80E03">
        <w:t>παρέχει</w:t>
      </w:r>
      <w:r w:rsidR="00F80209" w:rsidRPr="00C80E03">
        <w:t xml:space="preserve"> κρίσιμες λειτουργίες· είτε</w:t>
      </w:r>
    </w:p>
    <w:p w:rsidR="00F80209" w:rsidRPr="00C80E03" w:rsidRDefault="002F789A" w:rsidP="002F789A">
      <w:pPr>
        <w:pStyle w:val="Point2"/>
      </w:pPr>
      <w:r>
        <w:t>β)</w:t>
      </w:r>
      <w:r>
        <w:tab/>
      </w:r>
      <w:r w:rsidR="00F80209" w:rsidRPr="00C80E03">
        <w:t>αντιπροσωπεύει ή παρέχει σε ποσοστό μεγαλύτερο από το 5 % οποιοδήποτε από τα ακόλουθα:</w:t>
      </w:r>
    </w:p>
    <w:p w:rsidR="00F80209" w:rsidRPr="00C80E03" w:rsidRDefault="00F80209" w:rsidP="00AE1240">
      <w:pPr>
        <w:pStyle w:val="Point3"/>
        <w:ind w:left="2268" w:hanging="284"/>
        <w:rPr>
          <w:rStyle w:val="Strong"/>
          <w:b w:val="0"/>
          <w:color w:val="444444"/>
          <w:szCs w:val="24"/>
        </w:rPr>
      </w:pPr>
      <w:r w:rsidRPr="00C80E03">
        <w:t xml:space="preserve">i) το συνολικό ποσό ανοίγματος σε κίνδυνο του ομίλου που αναφέρεται στο άρθρο 92 παράγραφος 3 του κανονισμού (ΕΕ) αριθ. 575/2013 </w:t>
      </w:r>
      <w:r w:rsidRPr="00C80E03">
        <w:rPr>
          <w:rStyle w:val="Strong"/>
          <w:b w:val="0"/>
          <w:color w:val="444444"/>
        </w:rPr>
        <w:t>του Ευρωπαϊκού Κοινοβουλίου και του Συμβουλίου</w:t>
      </w:r>
      <w:r w:rsidRPr="00C80E03">
        <w:rPr>
          <w:rStyle w:val="FootnoteReference"/>
          <w:color w:val="444444"/>
        </w:rPr>
        <w:footnoteReference w:id="5"/>
      </w:r>
      <w:r w:rsidRPr="00C80E03">
        <w:t>·</w:t>
      </w:r>
    </w:p>
    <w:p w:rsidR="00F80209" w:rsidRPr="00C80E03" w:rsidRDefault="00F80209" w:rsidP="00AE1240">
      <w:pPr>
        <w:pStyle w:val="Point3"/>
        <w:ind w:left="2410" w:hanging="426"/>
      </w:pPr>
      <w:r w:rsidRPr="00C80E03">
        <w:rPr>
          <w:rStyle w:val="Strong"/>
          <w:b w:val="0"/>
          <w:color w:val="444444"/>
        </w:rPr>
        <w:t>ii)</w:t>
      </w:r>
      <w:r w:rsidRPr="00C80E03">
        <w:t xml:space="preserve"> το μέτρο του συνολικού ανοίγματος του δείκτη μόχλευσης του ομίλου, σύμφωνα με το άρθρο 429 παράγραφος 4 του </w:t>
      </w:r>
      <w:r w:rsidR="003C06E8" w:rsidRPr="00C80E03">
        <w:t>κανονισμού</w:t>
      </w:r>
      <w:r w:rsidRPr="00C80E03">
        <w:t xml:space="preserve"> (ΕΕ) αριθ. 575/2013·</w:t>
      </w:r>
    </w:p>
    <w:p w:rsidR="001150B6" w:rsidRPr="00C80E03" w:rsidRDefault="00F80209" w:rsidP="00AE1240">
      <w:pPr>
        <w:pStyle w:val="Point3"/>
      </w:pPr>
      <w:r w:rsidRPr="00C80E03">
        <w:t>iii) τα έσοδα εκμετάλλευσης του ομίλου σε ενοποιημένη βάση.</w:t>
      </w:r>
    </w:p>
    <w:p w:rsidR="007E1AE4" w:rsidRPr="00C80E03" w:rsidRDefault="007E1AE4" w:rsidP="007E1AE4">
      <w:pPr>
        <w:pStyle w:val="Titrearticle"/>
        <w:rPr>
          <w:color w:val="000000" w:themeColor="text1"/>
        </w:rPr>
      </w:pPr>
      <w:r w:rsidRPr="00C80E03">
        <w:rPr>
          <w:color w:val="000000" w:themeColor="text1"/>
        </w:rPr>
        <w:t>Άρθρο 3</w:t>
      </w:r>
      <w:r w:rsidRPr="00C80E03">
        <w:rPr>
          <w:color w:val="000000" w:themeColor="text1"/>
        </w:rPr>
        <w:br/>
        <w:t>Παροχή βασικών πληροφοριών για τους σκοπούς των επιμέρους σχεδίων εξυγίανσης και των σχεδίων εξυγίανσης ομίλου</w:t>
      </w:r>
    </w:p>
    <w:p w:rsidR="007E1AE4" w:rsidRPr="00C80E03" w:rsidRDefault="005062D8" w:rsidP="000117E1">
      <w:pPr>
        <w:pStyle w:val="NumPar1"/>
        <w:numPr>
          <w:ilvl w:val="0"/>
          <w:numId w:val="8"/>
        </w:numPr>
        <w:rPr>
          <w:color w:val="000000" w:themeColor="text1"/>
        </w:rPr>
      </w:pPr>
      <w:r w:rsidRPr="00C80E03">
        <w:rPr>
          <w:color w:val="000000" w:themeColor="text1"/>
        </w:rPr>
        <w:t>Τα ιδρύματα και, στην περίπτωση των ομίλων, οι μητρικές επιχειρήσεις της Ένωσης υποβάλλουν στις αρχές εξυγίανσης, είτε άμεσα είτε μέσω της αρμόδιας αρχής, τις πληροφορίες που αναφέρονται στα υποδείγματα που καθορίζονται στο παράρτημα I, σύμφωνα με το επίπεδο ενοποίησης των πληροφοριών, τη συχνότητα και τον μορφότυπο που προβλέπονται αντίστοιχα στα άρθρα 4, 5 και 6, σύμφωνα με τις οδηγίες που παρατίθενται στο παράρτημα ΙΙ.</w:t>
      </w:r>
    </w:p>
    <w:p w:rsidR="007E1AE4" w:rsidRPr="00C80E03" w:rsidRDefault="007E1AE4" w:rsidP="007E1AE4">
      <w:pPr>
        <w:pStyle w:val="NumPar1"/>
        <w:rPr>
          <w:color w:val="000000" w:themeColor="text1"/>
        </w:rPr>
      </w:pPr>
      <w:r w:rsidRPr="00C80E03">
        <w:rPr>
          <w:color w:val="000000" w:themeColor="text1"/>
        </w:rPr>
        <w:t>Όταν η αρχή εξυγίανσης, ή, στην περίπτωση των ομίλων, η αρχή εξυγίανσης σε επίπεδο ομίλου, εφαρμόζει απλουστευμένες υποχρεώσεις σύμφωνα με το άρθρο 4 της οδηγίας 2014/59/ΕΕ, ενημερώνει τα οικεία ιδρύματα ή τις οικείες μητρ</w:t>
      </w:r>
      <w:r w:rsidR="003C06E8">
        <w:rPr>
          <w:color w:val="000000" w:themeColor="text1"/>
        </w:rPr>
        <w:t xml:space="preserve">ικές επιχειρήσεις της Ένωσης για όσες </w:t>
      </w:r>
      <w:r w:rsidRPr="00C80E03">
        <w:rPr>
          <w:color w:val="000000" w:themeColor="text1"/>
        </w:rPr>
        <w:t>πληροφορίες δεν απαιτείται να περιλαμβάνονται στην υποβολή των πληροφοριών που αναφέρονται στην παράγραφο 1 του παρόντος άρθρου. Προσδιορίζει τις εν λόγω πληροφορίες παραπέμποντας στα υποδείγματα που καθορίζονται στο παράρτημα I.</w:t>
      </w:r>
    </w:p>
    <w:p w:rsidR="007E1AE4" w:rsidRPr="00C80E03" w:rsidRDefault="007E1AE4" w:rsidP="007E1AE4">
      <w:pPr>
        <w:pStyle w:val="Titrearticle"/>
        <w:rPr>
          <w:color w:val="000000" w:themeColor="text1"/>
        </w:rPr>
      </w:pPr>
      <w:r w:rsidRPr="00C80E03">
        <w:rPr>
          <w:color w:val="000000" w:themeColor="text1"/>
        </w:rPr>
        <w:t>Άρθρο 4</w:t>
      </w:r>
      <w:r w:rsidRPr="00C80E03">
        <w:rPr>
          <w:color w:val="000000" w:themeColor="text1"/>
        </w:rPr>
        <w:br/>
        <w:t xml:space="preserve">Επίπεδο ενοποίησης των πληροφοριών </w:t>
      </w:r>
    </w:p>
    <w:p w:rsidR="007E1AE4" w:rsidRPr="00C80E03" w:rsidRDefault="007E1AE4" w:rsidP="00EB1CD0">
      <w:pPr>
        <w:pStyle w:val="NumPar1"/>
        <w:numPr>
          <w:ilvl w:val="0"/>
          <w:numId w:val="1"/>
        </w:numPr>
        <w:rPr>
          <w:color w:val="000000" w:themeColor="text1"/>
        </w:rPr>
      </w:pPr>
      <w:r w:rsidRPr="00C80E03">
        <w:rPr>
          <w:color w:val="000000" w:themeColor="text1"/>
        </w:rPr>
        <w:t>Τα ιδρύματα που δεν ανήκουν σε όμιλο υποβάλλουν τις πληροφορίες που αναφέρονται στο άρθρο 3 παράγραφος 1, με εξαίρεση τις πληροφορίες που αναφέρονται στα υποδείγματα Z 07.02 και Z 04.00 του παραρτήματος Ι, σε μεμονωμένη βάση.</w:t>
      </w:r>
    </w:p>
    <w:p w:rsidR="007E1AE4" w:rsidRPr="00C80E03" w:rsidRDefault="007E1AE4" w:rsidP="00EB1CD0">
      <w:pPr>
        <w:pStyle w:val="NumPar1"/>
        <w:numPr>
          <w:ilvl w:val="0"/>
          <w:numId w:val="1"/>
        </w:numPr>
        <w:rPr>
          <w:color w:val="000000" w:themeColor="text1"/>
        </w:rPr>
      </w:pPr>
      <w:r w:rsidRPr="00C80E03">
        <w:rPr>
          <w:color w:val="000000" w:themeColor="text1"/>
        </w:rPr>
        <w:t xml:space="preserve">Στην περίπτωση των ομίλων, οι μητρικές επιχειρήσεις της Ένωσης υποβάλλουν τις πληροφορίες που αναφέρονται στο άρθρο 3 παράγραφος 1, σύμφωνα με τις ακόλουθες προδιαγραφές: </w:t>
      </w:r>
    </w:p>
    <w:p w:rsidR="007E1AE4" w:rsidRPr="00C80E03" w:rsidRDefault="002F789A" w:rsidP="002F789A">
      <w:pPr>
        <w:pStyle w:val="Point0"/>
      </w:pPr>
      <w:r>
        <w:t>α)</w:t>
      </w:r>
      <w:r>
        <w:tab/>
      </w:r>
      <w:r w:rsidR="007E1AE4" w:rsidRPr="00C80E03">
        <w:t>τις πληροφορίες που ορίζονται στο υπόδειγμα Ζ 01.00 του παραρτήματος Ι όσον αφορά τα εξής:</w:t>
      </w:r>
    </w:p>
    <w:p w:rsidR="007E1AE4" w:rsidRPr="00C80E03" w:rsidRDefault="00045775" w:rsidP="0051415A">
      <w:pPr>
        <w:pStyle w:val="Point2"/>
      </w:pPr>
      <w:r w:rsidRPr="00C80E03">
        <w:t xml:space="preserve">i) </w:t>
      </w:r>
      <w:r w:rsidRPr="00C80E03">
        <w:tab/>
        <w:t xml:space="preserve">τις οντότητες του ομίλου που περιλαμβάνονται στις ενοποιημένες οικονομικές καταστάσεις του που υπερβαίνουν το 0,5 % του συνόλου του ενεργητικού ή των συνολικών υποχρεώσεων του ομίλου· </w:t>
      </w:r>
    </w:p>
    <w:p w:rsidR="007E1AE4" w:rsidRPr="00C80E03" w:rsidRDefault="00045775" w:rsidP="0051415A">
      <w:pPr>
        <w:pStyle w:val="Point2"/>
      </w:pPr>
      <w:r w:rsidRPr="00C80E03">
        <w:t>ii)</w:t>
      </w:r>
      <w:r w:rsidRPr="00C80E03">
        <w:tab/>
        <w:t>τα ιδρύματα ομίλου που υπερβαίνουν το 0,5 % του συνολικού ποσού ανοίγματος σε κίνδυνο ή το 0,5 % του συνολικού κεφαλαίου κοινών μετοχών κατηγορίας 1 του ομίλου βάσει της ενοποιημένης κατάστασης της μητρικής επιχείρησης της Ένωσης·</w:t>
      </w:r>
    </w:p>
    <w:p w:rsidR="007E1AE4" w:rsidRPr="00C80E03" w:rsidRDefault="00045775" w:rsidP="0051415A">
      <w:pPr>
        <w:pStyle w:val="Point2"/>
      </w:pPr>
      <w:r w:rsidRPr="00C80E03">
        <w:t xml:space="preserve">iii) </w:t>
      </w:r>
      <w:r w:rsidRPr="00C80E03">
        <w:tab/>
        <w:t>τις οντότητες ομίλου που παρέχουν κρίσιμες λειτουργίες·</w:t>
      </w:r>
    </w:p>
    <w:p w:rsidR="007E1AE4" w:rsidRPr="00C80E03" w:rsidRDefault="002F789A" w:rsidP="002F789A">
      <w:pPr>
        <w:pStyle w:val="Point0"/>
        <w:rPr>
          <w:color w:val="000000" w:themeColor="text1"/>
        </w:rPr>
      </w:pPr>
      <w:r>
        <w:rPr>
          <w:color w:val="000000" w:themeColor="text1"/>
        </w:rPr>
        <w:t>β)</w:t>
      </w:r>
      <w:r>
        <w:rPr>
          <w:color w:val="000000" w:themeColor="text1"/>
        </w:rPr>
        <w:tab/>
      </w:r>
      <w:r w:rsidR="007E1AE4" w:rsidRPr="00C80E03">
        <w:rPr>
          <w:color w:val="000000" w:themeColor="text1"/>
        </w:rPr>
        <w:t>τις πληροφορίες που ορίζονται στα υποδείγματα Z 02.00 και Z 03.00 του παραρτήματος Ι:</w:t>
      </w:r>
    </w:p>
    <w:p w:rsidR="007E1AE4" w:rsidRPr="00C80E03" w:rsidRDefault="00045775" w:rsidP="0051415A">
      <w:pPr>
        <w:pStyle w:val="Point2"/>
      </w:pPr>
      <w:r w:rsidRPr="00C80E03">
        <w:t xml:space="preserve">i) </w:t>
      </w:r>
      <w:r w:rsidRPr="00C80E03">
        <w:tab/>
        <w:t>στο επίπεδο της μητρικής επιχείρησης της Ένωσης ή, αν διαφέρει, στο επίπεδο της</w:t>
      </w:r>
      <w:r w:rsidR="003C06E8">
        <w:t xml:space="preserve"> κάθε οντότητας υπό εξυγίανση</w:t>
      </w:r>
      <w:r w:rsidRPr="00C80E03">
        <w:t xml:space="preserve"> μεμονωμένα· </w:t>
      </w:r>
    </w:p>
    <w:p w:rsidR="007E1AE4" w:rsidRPr="00C80E03" w:rsidRDefault="00045775" w:rsidP="0051415A">
      <w:pPr>
        <w:pStyle w:val="Point2"/>
      </w:pPr>
      <w:r w:rsidRPr="00C80E03">
        <w:t>ii)</w:t>
      </w:r>
      <w:r w:rsidRPr="00C80E03">
        <w:tab/>
        <w:t>στο επίπεδο του κάθε ιδρύματος ομίλου που αποτελεί σχετική νομική οντότητα και δεν εμπίπτει στο πεδίο εφαρμογής του σημείου i), μεμονωμένα , εκτός από τις περιπτώσεις στις οποίες η αρχή εξυγίανσης έχει απαλλάξει πλήρως το εν λόγω ίδρυμα από την εφαρμογή της μεμονωμένης ελάχιστης απαίτησης ιδίων κεφαλαίων και επιλέξιμων υποχρεώσεων σύμφωνα με το άρθρο 45 παράγραφος 11 ή παράγραφος 12 της οδηγίας 2014/59/ΕΕ·</w:t>
      </w:r>
    </w:p>
    <w:p w:rsidR="007E1AE4" w:rsidRPr="00C80E03" w:rsidRDefault="00045775" w:rsidP="0051415A">
      <w:pPr>
        <w:pStyle w:val="Point2"/>
      </w:pPr>
      <w:r w:rsidRPr="00C80E03">
        <w:t>iii)</w:t>
      </w:r>
      <w:r w:rsidRPr="00C80E03">
        <w:tab/>
        <w:t>στο επίπεδο της μητρικής επιχείρησης της Ένωσης σε ενοποιημένη βάση ή, εάν διαφέρει, στο επίπεδο κάθε οντότητας εξυγίανσης βάσει της ενοποιημένης κατάστασης του ομίλου εξυγίανσης·</w:t>
      </w:r>
    </w:p>
    <w:p w:rsidR="007E1AE4" w:rsidRPr="00C80E03" w:rsidRDefault="002F789A" w:rsidP="002F789A">
      <w:pPr>
        <w:pStyle w:val="Point0"/>
      </w:pPr>
      <w:r>
        <w:t>γ)</w:t>
      </w:r>
      <w:r>
        <w:tab/>
      </w:r>
      <w:r w:rsidR="007E1AE4" w:rsidRPr="00C80E03">
        <w:t>τις πληροφορίες που ορίζονται στο υπόδειγμα Ζ 04.00 του παραρτήματος Ι σχετικά με τις χρηματοοικονομικές διασυνδέσεις μεταξύ όλων των σχετικών νομικών οντοτήτων·</w:t>
      </w:r>
    </w:p>
    <w:p w:rsidR="007E1AE4" w:rsidRPr="00C80E03" w:rsidRDefault="00072140" w:rsidP="00072140">
      <w:pPr>
        <w:pStyle w:val="Point0"/>
        <w:rPr>
          <w:color w:val="000000" w:themeColor="text1"/>
        </w:rPr>
      </w:pPr>
      <w:r>
        <w:rPr>
          <w:color w:val="000000" w:themeColor="text1"/>
        </w:rPr>
        <w:t>δ)</w:t>
      </w:r>
      <w:r>
        <w:rPr>
          <w:color w:val="000000" w:themeColor="text1"/>
        </w:rPr>
        <w:tab/>
      </w:r>
      <w:r w:rsidR="007E1AE4" w:rsidRPr="00C80E03">
        <w:rPr>
          <w:color w:val="000000" w:themeColor="text1"/>
        </w:rPr>
        <w:t>τις πληροφορίες που ορίζονται στα υποδείγματα Z 05.01 και Z 05.02 του παραρτήματος Ι:</w:t>
      </w:r>
    </w:p>
    <w:p w:rsidR="007E1AE4" w:rsidRPr="00C80E03" w:rsidRDefault="00045775" w:rsidP="0051415A">
      <w:pPr>
        <w:pStyle w:val="Point2"/>
      </w:pPr>
      <w:r w:rsidRPr="00C80E03">
        <w:t>i)</w:t>
      </w:r>
      <w:r w:rsidRPr="00C80E03">
        <w:tab/>
        <w:t>στο επίπεδο της μητρικής επιχείρησης της Ένωσης ή, αν διαφέρει, στο επίπεδο της κάθε οντότητας υπό εξυγίανση σε μεμονωμένα·</w:t>
      </w:r>
    </w:p>
    <w:p w:rsidR="007E1AE4" w:rsidRPr="00C80E03" w:rsidRDefault="00045775" w:rsidP="0051415A">
      <w:pPr>
        <w:pStyle w:val="Point2"/>
      </w:pPr>
      <w:r w:rsidRPr="00C80E03">
        <w:t>ii)</w:t>
      </w:r>
      <w:r w:rsidRPr="00C80E03">
        <w:tab/>
        <w:t>στο επίπεδο της μητρικής επιχείρησης της Ένωσης σε ενοποιημένη βάση ή, εάν διαφέρει, στο επίπεδο κάθε οντότητας εξυγίανσης βάσει της ενοποιημένης κατάστασης του ομίλου εξυγίανσης·</w:t>
      </w:r>
    </w:p>
    <w:p w:rsidR="007E1AE4" w:rsidRPr="00C80E03" w:rsidRDefault="00072140" w:rsidP="00072140">
      <w:pPr>
        <w:pStyle w:val="Point0"/>
        <w:rPr>
          <w:color w:val="000000" w:themeColor="text1"/>
        </w:rPr>
      </w:pPr>
      <w:r>
        <w:rPr>
          <w:color w:val="000000" w:themeColor="text1"/>
        </w:rPr>
        <w:t>ε)</w:t>
      </w:r>
      <w:r>
        <w:rPr>
          <w:color w:val="000000" w:themeColor="text1"/>
        </w:rPr>
        <w:tab/>
      </w:r>
      <w:r w:rsidR="007E1AE4" w:rsidRPr="00C80E03">
        <w:rPr>
          <w:color w:val="000000" w:themeColor="text1"/>
        </w:rPr>
        <w:t>τις πληροφορίες που ορίζονται στο υπόδειγμα 06.00 του παραρτήματος I, στο επίπεδο της μητρικής επιχείρησης της Ένωσης σε ενοποιημένη βάση, όσον αφορά όλα τα πιστωτικά ιδρύματα που είναι σχετικές νομικές οντότητες·</w:t>
      </w:r>
    </w:p>
    <w:p w:rsidR="007E1AE4" w:rsidRPr="00C80E03" w:rsidRDefault="00072140" w:rsidP="00072140">
      <w:pPr>
        <w:pStyle w:val="Point0"/>
        <w:rPr>
          <w:color w:val="000000" w:themeColor="text1"/>
        </w:rPr>
      </w:pPr>
      <w:r>
        <w:rPr>
          <w:color w:val="000000" w:themeColor="text1"/>
        </w:rPr>
        <w:t>στ)</w:t>
      </w:r>
      <w:r>
        <w:rPr>
          <w:color w:val="000000" w:themeColor="text1"/>
        </w:rPr>
        <w:tab/>
      </w:r>
      <w:r w:rsidR="007E1AE4" w:rsidRPr="00C80E03">
        <w:rPr>
          <w:color w:val="000000" w:themeColor="text1"/>
        </w:rPr>
        <w:t>τις πληροφορίες που ορίζονται στο υπόδειγμα 07.01 του παραρτήματος I, χωριστά για κάθε κράτος μέλος στο οποίο δραστηριοποιείται ο όμιλος·</w:t>
      </w:r>
    </w:p>
    <w:p w:rsidR="007E1AE4" w:rsidRPr="00C80E03" w:rsidRDefault="00072140" w:rsidP="00072140">
      <w:pPr>
        <w:pStyle w:val="Point0"/>
        <w:rPr>
          <w:color w:val="000000" w:themeColor="text1"/>
        </w:rPr>
      </w:pPr>
      <w:r>
        <w:rPr>
          <w:color w:val="000000" w:themeColor="text1"/>
        </w:rPr>
        <w:t>ζ)</w:t>
      </w:r>
      <w:r>
        <w:rPr>
          <w:color w:val="000000" w:themeColor="text1"/>
        </w:rPr>
        <w:tab/>
      </w:r>
      <w:r w:rsidR="007E1AE4" w:rsidRPr="00C80E03">
        <w:rPr>
          <w:color w:val="000000" w:themeColor="text1"/>
        </w:rPr>
        <w:t>τις πληροφορίες που ορίζονται στα υποδείγματα Z 07.02 και Z 07.03 και Z 07.04 του παραρτήματος I σχετικά με τις κρίσιμες λειτουργίες και τους βασικούς επιχειρηματικές τομείς που παρέχονται από οποιαδήποτε οντότητα του ομίλου·</w:t>
      </w:r>
    </w:p>
    <w:p w:rsidR="007E1AE4" w:rsidRPr="00C80E03" w:rsidRDefault="00072140" w:rsidP="00072140">
      <w:pPr>
        <w:pStyle w:val="Point0"/>
        <w:rPr>
          <w:color w:val="000000" w:themeColor="text1"/>
        </w:rPr>
      </w:pPr>
      <w:r>
        <w:rPr>
          <w:color w:val="000000" w:themeColor="text1"/>
        </w:rPr>
        <w:t>η)</w:t>
      </w:r>
      <w:r>
        <w:rPr>
          <w:color w:val="000000" w:themeColor="text1"/>
        </w:rPr>
        <w:tab/>
      </w:r>
      <w:r w:rsidR="007E1AE4" w:rsidRPr="00C80E03">
        <w:rPr>
          <w:color w:val="000000" w:themeColor="text1"/>
        </w:rPr>
        <w:t>τις πληροφορίες που ορίζονται στο υπόδειγμα Ζ 08.00 του παραρτήματος I, σχετικά με όλες τις κρίσιμες υπηρεσίες που παρέχονται σε οποιαδήποτε οντότητα του ομίλου που περιλαμβάνεται στο υπόδειγμα Ζ 01.00 του παραρτήματος I·</w:t>
      </w:r>
    </w:p>
    <w:p w:rsidR="007E1AE4" w:rsidRPr="00C80E03" w:rsidRDefault="00072140" w:rsidP="00072140">
      <w:pPr>
        <w:pStyle w:val="Point0"/>
        <w:rPr>
          <w:color w:val="000000" w:themeColor="text1"/>
        </w:rPr>
      </w:pPr>
      <w:r>
        <w:rPr>
          <w:color w:val="000000" w:themeColor="text1"/>
        </w:rPr>
        <w:t>θ)</w:t>
      </w:r>
      <w:r>
        <w:rPr>
          <w:color w:val="000000" w:themeColor="text1"/>
        </w:rPr>
        <w:tab/>
      </w:r>
      <w:r w:rsidR="007E1AE4" w:rsidRPr="00C80E03">
        <w:rPr>
          <w:color w:val="000000" w:themeColor="text1"/>
        </w:rPr>
        <w:t>τις πληροφορίες που ορίζονται στο υπόδειγμα Ζ 09.00 του παραρτήματος Ι σχετικά με όλες τις υποδομές των χρηματοπιστωτικών αγορών, η διαταραχή των οποίων θα αποτελούσε σοβαρό εμπόδιο ή θα εμπόδιζε την εκτέλεση οποιαδήποτε κρίσιμης λειτουργίας που προσδιορίζεται στο υπόδειγμα Z 07 02·</w:t>
      </w:r>
    </w:p>
    <w:p w:rsidR="007E1AE4" w:rsidRPr="00C80E03" w:rsidRDefault="00072140" w:rsidP="00072140">
      <w:pPr>
        <w:pStyle w:val="Point0"/>
        <w:rPr>
          <w:color w:val="000000" w:themeColor="text1"/>
        </w:rPr>
      </w:pPr>
      <w:r>
        <w:rPr>
          <w:color w:val="000000" w:themeColor="text1"/>
        </w:rPr>
        <w:t>ι)</w:t>
      </w:r>
      <w:r>
        <w:rPr>
          <w:color w:val="000000" w:themeColor="text1"/>
        </w:rPr>
        <w:tab/>
      </w:r>
      <w:r w:rsidR="007E1AE4" w:rsidRPr="00C80E03">
        <w:rPr>
          <w:color w:val="000000" w:themeColor="text1"/>
        </w:rPr>
        <w:t>τις πληροφορίες που ορίζονται στα υποδείγματα Z 10.01 και Z 10.02 του παραρτήματος Ι σχετικά με όλα τα κρίσιμα συστήματα πληροφορικής εντός του ομίλου.</w:t>
      </w:r>
    </w:p>
    <w:p w:rsidR="007E1AE4" w:rsidRPr="00C80E03" w:rsidRDefault="007E1AE4" w:rsidP="007E1AE4">
      <w:pPr>
        <w:pStyle w:val="Titrearticle"/>
        <w:rPr>
          <w:color w:val="000000" w:themeColor="text1"/>
        </w:rPr>
      </w:pPr>
      <w:r w:rsidRPr="00C80E03">
        <w:rPr>
          <w:color w:val="000000" w:themeColor="text1"/>
        </w:rPr>
        <w:t>Άρθρο 5</w:t>
      </w:r>
      <w:r w:rsidRPr="00C80E03">
        <w:rPr>
          <w:color w:val="000000" w:themeColor="text1"/>
        </w:rPr>
        <w:br/>
        <w:t>Συχνότητα, ημερομηνίες αναφοράς και ημερομηνίες αποστολής.</w:t>
      </w:r>
    </w:p>
    <w:p w:rsidR="007E1AE4" w:rsidRPr="00C80E03" w:rsidRDefault="007E1AE4" w:rsidP="000117E1">
      <w:pPr>
        <w:pStyle w:val="NumPar1"/>
        <w:numPr>
          <w:ilvl w:val="0"/>
          <w:numId w:val="2"/>
        </w:numPr>
        <w:rPr>
          <w:color w:val="000000" w:themeColor="text1"/>
        </w:rPr>
      </w:pPr>
      <w:r w:rsidRPr="00C80E03">
        <w:rPr>
          <w:color w:val="000000" w:themeColor="text1"/>
        </w:rPr>
        <w:t>Τα ιδρύματα υποβάλλουν τις πληροφορίες που αναφέρονται στο άρθρο 3 παράγραφος 1 το αργότερο έως τις 30 Απριλίου κάθε έτους όσον αφορά την τελευταία ημέρα του προηγούμενου ημερολογιακού έτους ή του σχετικού οικονομικού έτους. Εάν η 31η Απριλίου δεν είναι εργάσιμη, οι εν λόγω πληροφορίες παρέχονται την επόμενη εργάσιμη ημέρα.</w:t>
      </w:r>
    </w:p>
    <w:p w:rsidR="007E1AE4" w:rsidRPr="00C80E03" w:rsidRDefault="007E1AE4" w:rsidP="000117E1">
      <w:pPr>
        <w:pStyle w:val="NumPar1"/>
        <w:numPr>
          <w:ilvl w:val="0"/>
          <w:numId w:val="2"/>
        </w:numPr>
        <w:rPr>
          <w:color w:val="000000" w:themeColor="text1"/>
        </w:rPr>
      </w:pPr>
      <w:r w:rsidRPr="00C80E03">
        <w:rPr>
          <w:color w:val="000000" w:themeColor="text1"/>
        </w:rPr>
        <w:t>Οι αρχές εξυγίανσης παρέχουν τα απαραίτητα στοιχεία επικοινωνίας για την παροχή των πληροφοριών εντός της αρχής εξυγίανσης ή, κατά περίπτωση, της αρμόδιας αρχής.</w:t>
      </w:r>
    </w:p>
    <w:p w:rsidR="007E1AE4" w:rsidRPr="00C80E03" w:rsidRDefault="007E1AE4" w:rsidP="000117E1">
      <w:pPr>
        <w:pStyle w:val="NumPar1"/>
        <w:numPr>
          <w:ilvl w:val="0"/>
          <w:numId w:val="2"/>
        </w:numPr>
        <w:rPr>
          <w:color w:val="000000" w:themeColor="text1"/>
        </w:rPr>
      </w:pPr>
      <w:r w:rsidRPr="00C80E03">
        <w:rPr>
          <w:color w:val="000000" w:themeColor="text1"/>
        </w:rPr>
        <w:t xml:space="preserve">Τα ιδρύματα μπορούν να υποβάλλουν μη ελεγχθέντα στοιχεία. Σε περίπτωση που τα ελεγχθέντα στοιχεία αποκλίνουν από τα υποβληθέντα μη ελεγχθέντα στοιχεία, τότε τα αναθεωρημένα, ελεγχθέντα στοιχεία υποβάλλονται χωρίς αδικαιολόγητη καθυστέρηση. Τα μη ελεγχθέντα στοιχεία είναι στοιχεία για τα οποία δεν έχει εξασφαλιστεί σχετικό πόρισμα από εξωτερικό ελεγκτή, ενώ τα ελεγχθέντα στοιχεία είναι στοιχεία που έχουν ελεγχθεί από εξωτερικό ελεγκτή, ο οποίος και διατύπωσε σχετικό πόρισμα ελέγχου. </w:t>
      </w:r>
    </w:p>
    <w:p w:rsidR="007E1AE4" w:rsidRPr="00C80E03" w:rsidRDefault="00754A18" w:rsidP="000117E1">
      <w:pPr>
        <w:pStyle w:val="NumPar1"/>
        <w:numPr>
          <w:ilvl w:val="0"/>
          <w:numId w:val="2"/>
        </w:numPr>
        <w:rPr>
          <w:color w:val="000000" w:themeColor="text1"/>
        </w:rPr>
      </w:pPr>
      <w:r w:rsidRPr="00C80E03">
        <w:rPr>
          <w:color w:val="000000" w:themeColor="text1"/>
        </w:rPr>
        <w:t>Διορθώσεις στις υποβληθείσες αναφορές υποβάλλονται χωρίς αδικαιολόγητη καθυστέρηση.</w:t>
      </w:r>
    </w:p>
    <w:p w:rsidR="007E1AE4" w:rsidRPr="00C80E03" w:rsidRDefault="007E1AE4" w:rsidP="007E1AE4">
      <w:pPr>
        <w:pStyle w:val="Titrearticle"/>
        <w:rPr>
          <w:color w:val="000000" w:themeColor="text1"/>
        </w:rPr>
      </w:pPr>
      <w:r w:rsidRPr="00C80E03">
        <w:rPr>
          <w:color w:val="000000" w:themeColor="text1"/>
        </w:rPr>
        <w:t>Άρθρο 6</w:t>
      </w:r>
      <w:r w:rsidRPr="00C80E03">
        <w:rPr>
          <w:color w:val="000000" w:themeColor="text1"/>
        </w:rPr>
        <w:br/>
        <w:t>Μορφότυπος για την υποβολή των πληροφοριών</w:t>
      </w:r>
    </w:p>
    <w:p w:rsidR="007E1AE4" w:rsidRPr="00C80E03" w:rsidRDefault="007E1AE4" w:rsidP="000117E1">
      <w:pPr>
        <w:pStyle w:val="NumPar1"/>
        <w:numPr>
          <w:ilvl w:val="0"/>
          <w:numId w:val="3"/>
        </w:numPr>
        <w:rPr>
          <w:color w:val="000000" w:themeColor="text1"/>
        </w:rPr>
      </w:pPr>
      <w:r w:rsidRPr="00C80E03">
        <w:rPr>
          <w:color w:val="000000" w:themeColor="text1"/>
        </w:rPr>
        <w:t>Τα ιδρύματα ή, στην περίπτωση ομίλων, οι μητρικές επιχειρήσεις της Ένωσης, υποβάλλουν τις πληροφορίες που αναφέρονται στο άρθρο 3 παράγραφος 1 με τους μορφοτύπους ανταλλαγής δεδομένων και τις απεικονίσεις που ορίζονται από τις αρχές εξυγίανσης, και τηρούν τους ορισμούς των σημείων δεδομένων, που περιλαμβάνονται στο ενιαίο μοντέλο σημείων δεδομένων του παραρτήματος ΙΙΙ, και τους κανόνες επικύρωσης του παραρτήματος ΙV, καθώς και τις ακόλουθες προδιαγραφές:</w:t>
      </w:r>
    </w:p>
    <w:p w:rsidR="007E1AE4" w:rsidRPr="00C80E03" w:rsidRDefault="000E4862" w:rsidP="00072140">
      <w:pPr>
        <w:pStyle w:val="Point1"/>
      </w:pPr>
      <w:r>
        <w:t>α)</w:t>
      </w:r>
      <w:r>
        <w:tab/>
      </w:r>
      <w:r w:rsidR="00A05B6C" w:rsidRPr="00C80E03">
        <w:t>δεν περιλαμβάνονται στα υποβαλλόμενα δεδομένα οι μη απαιτούμενες ή μη εφαρμοστέες πληροφορίες·</w:t>
      </w:r>
    </w:p>
    <w:p w:rsidR="007E1AE4" w:rsidRPr="00C80E03" w:rsidRDefault="000E4862" w:rsidP="00072140">
      <w:pPr>
        <w:pStyle w:val="Point1"/>
      </w:pPr>
      <w:r>
        <w:t>β)</w:t>
      </w:r>
      <w:r>
        <w:tab/>
      </w:r>
      <w:r w:rsidR="007E1AE4" w:rsidRPr="00C80E03">
        <w:t>οι αριθμητικές τιμές υποβάλλονται ως πραγματικά δεδομένα σύμφωνα με τα εξής:</w:t>
      </w:r>
    </w:p>
    <w:p w:rsidR="007E1AE4" w:rsidRPr="00C80E03" w:rsidRDefault="00045775" w:rsidP="0051415A">
      <w:pPr>
        <w:pStyle w:val="Point2"/>
      </w:pPr>
      <w:r w:rsidRPr="00C80E03">
        <w:t>i)</w:t>
      </w:r>
      <w:r w:rsidRPr="00C80E03">
        <w:tab/>
        <w:t>τα σημεία δεδομένων με τον τύπο δεδομένων «Νομισματικά» υποβάλλονται με τη χρήση ελάχιστης ακρίβειας που αντιστοιχεί τουλάχιστον σε χιλιάδες μονάδες·</w:t>
      </w:r>
    </w:p>
    <w:p w:rsidR="007E1AE4" w:rsidRPr="00C80E03" w:rsidRDefault="00045775" w:rsidP="0051415A">
      <w:pPr>
        <w:pStyle w:val="Point2"/>
      </w:pPr>
      <w:r w:rsidRPr="00C80E03">
        <w:t>ii)</w:t>
      </w:r>
      <w:r w:rsidRPr="00C80E03">
        <w:tab/>
        <w:t>τα σημεία δεδομένων με τον τύπο δεδομένων «Ποσοστά» εκφράζονται ανά μονάδα, με ελάχιστη ακρίβεια που αντιστοιχεί σε τέσσερα δεκαδικά ψηφία·</w:t>
      </w:r>
    </w:p>
    <w:p w:rsidR="007E1AE4" w:rsidRPr="00C80E03" w:rsidRDefault="00045775" w:rsidP="0051415A">
      <w:pPr>
        <w:pStyle w:val="Point2"/>
      </w:pPr>
      <w:r w:rsidRPr="00C80E03">
        <w:t>iii)</w:t>
      </w:r>
      <w:r w:rsidRPr="00C80E03">
        <w:tab/>
        <w:t>τα σημεία δεδομένων με τον τύπο δεδομένων «Ακέραιοι» υποβάλλονται χωρίς τη χρήση δεκαδικών ψηφίων και με ακρίβεια που αντιστοιχεί σε μονάδες.</w:t>
      </w:r>
    </w:p>
    <w:p w:rsidR="007E1AE4" w:rsidRPr="00C80E03" w:rsidRDefault="007E1AE4" w:rsidP="000117E1">
      <w:pPr>
        <w:pStyle w:val="NumPar1"/>
        <w:numPr>
          <w:ilvl w:val="0"/>
          <w:numId w:val="3"/>
        </w:numPr>
        <w:rPr>
          <w:color w:val="000000" w:themeColor="text1"/>
        </w:rPr>
      </w:pPr>
      <w:r w:rsidRPr="00C80E03">
        <w:rPr>
          <w:color w:val="000000" w:themeColor="text1"/>
        </w:rPr>
        <w:t>Τα δεδομένα που υποβάλλονται από τα ιδρύματα ή, στην περίπτωση ομίλων, από τις μητρικές επιχειρήσεις της Ένωσης, συνδέονται με τις ακόλουθες πληροφορίες:</w:t>
      </w:r>
    </w:p>
    <w:p w:rsidR="007E1AE4" w:rsidRPr="00C80E03" w:rsidRDefault="000E4862" w:rsidP="000E4862">
      <w:pPr>
        <w:pStyle w:val="Point1"/>
      </w:pPr>
      <w:r>
        <w:t>α)</w:t>
      </w:r>
      <w:r>
        <w:tab/>
      </w:r>
      <w:r w:rsidR="007E1AE4" w:rsidRPr="00C80E03">
        <w:t>την ημερομηνία αναφοράς για την υποβολή·</w:t>
      </w:r>
    </w:p>
    <w:p w:rsidR="007E1AE4" w:rsidRPr="00C80E03" w:rsidRDefault="000E4862" w:rsidP="000E4862">
      <w:pPr>
        <w:pStyle w:val="Point1"/>
      </w:pPr>
      <w:r>
        <w:t>β)</w:t>
      </w:r>
      <w:r>
        <w:tab/>
      </w:r>
      <w:r w:rsidR="007E1AE4" w:rsidRPr="00C80E03">
        <w:t>το νόμισμα που χρησιμοποιείται για την υποβολή αναφορών·</w:t>
      </w:r>
    </w:p>
    <w:p w:rsidR="007E1AE4" w:rsidRPr="00C80E03" w:rsidRDefault="000E4862" w:rsidP="000E4862">
      <w:pPr>
        <w:pStyle w:val="Point1"/>
      </w:pPr>
      <w:r>
        <w:t>γ)</w:t>
      </w:r>
      <w:r>
        <w:tab/>
      </w:r>
      <w:r w:rsidR="007E1AE4" w:rsidRPr="00C80E03">
        <w:t>τα εφαρμοστέα λογιστικά πρότυπα·</w:t>
      </w:r>
    </w:p>
    <w:p w:rsidR="007E1AE4" w:rsidRPr="00C80E03" w:rsidRDefault="000E4862" w:rsidP="000E4862">
      <w:pPr>
        <w:pStyle w:val="Point1"/>
      </w:pPr>
      <w:r>
        <w:t>δ)</w:t>
      </w:r>
      <w:r>
        <w:tab/>
      </w:r>
      <w:r w:rsidR="007E1AE4" w:rsidRPr="00C80E03">
        <w:t>τον αναγνωριστικό κωδικό της οντότητας που υποβάλλει αναφορά·</w:t>
      </w:r>
    </w:p>
    <w:p w:rsidR="007E1AE4" w:rsidRPr="00C80E03" w:rsidRDefault="000E4862" w:rsidP="000E4862">
      <w:pPr>
        <w:pStyle w:val="Point1"/>
      </w:pPr>
      <w:r>
        <w:t>ε)</w:t>
      </w:r>
      <w:r>
        <w:tab/>
      </w:r>
      <w:r w:rsidR="007E1AE4" w:rsidRPr="00C80E03">
        <w:t>το επίπεδο ενοποίησης των πληροφοριών σύμφωνα με το άρθρο 4.</w:t>
      </w:r>
    </w:p>
    <w:p w:rsidR="007E1AE4" w:rsidRPr="00C80E03" w:rsidRDefault="007E1AE4" w:rsidP="007E1AE4">
      <w:pPr>
        <w:pStyle w:val="Titrearticle"/>
        <w:rPr>
          <w:color w:val="000000" w:themeColor="text1"/>
        </w:rPr>
      </w:pPr>
      <w:r w:rsidRPr="00C80E03">
        <w:rPr>
          <w:color w:val="000000" w:themeColor="text1"/>
        </w:rPr>
        <w:t>Άρθρο 7</w:t>
      </w:r>
      <w:r w:rsidRPr="00C80E03">
        <w:rPr>
          <w:color w:val="000000" w:themeColor="text1"/>
        </w:rPr>
        <w:br/>
        <w:t>Παροχή πρόσθετων πληροφοριών για τους σκοπούς των επιμέρους σχεδίων εξυγίανσης ή των σχεδίων εξυγίανσης ομίλου</w:t>
      </w:r>
    </w:p>
    <w:p w:rsidR="00B90FAF" w:rsidRPr="00C80E03" w:rsidRDefault="00B90FAF" w:rsidP="000117E1">
      <w:pPr>
        <w:pStyle w:val="NumPar1"/>
        <w:numPr>
          <w:ilvl w:val="0"/>
          <w:numId w:val="17"/>
        </w:numPr>
      </w:pPr>
      <w:r w:rsidRPr="00C80E03">
        <w:t>Όταν αρχή εξυγίανσης ή αρχή εξυγίανσης σε επίπεδο ομίλου, θεωρεί ότι πληροφορίες που δεν καλύπτονται από κανένα πρότυπο που ορίζεται στο παράρτημα Ι είναι αναγκαίες για την κατάρτιση και την εφαρμογή σχεδίων εξυγίανσης, ή όταν ο μορφότυπος με τον οποίο παρέχονται οι πρόσθετες πληροφορίες από την αρμόδια αρχή σύμφωνα με το άρθρο 8 παράγραφος 2 δεν είναι κατάλληλος για τους σκοπούς της κατάρτισης ή της εφαρμογής των σχεδίων εξυγίανσης, η αρχή εξυγίανσης ζητεί τις εν λόγω πληροφορίες από το ίδρυμα ή τη μητρική επιχείρηση της Ένωσης.</w:t>
      </w:r>
    </w:p>
    <w:p w:rsidR="00B90FAF" w:rsidRPr="00C80E03" w:rsidRDefault="00B90FAF" w:rsidP="00AE1240">
      <w:pPr>
        <w:pStyle w:val="NumPar1"/>
      </w:pPr>
      <w:r w:rsidRPr="00C80E03">
        <w:t>Για τους σκοπούς της υποβολής αιτήματος σύμφωνα με την παράγραφο 1, η αρχή εξυγίανσης:</w:t>
      </w:r>
    </w:p>
    <w:p w:rsidR="00B90FAF" w:rsidRPr="00C80E03" w:rsidRDefault="000E4862" w:rsidP="000E4862">
      <w:pPr>
        <w:pStyle w:val="Point1"/>
      </w:pPr>
      <w:r>
        <w:t>α)</w:t>
      </w:r>
      <w:r>
        <w:tab/>
      </w:r>
      <w:r w:rsidR="00B90FAF" w:rsidRPr="00C80E03">
        <w:t>προσδιορίζει τις συμπληρωματικές πληροφορίες που πρέπει να παρασχεθούν·</w:t>
      </w:r>
    </w:p>
    <w:p w:rsidR="00B90FAF" w:rsidRPr="00C80E03" w:rsidRDefault="000E4862" w:rsidP="000E4862">
      <w:pPr>
        <w:pStyle w:val="Point1"/>
      </w:pPr>
      <w:r>
        <w:t>β)</w:t>
      </w:r>
      <w:r>
        <w:tab/>
      </w:r>
      <w:r w:rsidR="00B90FAF" w:rsidRPr="00C80E03">
        <w:t>προσδιορίζει, λαμβάνοντας υπόψη τον όγκο και την πολυπλοκότητα των απαιτούμενων πληροφοριών, το κατάλληλο χρονικό πλαίσιο εντός του οποίου το ίδρυμα ή, στην περίπτωση ομίλων, η μητρική επιχείρηση της Ένωσης, θα παράσχει τις πληροφορίες στην αρχή εξυγίανσης·</w:t>
      </w:r>
    </w:p>
    <w:p w:rsidR="00B90FAF" w:rsidRPr="00C80E03" w:rsidRDefault="000E4862" w:rsidP="000E4862">
      <w:pPr>
        <w:pStyle w:val="Point1"/>
      </w:pPr>
      <w:r>
        <w:t>γ)</w:t>
      </w:r>
      <w:r>
        <w:tab/>
      </w:r>
      <w:r w:rsidR="00B90FAF" w:rsidRPr="00C80E03">
        <w:t>καθορίζει τον μορφότυπο που θα χρησιμοποιηθεί από τα ιδρύματα ή, στην περίπτωση ομίλων, τις μητρικές επιχειρήσεις της Ένωσης για την παροχή των πληροφοριών στην αρχή εξυγίανσης·</w:t>
      </w:r>
    </w:p>
    <w:p w:rsidR="00B90FAF" w:rsidRPr="00C80E03" w:rsidRDefault="000E4862" w:rsidP="000E4862">
      <w:pPr>
        <w:pStyle w:val="Point1"/>
      </w:pPr>
      <w:r>
        <w:t>δ)</w:t>
      </w:r>
      <w:r>
        <w:tab/>
      </w:r>
      <w:r w:rsidR="00B90FAF" w:rsidRPr="00C80E03">
        <w:t>προσδιορίζει αν οι πληροφορίες πρέπει να συμπ</w:t>
      </w:r>
      <w:r w:rsidR="003C06E8">
        <w:t xml:space="preserve">ληρωθούν σε μεμονωμένη βάση </w:t>
      </w:r>
      <w:r w:rsidR="00B90FAF" w:rsidRPr="00C80E03">
        <w:t>ή σε επίπεδο ομίλου και αν το πεδίο εφαρμογής τους είναι τοπικό, ενωσιακό ή παγκόσμιο·</w:t>
      </w:r>
    </w:p>
    <w:p w:rsidR="00B90FAF" w:rsidRPr="00C80E03" w:rsidRDefault="000E4862" w:rsidP="000E4862">
      <w:pPr>
        <w:pStyle w:val="Point1"/>
      </w:pPr>
      <w:r>
        <w:t>ε)</w:t>
      </w:r>
      <w:r>
        <w:tab/>
      </w:r>
      <w:r w:rsidR="00B90FAF" w:rsidRPr="00C80E03">
        <w:t>παρέχει τα απαραίτητα στοιχεία επικοινωνίας για την παροχή των πρόσθετων πληροφοριών.</w:t>
      </w:r>
    </w:p>
    <w:p w:rsidR="007E1AE4" w:rsidRPr="00C80E03" w:rsidRDefault="007E1AE4" w:rsidP="007E1AE4">
      <w:pPr>
        <w:pStyle w:val="Titrearticle"/>
        <w:rPr>
          <w:color w:val="000000" w:themeColor="text1"/>
        </w:rPr>
      </w:pPr>
      <w:r w:rsidRPr="00C80E03">
        <w:rPr>
          <w:color w:val="000000" w:themeColor="text1"/>
        </w:rPr>
        <w:t>Άρθρο 8</w:t>
      </w:r>
      <w:r w:rsidRPr="00C80E03">
        <w:rPr>
          <w:color w:val="000000" w:themeColor="text1"/>
        </w:rPr>
        <w:br/>
        <w:t>Συνεργασία μεταξύ των αρμόδιων αρχών και των αρχών εξυγίανσης</w:t>
      </w:r>
    </w:p>
    <w:p w:rsidR="007E1AE4" w:rsidRPr="00C80E03" w:rsidRDefault="007E1AE4" w:rsidP="000117E1">
      <w:pPr>
        <w:pStyle w:val="NumPar1"/>
        <w:numPr>
          <w:ilvl w:val="0"/>
          <w:numId w:val="4"/>
        </w:numPr>
        <w:rPr>
          <w:color w:val="000000" w:themeColor="text1"/>
        </w:rPr>
      </w:pPr>
      <w:r w:rsidRPr="00C80E03">
        <w:rPr>
          <w:color w:val="000000" w:themeColor="text1"/>
        </w:rPr>
        <w:t>Οι αρμόδιες αρχές και οι αρχές εξυγίανσης επαληθεύουν από κοινού αν ορισμένες ή όλες οι πληροφορίες που πρέπει να παρασχεθούν στην αρχή εξυγίανσης, σύμφωνα με το άρθρο 3 παράγραφος 1 και το άρθρο 7 παράγραφος 1, είναι ήδη διαθέσιμες στην αρμόδια αρχή.</w:t>
      </w:r>
    </w:p>
    <w:p w:rsidR="007E1AE4" w:rsidRPr="00C80E03" w:rsidRDefault="007E1AE4" w:rsidP="000117E1">
      <w:pPr>
        <w:pStyle w:val="NumPar1"/>
        <w:numPr>
          <w:ilvl w:val="0"/>
          <w:numId w:val="4"/>
        </w:numPr>
        <w:rPr>
          <w:color w:val="000000" w:themeColor="text1"/>
        </w:rPr>
      </w:pPr>
      <w:r w:rsidRPr="00C80E03">
        <w:rPr>
          <w:color w:val="000000" w:themeColor="text1"/>
        </w:rPr>
        <w:t xml:space="preserve">Αν ορισμένες ή όλες οι πληροφορίες είναι ήδη διαθέσιμες στην αρμόδια αρχή, η εν λόγω αρχή παρέχει εγκαίρως τις πληροφορίες αυτές στην αρχή εξυγίανσης. </w:t>
      </w:r>
    </w:p>
    <w:p w:rsidR="00A05A75" w:rsidRPr="00C80E03" w:rsidRDefault="007E1AE4" w:rsidP="00AE1240">
      <w:pPr>
        <w:pStyle w:val="NumPar1"/>
        <w:rPr>
          <w:color w:val="000000" w:themeColor="text1"/>
        </w:rPr>
      </w:pPr>
      <w:r w:rsidRPr="00C80E03">
        <w:rPr>
          <w:color w:val="000000" w:themeColor="text1"/>
        </w:rPr>
        <w:t>Στην περίπτωση που αναφέρεται στην παράγραφο 2, οι αρχές εξυγίανσης διασφαλίζουν ότι τα ιδρύματα ή, στην περίπτωση ομίλων, οι μητρικές επιχειρήσεις της Ένωσης, ενημερώνονται για τις πληροφορίες που απαιτείται να περιλαμβάνονται στην υποβολή των πληροφοριών σύμφωνα με το άρθρο 3 παράγραφος 1. Προσδιορίζουν τις εν λόγω πληροφορίες παραπέμποντας στα υποδείγματα που καθορίζονται στο παράρτημα I.</w:t>
      </w:r>
    </w:p>
    <w:p w:rsidR="007E1AE4" w:rsidRPr="00C80E03" w:rsidRDefault="007E1AE4" w:rsidP="007E1AE4">
      <w:pPr>
        <w:pStyle w:val="Titrearticle"/>
        <w:rPr>
          <w:color w:val="000000" w:themeColor="text1"/>
        </w:rPr>
      </w:pPr>
      <w:r w:rsidRPr="00C80E03">
        <w:rPr>
          <w:color w:val="000000" w:themeColor="text1"/>
        </w:rPr>
        <w:t>Άρθρο 9</w:t>
      </w:r>
      <w:r w:rsidRPr="00C80E03">
        <w:rPr>
          <w:color w:val="000000" w:themeColor="text1"/>
        </w:rPr>
        <w:br/>
        <w:t>Μεταβατική περίοδος</w:t>
      </w:r>
    </w:p>
    <w:p w:rsidR="007E1AE4" w:rsidRPr="00C80E03" w:rsidRDefault="007E1AE4" w:rsidP="000117E1">
      <w:pPr>
        <w:pStyle w:val="NumPar1"/>
        <w:numPr>
          <w:ilvl w:val="0"/>
          <w:numId w:val="5"/>
        </w:numPr>
        <w:rPr>
          <w:color w:val="000000" w:themeColor="text1"/>
        </w:rPr>
      </w:pPr>
      <w:r w:rsidRPr="00C80E03">
        <w:rPr>
          <w:color w:val="000000" w:themeColor="text1"/>
        </w:rPr>
        <w:t>Κατά παρέκκλιση από το άρθρο 5 παράγραφος 1, για το οικονομικό έτος που λήγει σε ημερομηνία μεταξύ της 1ης Ιανουαρίου και της 31ης Δεκεμβρίου 2018, η ημερομηνία αποστολής είναι η 31 Μαΐου 2019 το αργότερο.</w:t>
      </w:r>
    </w:p>
    <w:p w:rsidR="007E1AE4" w:rsidRPr="00C80E03" w:rsidRDefault="007E1AE4" w:rsidP="000117E1">
      <w:pPr>
        <w:pStyle w:val="NumPar1"/>
        <w:numPr>
          <w:ilvl w:val="0"/>
          <w:numId w:val="5"/>
        </w:numPr>
        <w:rPr>
          <w:color w:val="000000" w:themeColor="text1"/>
        </w:rPr>
      </w:pPr>
      <w:r w:rsidRPr="00C80E03">
        <w:rPr>
          <w:color w:val="000000" w:themeColor="text1"/>
        </w:rPr>
        <w:t>Κατά παρέκκλιση από το άρθρο 5 παράγραφος 1, για το οικονομικό έτος που λήγει σε ημερομηνία μεταξύ της 1ης Ιανουαρίου και της 31ης Δεκεμβρίου 2019, η ημερομηνία αποστολής είναι η 30η Απριλίου 2020 το αργότερο.</w:t>
      </w:r>
    </w:p>
    <w:p w:rsidR="007E1AE4" w:rsidRPr="00C80E03" w:rsidRDefault="007E1AE4" w:rsidP="007E1AE4">
      <w:pPr>
        <w:pStyle w:val="Titrearticle"/>
        <w:rPr>
          <w:color w:val="000000" w:themeColor="text1"/>
        </w:rPr>
      </w:pPr>
      <w:r w:rsidRPr="00C80E03">
        <w:rPr>
          <w:color w:val="000000" w:themeColor="text1"/>
        </w:rPr>
        <w:t>Άρθρο 10</w:t>
      </w:r>
      <w:r w:rsidRPr="00C80E03">
        <w:rPr>
          <w:color w:val="000000" w:themeColor="text1"/>
        </w:rPr>
        <w:br/>
        <w:t>Κατάργηση</w:t>
      </w:r>
    </w:p>
    <w:p w:rsidR="007E1AE4" w:rsidRPr="00C80E03" w:rsidRDefault="007E1AE4" w:rsidP="007E1AE4">
      <w:pPr>
        <w:rPr>
          <w:color w:val="000000" w:themeColor="text1"/>
        </w:rPr>
      </w:pPr>
      <w:r w:rsidRPr="00C80E03">
        <w:rPr>
          <w:color w:val="000000" w:themeColor="text1"/>
        </w:rPr>
        <w:t>Ο εκτελεστικός κανονισμός (ΕΕ) 2016/1066 καταργείται.</w:t>
      </w:r>
    </w:p>
    <w:p w:rsidR="007E1AE4" w:rsidRPr="00C80E03" w:rsidRDefault="007E1AE4" w:rsidP="007E1AE4">
      <w:pPr>
        <w:pStyle w:val="Titrearticle"/>
        <w:rPr>
          <w:color w:val="000000" w:themeColor="text1"/>
        </w:rPr>
      </w:pPr>
      <w:r w:rsidRPr="00C80E03">
        <w:t>Άρθρο 11</w:t>
      </w:r>
      <w:r w:rsidRPr="00C80E03">
        <w:br/>
        <w:t>Έναρξη ισχύος</w:t>
      </w:r>
    </w:p>
    <w:p w:rsidR="007E1AE4" w:rsidRPr="00C80E03" w:rsidRDefault="007E1AE4" w:rsidP="007E1AE4">
      <w:pPr>
        <w:rPr>
          <w:color w:val="000000" w:themeColor="text1"/>
        </w:rPr>
      </w:pPr>
      <w:r w:rsidRPr="00C80E03">
        <w:t xml:space="preserve">Ο παρών κανονισμός αρχίζει να ισχύει την εικοστή ημέρα από τη δημοσίευσή του στην </w:t>
      </w:r>
      <w:r w:rsidRPr="00C80E03">
        <w:rPr>
          <w:i/>
          <w:color w:val="000000" w:themeColor="text1"/>
        </w:rPr>
        <w:t>Επίσημη Εφημερίδα της Ευρωπαϊκής Ένωσης</w:t>
      </w:r>
      <w:r w:rsidRPr="00C80E03">
        <w:t>.</w:t>
      </w:r>
    </w:p>
    <w:p w:rsidR="007E1AE4" w:rsidRPr="00C80E03" w:rsidRDefault="007E1AE4" w:rsidP="007E1AE4">
      <w:pPr>
        <w:pStyle w:val="Applicationdirecte"/>
        <w:rPr>
          <w:color w:val="000000" w:themeColor="text1"/>
        </w:rPr>
      </w:pPr>
      <w:r w:rsidRPr="00C80E03">
        <w:rPr>
          <w:color w:val="000000" w:themeColor="text1"/>
        </w:rPr>
        <w:t>Ο παρών κανονισμός είναι δεσμευτικός ως προς όλα τα μέρη του και ισχύει άμεσα σε κάθε κράτος μέλος.</w:t>
      </w:r>
    </w:p>
    <w:p w:rsidR="007E1AE4" w:rsidRPr="00C80E03" w:rsidRDefault="002F789A" w:rsidP="002F789A">
      <w:pPr>
        <w:pStyle w:val="Fait"/>
      </w:pPr>
      <w:r w:rsidRPr="002F789A">
        <w:t>Βρυξέλλες,</w:t>
      </w:r>
    </w:p>
    <w:p w:rsidR="007E1AE4" w:rsidRPr="00C80E03" w:rsidRDefault="007E1AE4" w:rsidP="007E1AE4">
      <w:pPr>
        <w:pStyle w:val="Institutionquisigne"/>
      </w:pPr>
      <w:r w:rsidRPr="00C80E03">
        <w:tab/>
        <w:t>Για την Επιτροπή</w:t>
      </w:r>
    </w:p>
    <w:p w:rsidR="001C2CA3" w:rsidRPr="00C80E03" w:rsidRDefault="007E1AE4" w:rsidP="007E1AE4">
      <w:pPr>
        <w:pStyle w:val="Personnequisigne"/>
      </w:pPr>
      <w:r w:rsidRPr="00C80E03">
        <w:tab/>
        <w:t>Ο Πρόεδρος</w:t>
      </w:r>
      <w:r w:rsidRPr="00C80E03">
        <w:br/>
      </w:r>
      <w:r w:rsidRPr="00C80E03">
        <w:tab/>
        <w:t>Jean-Claude JUNCKER</w:t>
      </w:r>
    </w:p>
    <w:p w:rsidR="007E1AE4" w:rsidRPr="00C80E03" w:rsidRDefault="007E1AE4" w:rsidP="007E1AE4">
      <w:pPr>
        <w:pStyle w:val="Personnequisigne"/>
      </w:pPr>
    </w:p>
    <w:sectPr w:rsidR="007E1AE4" w:rsidRPr="00C80E03" w:rsidSect="00620381">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620381" w:rsidRDefault="00620381" w:rsidP="00620381">
    <w:pPr>
      <w:pStyle w:val="Footer"/>
      <w:rPr>
        <w:rFonts w:ascii="Arial" w:hAnsi="Arial" w:cs="Arial"/>
        <w:b/>
        <w:sz w:val="48"/>
      </w:rPr>
    </w:pPr>
    <w:r w:rsidRPr="00620381">
      <w:rPr>
        <w:rFonts w:ascii="Arial" w:hAnsi="Arial" w:cs="Arial"/>
        <w:b/>
        <w:sz w:val="48"/>
      </w:rPr>
      <w:t>EL</w:t>
    </w:r>
    <w:r w:rsidRPr="00620381">
      <w:rPr>
        <w:rFonts w:ascii="Arial" w:hAnsi="Arial" w:cs="Arial"/>
        <w:b/>
        <w:sz w:val="48"/>
      </w:rPr>
      <w:tab/>
    </w:r>
    <w:r w:rsidRPr="00620381">
      <w:rPr>
        <w:rFonts w:ascii="Arial" w:hAnsi="Arial" w:cs="Arial"/>
        <w:b/>
        <w:sz w:val="48"/>
      </w:rPr>
      <w:tab/>
    </w:r>
    <w:r w:rsidRPr="00620381">
      <w:tab/>
    </w:r>
    <w:proofErr w:type="spellStart"/>
    <w:r w:rsidRPr="00620381">
      <w:rPr>
        <w:rFonts w:ascii="Arial" w:hAnsi="Arial" w:cs="Arial"/>
        <w:b/>
        <w:sz w:val="48"/>
      </w:rPr>
      <w:t>EL</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Footer"/>
      <w:rPr>
        <w:rFonts w:ascii="Arial" w:hAnsi="Arial" w:cs="Arial"/>
        <w:b/>
        <w:sz w:val="48"/>
      </w:rPr>
    </w:pPr>
    <w:r w:rsidRPr="00620381">
      <w:rPr>
        <w:rFonts w:ascii="Arial" w:hAnsi="Arial" w:cs="Arial"/>
        <w:b/>
        <w:sz w:val="48"/>
      </w:rPr>
      <w:t>EL</w:t>
    </w:r>
    <w:r w:rsidRPr="00620381">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620381">
      <w:tab/>
    </w:r>
    <w:r w:rsidRPr="00620381">
      <w:rPr>
        <w:rFonts w:ascii="Arial" w:hAnsi="Arial" w:cs="Arial"/>
        <w:b/>
        <w:sz w:val="48"/>
      </w:rPr>
      <w:t>EL</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Default="007E1AE4" w:rsidP="007E1AE4">
      <w:pPr>
        <w:pStyle w:val="FootnoteText"/>
      </w:pPr>
      <w:r>
        <w:rPr>
          <w:rStyle w:val="FootnoteReference"/>
        </w:rPr>
        <w:footnoteRef/>
      </w:r>
      <w:r>
        <w:tab/>
        <w:t xml:space="preserve">ΕΕ L 173 της 12.6.2014, σ. 190. </w:t>
      </w:r>
    </w:p>
  </w:footnote>
  <w:footnote w:id="3">
    <w:p w:rsidR="00F0793D" w:rsidRPr="00F0793D" w:rsidRDefault="00F0793D">
      <w:pPr>
        <w:pStyle w:val="FootnoteText"/>
      </w:pPr>
      <w:r>
        <w:rPr>
          <w:rStyle w:val="FootnoteReference"/>
        </w:rPr>
        <w:footnoteRef/>
      </w:r>
      <w:r>
        <w:tab/>
      </w:r>
      <w:r>
        <w:rPr>
          <w:rStyle w:val="Strong"/>
          <w:b w:val="0"/>
          <w:color w:val="444444"/>
        </w:rPr>
        <w:t>Εκτελεστικός κανονισμός (ΕΕ) 2016/1066 της Επιτροπής, της 17ης Ιουνίου 2016, σχετικά με τη θέσπιση εκτελεστικών τεχνικών προτύπων όσον αφορά τις διαδικασίες, τα τυποποιημένα έντυπα και τα υποδείγματα για την παροχή πληροφοριών για τους σκοπούς των σχεδίων εξυγίανσης πιστωτικών ιδρυμάτων και επιχειρήσεων επενδύσεων σύμφωνα με την οδηγία 2014/59/ΕΕ του Ευρωπαϊκού Κοινοβουλίου και του Συμβουλίου (ΕΕ L</w:t>
      </w:r>
      <w:r>
        <w:rPr>
          <w:rStyle w:val="Strong"/>
          <w:color w:val="444444"/>
        </w:rPr>
        <w:t xml:space="preserve"> </w:t>
      </w:r>
      <w:r>
        <w:rPr>
          <w:color w:val="444444"/>
        </w:rPr>
        <w:t>181 της 6.7.2016, σ. 1).</w:t>
      </w:r>
    </w:p>
  </w:footnote>
  <w:footnote w:id="4">
    <w:p w:rsidR="002A074B" w:rsidRPr="002A074B" w:rsidRDefault="002A074B">
      <w:pPr>
        <w:pStyle w:val="FootnoteText"/>
      </w:pPr>
      <w:r>
        <w:rPr>
          <w:rStyle w:val="FootnoteReference"/>
        </w:rPr>
        <w:footnoteRef/>
      </w:r>
      <w:r>
        <w:tab/>
      </w:r>
      <w:r>
        <w:rPr>
          <w:color w:val="444444"/>
        </w:rPr>
        <w:t>Κανονισμός (ΕΕ) αριθ. 1093/2010 του Ευρωπαϊκού Κοινοβουλίου και του Συμβουλίου, της 24ης Νοεμβρίου 2010, σχετικά με τη σύσταση Ευρωπαϊκής Εποπτικής Αρχής (Ευρωπαϊκή Αρχή Τραπεζών), την τροποποίηση της απόφασης αριθ. 716/2009/ΕΚ και την κατάργηση της απόφασης 2009/78/ΕΚ της Επιτροπής (ΕΕ L 331 της 15.12.2010, σ. 12).</w:t>
      </w:r>
    </w:p>
  </w:footnote>
  <w:footnote w:id="5">
    <w:p w:rsidR="00F80209" w:rsidRPr="0031364A" w:rsidRDefault="00F80209" w:rsidP="00F80209">
      <w:pPr>
        <w:pStyle w:val="FootnoteText"/>
      </w:pPr>
      <w:r>
        <w:rPr>
          <w:rStyle w:val="FootnoteReference"/>
        </w:rPr>
        <w:footnoteRef/>
      </w:r>
      <w:r>
        <w:tab/>
      </w:r>
      <w:r>
        <w:rPr>
          <w:rStyle w:val="Strong"/>
          <w:b w:val="0"/>
          <w:color w:val="444444"/>
        </w:rPr>
        <w:t>Κανονισμός (ΕΕ) αριθ. 575/2013 του Ευρωπαϊκού Κοινοβουλίου και του Συμβουλίου, της 26ης Ιουνίου 2013, σχετικά με τις απαιτήσεις προληπτικής εποπτείας για πιστωτικά ιδρύματα και επιχειρήσεις επενδύσεων και την τροποποίηση του κανονισμού (ΕΕ) αριθ. 648/2012</w:t>
      </w:r>
      <w:r>
        <w:t xml:space="preserve"> </w:t>
      </w:r>
      <w:r>
        <w:rPr>
          <w:color w:val="444444"/>
        </w:rPr>
        <w:t>(ΕΕ L 176 της 27.6.2013, σ. 1)</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1" w:rsidRPr="00620381" w:rsidRDefault="00620381" w:rsidP="006203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5"/>
  </w:num>
  <w:num w:numId="11">
    <w:abstractNumId w:val="4"/>
  </w:num>
  <w:num w:numId="12">
    <w:abstractNumId w:val="3"/>
  </w:num>
  <w:num w:numId="13">
    <w:abstractNumId w:val="6"/>
  </w:num>
  <w:num w:numId="14">
    <w:abstractNumId w:val="2"/>
  </w:num>
  <w:num w:numId="15">
    <w:abstractNumId w:val="1"/>
  </w:num>
  <w:num w:numId="16">
    <w:abstractNumId w:val="0"/>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num>
  <w:num w:numId="19">
    <w:abstractNumId w:val="12"/>
  </w:num>
  <w:num w:numId="20">
    <w:abstractNumId w:val="20"/>
  </w:num>
  <w:num w:numId="21">
    <w:abstractNumId w:val="11"/>
  </w:num>
  <w:num w:numId="22">
    <w:abstractNumId w:val="13"/>
  </w:num>
  <w:num w:numId="23">
    <w:abstractNumId w:val="9"/>
  </w:num>
  <w:num w:numId="24">
    <w:abstractNumId w:val="19"/>
  </w:num>
  <w:num w:numId="25">
    <w:abstractNumId w:val="8"/>
  </w:num>
  <w:num w:numId="26">
    <w:abstractNumId w:val="14"/>
  </w:num>
  <w:num w:numId="27">
    <w:abstractNumId w:val="16"/>
  </w:num>
  <w:num w:numId="28">
    <w:abstractNumId w:val="17"/>
  </w:num>
  <w:num w:numId="29">
    <w:abstractNumId w:val="10"/>
  </w:num>
  <w:num w:numId="30">
    <w:abstractNumId w:val="15"/>
  </w:num>
  <w:num w:numId="31">
    <w:abstractNumId w:val="21"/>
  </w:num>
  <w:num w:numId="32">
    <w:abstractNumId w:val="18"/>
  </w:num>
  <w:num w:numId="33">
    <w:abstractNumId w:val="12"/>
  </w:num>
  <w:num w:numId="34">
    <w:abstractNumId w:val="20"/>
  </w:num>
  <w:num w:numId="35">
    <w:abstractNumId w:val="11"/>
  </w:num>
  <w:num w:numId="36">
    <w:abstractNumId w:val="13"/>
  </w:num>
  <w:num w:numId="37">
    <w:abstractNumId w:val="9"/>
  </w:num>
  <w:num w:numId="38">
    <w:abstractNumId w:val="19"/>
  </w:num>
  <w:num w:numId="39">
    <w:abstractNumId w:val="8"/>
  </w:num>
  <w:num w:numId="40">
    <w:abstractNumId w:val="14"/>
  </w:num>
  <w:num w:numId="41">
    <w:abstractNumId w:val="16"/>
  </w:num>
  <w:num w:numId="42">
    <w:abstractNumId w:val="17"/>
  </w:num>
  <w:num w:numId="43">
    <w:abstractNumId w:val="10"/>
  </w:num>
  <w:num w:numId="44">
    <w:abstractNumId w:val="15"/>
  </w:num>
  <w:num w:numId="4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210"/>
  <w:proofState w:spelling="clean" w:grammar="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6:54:19"/>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4"/>
    <w:docVar w:name="DQCResult_UnknownFonts" w:val="0;0"/>
    <w:docVar w:name="DQCResult_UnknownStyles" w:val="0;0"/>
    <w:docVar w:name="DQCStatus" w:val="Green"/>
    <w:docVar w:name="DQCVersion" w:val="3"/>
    <w:docVar w:name="DQCWithWarnings" w:val="0"/>
    <w:docVar w:name="LW_COVERPAGE_EXISTS" w:val="True"/>
    <w:docVar w:name="LW_COVERPAGE_GUID" w:val="9FDD3B62-597A-4377-9538-E5E82B87F4FF"/>
    <w:docVar w:name="LW_COVERPAGE_TYPE" w:val="1"/>
    <w:docVar w:name="LW_CROSSREFERENCE" w:val="&lt;UNUSED&gt;"/>
    <w:docVar w:name="LW_DATE.ADOPT.CP" w:val="\u964?\u951?\u962? XXX"/>
    <w:docVar w:name="LW_DATE.ADOPT.CP_DATEFORMAT" w:val="\u964?\u951?\u962? %DATE%"/>
    <w:docVar w:name="LW_DATE.ADOPT.CP_ISODATE" w:val="&lt;EMPTY&gt;"/>
    <w:docVar w:name="LW_DocType" w:val="COM"/>
    <w:docVar w:name="LW_EMISSION" w:val="&lt;EMPTY&gt;"/>
    <w:docVar w:name="LW_EMISSION_ISODATE" w:val="&lt;EMPTY&gt;"/>
    <w:docVar w:name="LW_EMISSION_LOCATION" w:val="BRX"/>
    <w:docVar w:name="LW_EMISSION_PREFIX" w:val="\u914?\u961?\u965?\u958?\u941?\u955?\u955?\u949?\u962?, "/>
    <w:docVar w:name="LW_EMISSION_SUFFIX" w:val="&lt;EMPTY&gt;"/>
    <w:docVar w:name="LW_ID_DOCMODEL" w:val="SJ-004"/>
    <w:docVar w:name="LW_ID_DOCSIGNATURE" w:val="SJ-004"/>
    <w:docVar w:name="LW_ID_DOCSTRUCTURE" w:val="COM/AA"/>
    <w:docVar w:name="LW_ID_DOCTYPE" w:val="SJ-004"/>
    <w:docVar w:name="LW_INTERETEEE.CP" w:val="(\u922?\u949?\u943?\u956?\u949?\u957?\u959? \u960?\u959?\u965? \u960?\u945?\u961?\u959?\u965?\u963?\u953?\u940?\u950?\u949?\u953? \u949?\u957?\u948?\u953?\u945?\u966?\u941?\u961?\u959?\u957? \u947?\u953?\u945? \u964?\u959?\u957? \u917?\u927?\u935?)"/>
    <w:docVar w:name="LW_LANGUE" w:val="EL"/>
    <w:docVar w:name="LW_LANGUESFAISANTFOI.CP" w:val="&lt;UNUSED&gt;"/>
    <w:docVar w:name="LW_LEVEL_OF_SENSITIVITY" w:val="Standard treatment"/>
    <w:docVar w:name="LW_NOM.INST" w:val="\u917?\u933?\u929?\u937?\u928?\u913?\u938?\u922?\u919? \u917?\u928?\u921?\u932?\u929?\u927?\u928?\u919?"/>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u963?\u967?\u949?\u964?\u953?\u954?\u940? \u956?\u949? \u964?\u951? \u952?\u941?\u963?\u960?\u953?\u963?\u951? \u949?\u954?\u964?\u949?\u955?\u949?\u963?\u964?\u953?\u954?\u974?\u957? \u964?\u949?\u967?\u957?\u953?\u954?\u974?\u957? \u960?\u961?\u959?\u964?\u973?\u960?\u969?\u957? \u972?\u963?\u959?\u957? \u945?\u966?\u959?\u961?\u940? \u964?\u953?\u962? \u948?\u953?\u945?\u948?\u953?\u954?\u945?\u963?\u943?\u949?\u962?, \u964?\u945? \u964?\u965?\u960?\u959?\u960?\u959?\u953?\u951?\u956?\u941?\u957?\u945? \u941?\u957?\u964?\u965?\u960?\u945? \u954?\u945?\u953? \u964?\u945? \u965?\u960?\u959?\u948?\u949?\u943?\u947?\u956?\u945?\u964?\u945? \u947?\u953?\u945? \u964?\u951?\u957? \u960?\u945?\u961?\u959?\u967?\u942? \u960?\u955?\u951?\u961?\u959?\u966?\u959?\u961?\u953?\u974?\u957? \u947?\u953?\u945? \u964?\u959?\u965?\u962? \u963?\u954?\u959?\u960?\u959?\u973?\u962? \u964?\u969?\u957? \u963?\u967?\u949?\u948?\u943?\u969?\u957? \u949?\u958?\u965?\u947?\u943?\u945?\u957?\u963?\u951?\u962? \u960?\u953?\u963?\u964?\u969?\u964?\u953?\u954?\u974?\u957? \u953?\u948?\u961?\u965?\u956?\u940?\u964?\u969?\u957? \u954?\u945?\u953? \u949?\u960?\u953?\u967?\u949?\u953?\u961?\u942?\u963?\u949?\u969?\u957? \u949?\u960?\u949?\u957?\u948?\u973?\u963?\u949?\u969?\u957? \u963?\u973?\u956?\u966?\u969?\u957?\u945? \u956?\u949? \u964?\u951?\u957? \u959?\u948?\u951?\u947?\u943?\u945? 2014/59/\u917?\u917? \u964?\u959?\u965? \u917?\u965?\u961?\u969?\u960?\u945?\u970?\u954?\u959?\u973? \u922?\u959?\u953?\u957?\u959?\u946?\u959?\u965?\u955?\u943?\u959?\u965? \u954?\u945?\u953? \u964?\u959?\u965? \u931?\u965?\u956?\u946?\u959?\u965?\u955?\u943?\u959?\u965? \u954?\u945?\u953? \u947?\u953?\u945? \u964?\u951?\u957? \u954?\u945?\u964?\u940?\u961?\u947?\u951?\u963?\u951? \u964?\u959?\u965? \u949?\u954?\u964?\u949?\u955?\u949?\u963?\u964?\u953?\u954?\u959?\u973? \u954?\u945?\u957?\u959?\u957?\u953?\u963?\u956?\u959?\u973? \u964?\u951?\u962? \u917?\u960?\u953?\u964?\u961?\u959?\u960?\u942?\u962? (\u917?\u917?) 2016/1066_x000b_"/>
    <w:docVar w:name="LW_TYPE.DOC.CP" w:val="\u917?\u922?\u932?\u917?\u923?\u917?\u931?\u932?\u921?\u922?\u927?\u931? \u922?\u913?\u925?\u927?\u925?\u921?\u931?\u924?\u927?\u931? (\u917?\u917?) \u8230?/... \u932?\u919?\u931? \u917?\u928?\u921?\u932?\u929?\u927?\u928?\u919?\u931?"/>
  </w:docVars>
  <w:rsids>
    <w:rsidRoot w:val="007E1AE4"/>
    <w:rsid w:val="00010CE0"/>
    <w:rsid w:val="000117E1"/>
    <w:rsid w:val="00011EF9"/>
    <w:rsid w:val="00016E3C"/>
    <w:rsid w:val="00045775"/>
    <w:rsid w:val="000652E4"/>
    <w:rsid w:val="00072140"/>
    <w:rsid w:val="00074AFE"/>
    <w:rsid w:val="00085B09"/>
    <w:rsid w:val="000B175A"/>
    <w:rsid w:val="000B1FCC"/>
    <w:rsid w:val="000B693A"/>
    <w:rsid w:val="000D46EE"/>
    <w:rsid w:val="000D7AF5"/>
    <w:rsid w:val="000E4862"/>
    <w:rsid w:val="001122B8"/>
    <w:rsid w:val="001128B5"/>
    <w:rsid w:val="00114A2A"/>
    <w:rsid w:val="001150B6"/>
    <w:rsid w:val="00123A59"/>
    <w:rsid w:val="001314DF"/>
    <w:rsid w:val="001577F5"/>
    <w:rsid w:val="00163111"/>
    <w:rsid w:val="00171BF1"/>
    <w:rsid w:val="001756CB"/>
    <w:rsid w:val="00184C87"/>
    <w:rsid w:val="00186803"/>
    <w:rsid w:val="001B3416"/>
    <w:rsid w:val="001C2CA3"/>
    <w:rsid w:val="001C3D4B"/>
    <w:rsid w:val="001D3BB3"/>
    <w:rsid w:val="001F0810"/>
    <w:rsid w:val="0020244B"/>
    <w:rsid w:val="002122BA"/>
    <w:rsid w:val="0022274C"/>
    <w:rsid w:val="00230B23"/>
    <w:rsid w:val="00241B08"/>
    <w:rsid w:val="0024612D"/>
    <w:rsid w:val="00246AAD"/>
    <w:rsid w:val="00246D1F"/>
    <w:rsid w:val="0025331F"/>
    <w:rsid w:val="00261C44"/>
    <w:rsid w:val="00264849"/>
    <w:rsid w:val="00273108"/>
    <w:rsid w:val="00277FAF"/>
    <w:rsid w:val="00282205"/>
    <w:rsid w:val="00283292"/>
    <w:rsid w:val="00292D9C"/>
    <w:rsid w:val="002A074B"/>
    <w:rsid w:val="002B1D1A"/>
    <w:rsid w:val="002C00CC"/>
    <w:rsid w:val="002C0C3E"/>
    <w:rsid w:val="002C2964"/>
    <w:rsid w:val="002C3CCB"/>
    <w:rsid w:val="002E476B"/>
    <w:rsid w:val="002E5442"/>
    <w:rsid w:val="002F789A"/>
    <w:rsid w:val="0031364A"/>
    <w:rsid w:val="00317EDF"/>
    <w:rsid w:val="00322357"/>
    <w:rsid w:val="00350CE8"/>
    <w:rsid w:val="00351D93"/>
    <w:rsid w:val="00352527"/>
    <w:rsid w:val="00363369"/>
    <w:rsid w:val="0036372D"/>
    <w:rsid w:val="0036502C"/>
    <w:rsid w:val="003719B9"/>
    <w:rsid w:val="00381ADF"/>
    <w:rsid w:val="00384807"/>
    <w:rsid w:val="00385721"/>
    <w:rsid w:val="003B27FA"/>
    <w:rsid w:val="003B635C"/>
    <w:rsid w:val="003C06E8"/>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51251"/>
    <w:rsid w:val="00553D80"/>
    <w:rsid w:val="00557A7A"/>
    <w:rsid w:val="00580F39"/>
    <w:rsid w:val="0058279A"/>
    <w:rsid w:val="00596BD8"/>
    <w:rsid w:val="005A49E0"/>
    <w:rsid w:val="005A4ED6"/>
    <w:rsid w:val="005C684A"/>
    <w:rsid w:val="005E178C"/>
    <w:rsid w:val="005E53D8"/>
    <w:rsid w:val="006057FF"/>
    <w:rsid w:val="00613CA5"/>
    <w:rsid w:val="00620381"/>
    <w:rsid w:val="00624BC6"/>
    <w:rsid w:val="00640780"/>
    <w:rsid w:val="0064388D"/>
    <w:rsid w:val="00647FAA"/>
    <w:rsid w:val="00662A55"/>
    <w:rsid w:val="006973C7"/>
    <w:rsid w:val="006B0993"/>
    <w:rsid w:val="006B32F4"/>
    <w:rsid w:val="006B3618"/>
    <w:rsid w:val="006C0762"/>
    <w:rsid w:val="006C351D"/>
    <w:rsid w:val="006D0EA9"/>
    <w:rsid w:val="006D572A"/>
    <w:rsid w:val="006E1E68"/>
    <w:rsid w:val="00700D72"/>
    <w:rsid w:val="00702A56"/>
    <w:rsid w:val="00703A40"/>
    <w:rsid w:val="00724C75"/>
    <w:rsid w:val="007270DA"/>
    <w:rsid w:val="00744443"/>
    <w:rsid w:val="00754A18"/>
    <w:rsid w:val="00756697"/>
    <w:rsid w:val="007579EB"/>
    <w:rsid w:val="007653D3"/>
    <w:rsid w:val="007741FE"/>
    <w:rsid w:val="007D178B"/>
    <w:rsid w:val="007D4E40"/>
    <w:rsid w:val="007E1AE4"/>
    <w:rsid w:val="007F15B1"/>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502BE"/>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4881"/>
    <w:rsid w:val="00A81692"/>
    <w:rsid w:val="00A82A0A"/>
    <w:rsid w:val="00A84F53"/>
    <w:rsid w:val="00AA6701"/>
    <w:rsid w:val="00AB1830"/>
    <w:rsid w:val="00AC4037"/>
    <w:rsid w:val="00AD43FC"/>
    <w:rsid w:val="00AD470D"/>
    <w:rsid w:val="00AD6666"/>
    <w:rsid w:val="00AE1240"/>
    <w:rsid w:val="00AE3954"/>
    <w:rsid w:val="00AF072C"/>
    <w:rsid w:val="00AF4982"/>
    <w:rsid w:val="00B15CF6"/>
    <w:rsid w:val="00B21371"/>
    <w:rsid w:val="00B52FD6"/>
    <w:rsid w:val="00B60E51"/>
    <w:rsid w:val="00B62FAF"/>
    <w:rsid w:val="00B70E5B"/>
    <w:rsid w:val="00B827ED"/>
    <w:rsid w:val="00B86A50"/>
    <w:rsid w:val="00B90FAF"/>
    <w:rsid w:val="00B92E00"/>
    <w:rsid w:val="00B9782F"/>
    <w:rsid w:val="00BE55A2"/>
    <w:rsid w:val="00BF41EF"/>
    <w:rsid w:val="00BF5927"/>
    <w:rsid w:val="00BF7ABD"/>
    <w:rsid w:val="00C26D26"/>
    <w:rsid w:val="00C32916"/>
    <w:rsid w:val="00C36E0D"/>
    <w:rsid w:val="00C50809"/>
    <w:rsid w:val="00C62DBD"/>
    <w:rsid w:val="00C80E03"/>
    <w:rsid w:val="00C867D6"/>
    <w:rsid w:val="00C92875"/>
    <w:rsid w:val="00C962D1"/>
    <w:rsid w:val="00CA51B8"/>
    <w:rsid w:val="00CC2DCA"/>
    <w:rsid w:val="00CD6E87"/>
    <w:rsid w:val="00CE1A80"/>
    <w:rsid w:val="00D1420D"/>
    <w:rsid w:val="00D154F5"/>
    <w:rsid w:val="00D175A7"/>
    <w:rsid w:val="00D22B84"/>
    <w:rsid w:val="00D27A0D"/>
    <w:rsid w:val="00D30713"/>
    <w:rsid w:val="00D37BA1"/>
    <w:rsid w:val="00D54C52"/>
    <w:rsid w:val="00D55C73"/>
    <w:rsid w:val="00D566C6"/>
    <w:rsid w:val="00D71E52"/>
    <w:rsid w:val="00D81B24"/>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el-GR"/>
    </w:rPr>
  </w:style>
  <w:style w:type="paragraph" w:styleId="Heading1">
    <w:name w:val="heading 1"/>
    <w:basedOn w:val="Normal"/>
    <w:next w:val="Text1"/>
    <w:link w:val="Heading1Char"/>
    <w:uiPriority w:val="9"/>
    <w:qFormat/>
    <w:rsid w:val="00877878"/>
    <w:pPr>
      <w:keepNext/>
      <w:numPr>
        <w:numId w:val="38"/>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38"/>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38"/>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38"/>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el-GR"/>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9"/>
      </w:numPr>
      <w:contextualSpacing/>
    </w:pPr>
  </w:style>
  <w:style w:type="paragraph" w:styleId="ListBullet2">
    <w:name w:val="List Bullet 2"/>
    <w:basedOn w:val="Normal"/>
    <w:uiPriority w:val="99"/>
    <w:semiHidden/>
    <w:unhideWhenUsed/>
    <w:rsid w:val="00EB1CD0"/>
    <w:pPr>
      <w:numPr>
        <w:numId w:val="10"/>
      </w:numPr>
      <w:contextualSpacing/>
    </w:pPr>
  </w:style>
  <w:style w:type="paragraph" w:styleId="ListBullet3">
    <w:name w:val="List Bullet 3"/>
    <w:basedOn w:val="Normal"/>
    <w:uiPriority w:val="99"/>
    <w:semiHidden/>
    <w:unhideWhenUsed/>
    <w:rsid w:val="00EB1CD0"/>
    <w:pPr>
      <w:numPr>
        <w:numId w:val="11"/>
      </w:numPr>
      <w:contextualSpacing/>
    </w:pPr>
  </w:style>
  <w:style w:type="paragraph" w:styleId="ListBullet4">
    <w:name w:val="List Bullet 4"/>
    <w:basedOn w:val="Normal"/>
    <w:uiPriority w:val="99"/>
    <w:semiHidden/>
    <w:unhideWhenUsed/>
    <w:rsid w:val="00EB1CD0"/>
    <w:pPr>
      <w:numPr>
        <w:numId w:val="12"/>
      </w:numPr>
      <w:contextualSpacing/>
    </w:pPr>
  </w:style>
  <w:style w:type="paragraph" w:styleId="ListNumber">
    <w:name w:val="List Number"/>
    <w:basedOn w:val="Normal"/>
    <w:uiPriority w:val="99"/>
    <w:semiHidden/>
    <w:unhideWhenUsed/>
    <w:rsid w:val="00EB1CD0"/>
    <w:pPr>
      <w:numPr>
        <w:numId w:val="13"/>
      </w:numPr>
      <w:contextualSpacing/>
    </w:pPr>
  </w:style>
  <w:style w:type="paragraph" w:styleId="ListNumber2">
    <w:name w:val="List Number 2"/>
    <w:basedOn w:val="Normal"/>
    <w:uiPriority w:val="99"/>
    <w:semiHidden/>
    <w:unhideWhenUsed/>
    <w:rsid w:val="00EB1CD0"/>
    <w:pPr>
      <w:numPr>
        <w:numId w:val="14"/>
      </w:numPr>
      <w:contextualSpacing/>
    </w:pPr>
  </w:style>
  <w:style w:type="paragraph" w:styleId="ListNumber3">
    <w:name w:val="List Number 3"/>
    <w:basedOn w:val="Normal"/>
    <w:uiPriority w:val="99"/>
    <w:semiHidden/>
    <w:unhideWhenUsed/>
    <w:rsid w:val="003F1EDA"/>
    <w:pPr>
      <w:numPr>
        <w:numId w:val="15"/>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6"/>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el-GR"/>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el-GR"/>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el-GR"/>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2"/>
      </w:numPr>
    </w:pPr>
  </w:style>
  <w:style w:type="paragraph" w:customStyle="1" w:styleId="Tiret1">
    <w:name w:val="Tiret 1"/>
    <w:basedOn w:val="Point1"/>
    <w:rsid w:val="00877878"/>
    <w:pPr>
      <w:numPr>
        <w:numId w:val="33"/>
      </w:numPr>
    </w:pPr>
  </w:style>
  <w:style w:type="paragraph" w:customStyle="1" w:styleId="Tiret2">
    <w:name w:val="Tiret 2"/>
    <w:basedOn w:val="Point2"/>
    <w:rsid w:val="00877878"/>
    <w:pPr>
      <w:numPr>
        <w:numId w:val="34"/>
      </w:numPr>
    </w:pPr>
  </w:style>
  <w:style w:type="paragraph" w:customStyle="1" w:styleId="Tiret3">
    <w:name w:val="Tiret 3"/>
    <w:basedOn w:val="Point3"/>
    <w:rsid w:val="00877878"/>
    <w:pPr>
      <w:numPr>
        <w:numId w:val="35"/>
      </w:numPr>
    </w:pPr>
  </w:style>
  <w:style w:type="paragraph" w:customStyle="1" w:styleId="Tiret4">
    <w:name w:val="Tiret 4"/>
    <w:basedOn w:val="Point4"/>
    <w:rsid w:val="00877878"/>
    <w:pPr>
      <w:numPr>
        <w:numId w:val="36"/>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37"/>
      </w:numPr>
    </w:pPr>
  </w:style>
  <w:style w:type="paragraph" w:customStyle="1" w:styleId="NumPar2">
    <w:name w:val="NumPar 2"/>
    <w:basedOn w:val="Normal"/>
    <w:next w:val="Text1"/>
    <w:rsid w:val="00877878"/>
    <w:pPr>
      <w:numPr>
        <w:ilvl w:val="1"/>
        <w:numId w:val="37"/>
      </w:numPr>
    </w:pPr>
  </w:style>
  <w:style w:type="paragraph" w:customStyle="1" w:styleId="NumPar3">
    <w:name w:val="NumPar 3"/>
    <w:basedOn w:val="Normal"/>
    <w:next w:val="Text1"/>
    <w:rsid w:val="00877878"/>
    <w:pPr>
      <w:numPr>
        <w:ilvl w:val="2"/>
        <w:numId w:val="37"/>
      </w:numPr>
    </w:pPr>
  </w:style>
  <w:style w:type="paragraph" w:customStyle="1" w:styleId="NumPar4">
    <w:name w:val="NumPar 4"/>
    <w:basedOn w:val="Normal"/>
    <w:next w:val="Text1"/>
    <w:rsid w:val="00877878"/>
    <w:pPr>
      <w:numPr>
        <w:ilvl w:val="3"/>
        <w:numId w:val="37"/>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39"/>
      </w:numPr>
    </w:pPr>
  </w:style>
  <w:style w:type="paragraph" w:customStyle="1" w:styleId="Point1number">
    <w:name w:val="Point 1 (number)"/>
    <w:basedOn w:val="Normal"/>
    <w:rsid w:val="00877878"/>
    <w:pPr>
      <w:numPr>
        <w:ilvl w:val="2"/>
        <w:numId w:val="39"/>
      </w:numPr>
    </w:pPr>
  </w:style>
  <w:style w:type="paragraph" w:customStyle="1" w:styleId="Point2number">
    <w:name w:val="Point 2 (number)"/>
    <w:basedOn w:val="Normal"/>
    <w:rsid w:val="00877878"/>
    <w:pPr>
      <w:numPr>
        <w:ilvl w:val="4"/>
        <w:numId w:val="39"/>
      </w:numPr>
    </w:pPr>
  </w:style>
  <w:style w:type="paragraph" w:customStyle="1" w:styleId="Point3number">
    <w:name w:val="Point 3 (number)"/>
    <w:basedOn w:val="Normal"/>
    <w:rsid w:val="00877878"/>
    <w:pPr>
      <w:numPr>
        <w:ilvl w:val="6"/>
        <w:numId w:val="39"/>
      </w:numPr>
    </w:pPr>
  </w:style>
  <w:style w:type="paragraph" w:customStyle="1" w:styleId="Point0letter">
    <w:name w:val="Point 0 (letter)"/>
    <w:basedOn w:val="Normal"/>
    <w:rsid w:val="00877878"/>
    <w:pPr>
      <w:numPr>
        <w:ilvl w:val="1"/>
        <w:numId w:val="39"/>
      </w:numPr>
    </w:pPr>
  </w:style>
  <w:style w:type="paragraph" w:customStyle="1" w:styleId="Point1letter">
    <w:name w:val="Point 1 (letter)"/>
    <w:basedOn w:val="Normal"/>
    <w:rsid w:val="00877878"/>
    <w:pPr>
      <w:numPr>
        <w:ilvl w:val="3"/>
        <w:numId w:val="39"/>
      </w:numPr>
    </w:pPr>
  </w:style>
  <w:style w:type="paragraph" w:customStyle="1" w:styleId="Point2letter">
    <w:name w:val="Point 2 (letter)"/>
    <w:basedOn w:val="Normal"/>
    <w:rsid w:val="00877878"/>
    <w:pPr>
      <w:numPr>
        <w:ilvl w:val="5"/>
        <w:numId w:val="39"/>
      </w:numPr>
    </w:pPr>
  </w:style>
  <w:style w:type="paragraph" w:customStyle="1" w:styleId="Point3letter">
    <w:name w:val="Point 3 (letter)"/>
    <w:basedOn w:val="Normal"/>
    <w:rsid w:val="00877878"/>
    <w:pPr>
      <w:numPr>
        <w:ilvl w:val="7"/>
        <w:numId w:val="39"/>
      </w:numPr>
    </w:pPr>
  </w:style>
  <w:style w:type="paragraph" w:customStyle="1" w:styleId="Point4letter">
    <w:name w:val="Point 4 (letter)"/>
    <w:basedOn w:val="Normal"/>
    <w:rsid w:val="00877878"/>
    <w:pPr>
      <w:numPr>
        <w:ilvl w:val="8"/>
        <w:numId w:val="39"/>
      </w:numPr>
    </w:pPr>
  </w:style>
  <w:style w:type="paragraph" w:customStyle="1" w:styleId="Bullet0">
    <w:name w:val="Bullet 0"/>
    <w:basedOn w:val="Normal"/>
    <w:rsid w:val="00877878"/>
    <w:pPr>
      <w:numPr>
        <w:numId w:val="40"/>
      </w:numPr>
    </w:pPr>
  </w:style>
  <w:style w:type="paragraph" w:customStyle="1" w:styleId="Bullet1">
    <w:name w:val="Bullet 1"/>
    <w:basedOn w:val="Normal"/>
    <w:rsid w:val="00877878"/>
    <w:pPr>
      <w:numPr>
        <w:numId w:val="41"/>
      </w:numPr>
    </w:pPr>
  </w:style>
  <w:style w:type="paragraph" w:customStyle="1" w:styleId="Bullet2">
    <w:name w:val="Bullet 2"/>
    <w:basedOn w:val="Normal"/>
    <w:rsid w:val="00877878"/>
    <w:pPr>
      <w:numPr>
        <w:numId w:val="42"/>
      </w:numPr>
    </w:pPr>
  </w:style>
  <w:style w:type="paragraph" w:customStyle="1" w:styleId="Bullet3">
    <w:name w:val="Bullet 3"/>
    <w:basedOn w:val="Normal"/>
    <w:rsid w:val="00877878"/>
    <w:pPr>
      <w:numPr>
        <w:numId w:val="43"/>
      </w:numPr>
    </w:pPr>
  </w:style>
  <w:style w:type="paragraph" w:customStyle="1" w:styleId="Bullet4">
    <w:name w:val="Bullet 4"/>
    <w:basedOn w:val="Normal"/>
    <w:rsid w:val="00877878"/>
    <w:pPr>
      <w:numPr>
        <w:numId w:val="44"/>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5"/>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94E71D-C522-4C35-9FC3-79857C023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2803</Words>
  <Characters>16189</Characters>
  <Application>Microsoft Office Word</Application>
  <DocSecurity>0</DocSecurity>
  <Lines>318</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18901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STEFANOU Ioannis (DGT)</cp:lastModifiedBy>
  <cp:revision>3</cp:revision>
  <cp:lastPrinted>2018-09-04T15:01:00Z</cp:lastPrinted>
  <dcterms:created xsi:type="dcterms:W3CDTF">2018-09-20T14:54:00Z</dcterms:created>
  <dcterms:modified xsi:type="dcterms:W3CDTF">2018-09-20T14:54:00Z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