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E4399E" w14:textId="17F152CF" w:rsidR="001C2816" w:rsidRPr="00917940" w:rsidRDefault="00FD7739" w:rsidP="00DA5DA0">
      <w:pPr>
        <w:pStyle w:val="Pagedecouverture"/>
        <w:rPr>
          <w:noProof/>
        </w:rPr>
      </w:pPr>
      <w:bookmarkStart w:id="0" w:name="_GoBack"/>
      <w:bookmarkEnd w:id="0"/>
      <w:r>
        <w:rPr>
          <w:noProof/>
        </w:rPr>
        <w:pict w14:anchorId="73B92A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95C8C437-4895-4EA1-9B41-6ACC15CA576D" style="width:455.35pt;height:440.65pt">
            <v:imagedata r:id="rId7" o:title=""/>
          </v:shape>
        </w:pict>
      </w:r>
    </w:p>
    <w:p w14:paraId="66835F60" w14:textId="77777777" w:rsidR="00745799" w:rsidRPr="00917940" w:rsidRDefault="00745799">
      <w:pPr>
        <w:rPr>
          <w:noProof/>
        </w:rPr>
        <w:sectPr w:rsidR="00745799" w:rsidRPr="00917940" w:rsidSect="00DA5DA0">
          <w:footerReference w:type="default" r:id="rId8"/>
          <w:pgSz w:w="11907" w:h="16839"/>
          <w:pgMar w:top="1134" w:right="1417" w:bottom="1134" w:left="1417" w:header="709" w:footer="709" w:gutter="0"/>
          <w:pgNumType w:start="0"/>
          <w:cols w:space="720"/>
          <w:docGrid w:linePitch="360"/>
        </w:sectPr>
      </w:pPr>
    </w:p>
    <w:p w14:paraId="58EEE52D" w14:textId="516FB6CF" w:rsidR="00745799" w:rsidRPr="00917940" w:rsidRDefault="00917940" w:rsidP="00917940">
      <w:pPr>
        <w:pStyle w:val="Typedudocument"/>
        <w:rPr>
          <w:noProof/>
        </w:rPr>
      </w:pPr>
      <w:r w:rsidRPr="00917940">
        <w:rPr>
          <w:noProof/>
        </w:rPr>
        <w:lastRenderedPageBreak/>
        <w:t>KOMISSION TÄYTÄNTÖÖNPANOASETUS (EU) …/…,</w:t>
      </w:r>
    </w:p>
    <w:p w14:paraId="5FDAE07D" w14:textId="00CB7A36" w:rsidR="00745799" w:rsidRPr="00917940" w:rsidRDefault="00ED3446" w:rsidP="00917940">
      <w:pPr>
        <w:pStyle w:val="Datedadoption"/>
        <w:rPr>
          <w:noProof/>
        </w:rPr>
      </w:pPr>
      <w:r>
        <w:t>annettu 3.3.2022,</w:t>
      </w:r>
    </w:p>
    <w:p w14:paraId="6AE2FFE3" w14:textId="67C12EA5" w:rsidR="00745799" w:rsidRPr="00917940" w:rsidRDefault="00917940" w:rsidP="00917940">
      <w:pPr>
        <w:pStyle w:val="Titreobjet"/>
        <w:rPr>
          <w:noProof/>
        </w:rPr>
      </w:pPr>
      <w:r w:rsidRPr="00917940">
        <w:rPr>
          <w:noProof/>
        </w:rPr>
        <w:t xml:space="preserve">Euroopan parlamentin ja neuvoston direktiivin 2014/59/EU mukaisia luottolaitosten ja sijoituspalveluyritysten kriisinratkaisusuunnitelmia varten toimitettaviin tietoihin liittyviä menettelyjä ja vakiomuotoisia lomakkeita ja malleja koskevista teknisistä täytäntöönpanostandardeista annetun täytäntöönpanoasetuksen (EU) 2018/1624 muuttamisesta </w:t>
      </w:r>
      <w:r w:rsidRPr="00917940">
        <w:rPr>
          <w:noProof/>
        </w:rPr>
        <w:br/>
      </w:r>
    </w:p>
    <w:p w14:paraId="217F978F" w14:textId="7DFDFF61" w:rsidR="00745799" w:rsidRPr="00917940" w:rsidRDefault="00917940" w:rsidP="00917940">
      <w:pPr>
        <w:pStyle w:val="IntrtEEE"/>
        <w:rPr>
          <w:noProof/>
        </w:rPr>
      </w:pPr>
      <w:r w:rsidRPr="00917940">
        <w:rPr>
          <w:noProof/>
        </w:rPr>
        <w:t>(ETA:n kannalta merkityksellinen teksti)</w:t>
      </w:r>
    </w:p>
    <w:p w14:paraId="36E61899" w14:textId="77777777" w:rsidR="00745799" w:rsidRPr="00917940" w:rsidRDefault="00745799" w:rsidP="004E1EF9">
      <w:pPr>
        <w:pStyle w:val="Institutionquiagit"/>
        <w:rPr>
          <w:noProof/>
        </w:rPr>
      </w:pPr>
      <w:r w:rsidRPr="00917940">
        <w:rPr>
          <w:noProof/>
        </w:rPr>
        <w:t>EUROOPAN KOMISSIO, joka</w:t>
      </w:r>
    </w:p>
    <w:p w14:paraId="344A82A5" w14:textId="77777777" w:rsidR="00745799" w:rsidRPr="00917940" w:rsidRDefault="00745799" w:rsidP="004E1EF9">
      <w:pPr>
        <w:rPr>
          <w:noProof/>
        </w:rPr>
      </w:pPr>
      <w:r w:rsidRPr="00917940">
        <w:rPr>
          <w:noProof/>
          <w:color w:val="000000"/>
        </w:rPr>
        <w:t>ottaa huomioon Euroopan unionin toiminnasta tehdyn sopimuksen,</w:t>
      </w:r>
    </w:p>
    <w:p w14:paraId="2982BE59" w14:textId="5250076C" w:rsidR="00745799" w:rsidRPr="00917940" w:rsidRDefault="00745799" w:rsidP="004E1EF9">
      <w:pPr>
        <w:rPr>
          <w:noProof/>
        </w:rPr>
      </w:pPr>
      <w:r w:rsidRPr="00917940">
        <w:rPr>
          <w:noProof/>
        </w:rPr>
        <w:t>ottaa huomioon luottolaitosten ja sijoituspalveluyritysten elvytys- ja kriisinratkaisukehyksestä sekä neuvoston direktiivin 82/891/ETY, Euroopan parlamentin ja neuvoston direktiivien 2001/24/EY, 2002/47/EY, 2004/25/EY, 2005/56/EY, 2007/36/EY, 2011/35/EU, 2012/30/EU ja 2013/36/EU ja asetusten (EU) N:o 1093/2010 ja (EU) N:o 648/2012 muuttamisesta annetun Euroopan parlamentin ja neuvoston direktiivin 2014/59/EU</w:t>
      </w:r>
      <w:r w:rsidRPr="00917940">
        <w:rPr>
          <w:rStyle w:val="FootnoteReference"/>
          <w:noProof/>
        </w:rPr>
        <w:footnoteReference w:id="1"/>
      </w:r>
      <w:r w:rsidRPr="00917940">
        <w:rPr>
          <w:noProof/>
        </w:rPr>
        <w:t xml:space="preserve"> ja erityisesti sen 11 artiklan 3 kohdan,</w:t>
      </w:r>
    </w:p>
    <w:p w14:paraId="3303916E" w14:textId="77777777" w:rsidR="00745799" w:rsidRPr="00917940" w:rsidRDefault="00745799" w:rsidP="004E1EF9">
      <w:pPr>
        <w:rPr>
          <w:noProof/>
        </w:rPr>
      </w:pPr>
      <w:r w:rsidRPr="00917940">
        <w:rPr>
          <w:noProof/>
        </w:rPr>
        <w:t>sekä katsoo seuraavaa:</w:t>
      </w:r>
    </w:p>
    <w:p w14:paraId="2AEEF6BD" w14:textId="161851CA" w:rsidR="00745799" w:rsidRPr="00917940" w:rsidRDefault="00D766D2" w:rsidP="00D766D2">
      <w:pPr>
        <w:pStyle w:val="ManualConsidrant"/>
        <w:rPr>
          <w:noProof/>
        </w:rPr>
      </w:pPr>
      <w:r w:rsidRPr="00D766D2">
        <w:t>(1)</w:t>
      </w:r>
      <w:r w:rsidRPr="00D766D2">
        <w:tab/>
      </w:r>
      <w:r w:rsidR="00745799" w:rsidRPr="00917940">
        <w:rPr>
          <w:noProof/>
        </w:rPr>
        <w:t>Euroopan parlamentin ja neuvoston direktiivillä (EU) 2019/879</w:t>
      </w:r>
      <w:r w:rsidR="00745799" w:rsidRPr="00917940">
        <w:rPr>
          <w:rStyle w:val="FootnoteReference"/>
          <w:noProof/>
        </w:rPr>
        <w:footnoteReference w:id="2"/>
      </w:r>
      <w:r w:rsidR="00745799" w:rsidRPr="00917940">
        <w:rPr>
          <w:noProof/>
        </w:rPr>
        <w:t xml:space="preserve"> tehtiin tiettyjä muutoksia direktiivissä 2014/59/EU säädettyyn omia varoja ja hyväksyttäviä velkoja koskevaan vähimmäisvaatimukseen. Tietoja laitosten kyvystä täyttää tämä vaatimus otetaan rajoitetusti huomioon myös kriisinratkaisun suunnittelun yhteydessä.</w:t>
      </w:r>
    </w:p>
    <w:p w14:paraId="4C198264" w14:textId="0C90479F" w:rsidR="00745799" w:rsidRPr="00917940" w:rsidRDefault="00D766D2" w:rsidP="00D766D2">
      <w:pPr>
        <w:pStyle w:val="ManualConsidrant"/>
        <w:rPr>
          <w:noProof/>
        </w:rPr>
      </w:pPr>
      <w:r w:rsidRPr="00D766D2">
        <w:t>(2)</w:t>
      </w:r>
      <w:r w:rsidRPr="00D766D2">
        <w:tab/>
      </w:r>
      <w:r w:rsidR="005F79AB" w:rsidRPr="00917940">
        <w:rPr>
          <w:noProof/>
        </w:rPr>
        <w:t>Sen vuoksi komission täytäntöönpanoasetusta (EU) 2018/1624</w:t>
      </w:r>
      <w:r w:rsidR="005F79AB" w:rsidRPr="00917940">
        <w:rPr>
          <w:rStyle w:val="FootnoteReference"/>
          <w:noProof/>
        </w:rPr>
        <w:footnoteReference w:id="3"/>
      </w:r>
      <w:r w:rsidR="005F79AB" w:rsidRPr="00917940">
        <w:rPr>
          <w:noProof/>
        </w:rPr>
        <w:t xml:space="preserve"> olisi muutettava.</w:t>
      </w:r>
    </w:p>
    <w:p w14:paraId="2F996AE9" w14:textId="3F53CA9A" w:rsidR="00745799" w:rsidRPr="00917940" w:rsidRDefault="00D766D2" w:rsidP="00D766D2">
      <w:pPr>
        <w:pStyle w:val="ManualConsidrant"/>
        <w:rPr>
          <w:noProof/>
        </w:rPr>
      </w:pPr>
      <w:r w:rsidRPr="00D766D2">
        <w:t>(3)</w:t>
      </w:r>
      <w:r w:rsidRPr="00D766D2">
        <w:tab/>
      </w:r>
      <w:r w:rsidR="00745799" w:rsidRPr="00917940">
        <w:rPr>
          <w:noProof/>
        </w:rPr>
        <w:t xml:space="preserve">Tämä asetus perustuu teknisten täytäntöönpanostandardien luonnoksiin, jotka Euroopan pankkiviranomainen, jäljempänä ’EPV’, on toimittanut komissiolle. </w:t>
      </w:r>
    </w:p>
    <w:p w14:paraId="505703BE" w14:textId="4A1FC19F" w:rsidR="00745799" w:rsidRPr="00917940" w:rsidRDefault="00D766D2" w:rsidP="00D766D2">
      <w:pPr>
        <w:pStyle w:val="ManualConsidrant"/>
        <w:rPr>
          <w:noProof/>
        </w:rPr>
      </w:pPr>
      <w:r w:rsidRPr="00D766D2">
        <w:t>(4)</w:t>
      </w:r>
      <w:r w:rsidRPr="00D766D2">
        <w:tab/>
      </w:r>
      <w:r w:rsidR="00745799" w:rsidRPr="00917940">
        <w:rPr>
          <w:noProof/>
        </w:rPr>
        <w:t>EPV ei ole järjestänyt avoimia julkisia kuulemisia tämän asetuksen perustana olevista teknisten täytäntöönpanostandardien luonnoksista eikä se ole analysoinut niihin mahdollisesti liittyviä kustannuksia ja hyötyjä, sillä se katsoi, että tämä olisi ollut erityisen suhteetonta, koska muutokset sisältävät ainoastaan direktiiviä 2014/59/EU koskevien viittausten päivitykset, kaksi uutta ilmoitettavaa erää ja pieniä muutoksia raportoinnin teknisten esteiden poistamiseksi ja ovat näin ollen laajuudeltaan hyvin rajallisia ja määrältään ja vaikutukseltaan vähäisiä. EPV on pyytänyt neuvoa Euroopan parlamentin ja neuvoston asetuksen (EU) N:o 1093/2010</w:t>
      </w:r>
      <w:r w:rsidR="00745799" w:rsidRPr="00917940">
        <w:rPr>
          <w:rStyle w:val="FootnoteReference"/>
          <w:noProof/>
        </w:rPr>
        <w:footnoteReference w:id="4"/>
      </w:r>
      <w:r w:rsidR="00745799" w:rsidRPr="00917940">
        <w:rPr>
          <w:noProof/>
        </w:rPr>
        <w:t xml:space="preserve"> 37 artiklan mukaisesti perustetulta arvopaperimarkkina-alan osallisryhmältä,</w:t>
      </w:r>
    </w:p>
    <w:p w14:paraId="3F0100F6" w14:textId="77777777" w:rsidR="00745799" w:rsidRPr="00917940" w:rsidRDefault="00745799" w:rsidP="004E1EF9">
      <w:pPr>
        <w:pStyle w:val="Formuledadoption"/>
        <w:rPr>
          <w:noProof/>
        </w:rPr>
      </w:pPr>
      <w:r w:rsidRPr="00917940">
        <w:rPr>
          <w:noProof/>
        </w:rPr>
        <w:t>ON HYVÄKSYNYT TÄMÄN ASETUKSEN:</w:t>
      </w:r>
    </w:p>
    <w:p w14:paraId="248EA0A8" w14:textId="77777777" w:rsidR="00745799" w:rsidRPr="00917940" w:rsidRDefault="00745799" w:rsidP="004E1EF9">
      <w:pPr>
        <w:pStyle w:val="Titrearticle"/>
        <w:rPr>
          <w:noProof/>
        </w:rPr>
      </w:pPr>
      <w:r w:rsidRPr="00917940">
        <w:rPr>
          <w:noProof/>
        </w:rPr>
        <w:t>1 artikla</w:t>
      </w:r>
    </w:p>
    <w:p w14:paraId="0EB604DB" w14:textId="07D2792D" w:rsidR="00745799" w:rsidRPr="00917940" w:rsidRDefault="00745799" w:rsidP="004E1EF9">
      <w:pPr>
        <w:rPr>
          <w:noProof/>
        </w:rPr>
      </w:pPr>
      <w:r w:rsidRPr="00917940">
        <w:rPr>
          <w:noProof/>
        </w:rPr>
        <w:t>Muutetaan täytäntöönpanoasetus (EU) 2018/1624 seuraavasti:</w:t>
      </w:r>
    </w:p>
    <w:p w14:paraId="6C2E9789" w14:textId="052472D3" w:rsidR="002E04D0" w:rsidRPr="00917940" w:rsidRDefault="002A5DF9" w:rsidP="002A5DF9">
      <w:pPr>
        <w:pStyle w:val="Point0"/>
        <w:rPr>
          <w:noProof/>
        </w:rPr>
      </w:pPr>
      <w:r w:rsidRPr="002A5DF9">
        <w:rPr>
          <w:noProof/>
        </w:rPr>
        <w:t>1)</w:t>
      </w:r>
      <w:r w:rsidRPr="002A5DF9">
        <w:rPr>
          <w:noProof/>
        </w:rPr>
        <w:tab/>
      </w:r>
      <w:r w:rsidR="00745799" w:rsidRPr="00917940">
        <w:rPr>
          <w:noProof/>
        </w:rPr>
        <w:t>Muutetaan liite I seuraavasti:</w:t>
      </w:r>
    </w:p>
    <w:p w14:paraId="307F7177" w14:textId="6A92306F" w:rsidR="00745799" w:rsidRPr="00917940" w:rsidRDefault="002A5DF9" w:rsidP="002A5DF9">
      <w:pPr>
        <w:pStyle w:val="Point0"/>
        <w:rPr>
          <w:noProof/>
        </w:rPr>
      </w:pPr>
      <w:r w:rsidRPr="002A5DF9">
        <w:rPr>
          <w:noProof/>
        </w:rPr>
        <w:t>a)</w:t>
      </w:r>
      <w:r w:rsidRPr="002A5DF9">
        <w:rPr>
          <w:noProof/>
        </w:rPr>
        <w:tab/>
      </w:r>
      <w:r w:rsidR="002E04D0" w:rsidRPr="00917940">
        <w:rPr>
          <w:noProof/>
        </w:rPr>
        <w:t>Korvataan lomake Z 02.00 tämän asetuksen liitteessä I olevalla lomakkeella Z 02.00.</w:t>
      </w:r>
    </w:p>
    <w:p w14:paraId="2AC11875" w14:textId="7AA8FEC7" w:rsidR="002E04D0" w:rsidRPr="00917940" w:rsidRDefault="002A5DF9" w:rsidP="002A5DF9">
      <w:pPr>
        <w:pStyle w:val="Point0"/>
        <w:rPr>
          <w:noProof/>
        </w:rPr>
      </w:pPr>
      <w:r w:rsidRPr="002A5DF9">
        <w:rPr>
          <w:noProof/>
        </w:rPr>
        <w:t>b)</w:t>
      </w:r>
      <w:r w:rsidRPr="002A5DF9">
        <w:rPr>
          <w:noProof/>
        </w:rPr>
        <w:tab/>
      </w:r>
      <w:r w:rsidR="002E04D0" w:rsidRPr="00917940">
        <w:rPr>
          <w:noProof/>
        </w:rPr>
        <w:t>Korvataan lomake Z 03.00 tämän asetuksen liitteessä I olevalla lomakkeella Z 03.00.</w:t>
      </w:r>
    </w:p>
    <w:p w14:paraId="60F6BC37" w14:textId="20D18EB0" w:rsidR="00745799" w:rsidRPr="00917940" w:rsidRDefault="002A5DF9" w:rsidP="002A5DF9">
      <w:pPr>
        <w:pStyle w:val="Point0"/>
        <w:rPr>
          <w:noProof/>
        </w:rPr>
      </w:pPr>
      <w:r w:rsidRPr="002A5DF9">
        <w:rPr>
          <w:noProof/>
        </w:rPr>
        <w:t>2)</w:t>
      </w:r>
      <w:r w:rsidRPr="002A5DF9">
        <w:rPr>
          <w:noProof/>
        </w:rPr>
        <w:tab/>
      </w:r>
      <w:r w:rsidR="00090F84" w:rsidRPr="00917940">
        <w:rPr>
          <w:noProof/>
        </w:rPr>
        <w:t xml:space="preserve">Korvataan liite II tämän asetuksen liitteessä II olevalla tekstillä. </w:t>
      </w:r>
    </w:p>
    <w:p w14:paraId="77E50565" w14:textId="37F839DE" w:rsidR="00745799" w:rsidRPr="00917940" w:rsidRDefault="00745799" w:rsidP="004E1EF9">
      <w:pPr>
        <w:pStyle w:val="Titrearticle"/>
        <w:rPr>
          <w:noProof/>
          <w:color w:val="000000" w:themeColor="text1"/>
        </w:rPr>
      </w:pPr>
      <w:r w:rsidRPr="00917940">
        <w:rPr>
          <w:noProof/>
        </w:rPr>
        <w:t>2 artikla</w:t>
      </w:r>
    </w:p>
    <w:p w14:paraId="280CEA9B" w14:textId="288234FC" w:rsidR="00745799" w:rsidRPr="00917940" w:rsidRDefault="00745799" w:rsidP="004E1EF9">
      <w:pPr>
        <w:rPr>
          <w:noProof/>
        </w:rPr>
      </w:pPr>
      <w:r w:rsidRPr="00917940">
        <w:rPr>
          <w:noProof/>
        </w:rPr>
        <w:t xml:space="preserve">Tämä asetus tulee voimaan kahdentenakymmenentenä päivänä sen jälkeen, kun se on julkaistu </w:t>
      </w:r>
      <w:r w:rsidRPr="00917940">
        <w:rPr>
          <w:i/>
          <w:noProof/>
        </w:rPr>
        <w:t>Euroopan unionin virallisessa lehdessä</w:t>
      </w:r>
      <w:r w:rsidRPr="00917940">
        <w:rPr>
          <w:noProof/>
        </w:rPr>
        <w:t>.</w:t>
      </w:r>
    </w:p>
    <w:p w14:paraId="5ED2B21A" w14:textId="77777777" w:rsidR="00745799" w:rsidRPr="00917940" w:rsidRDefault="00745799" w:rsidP="004E1EF9">
      <w:pPr>
        <w:pStyle w:val="Applicationdirecte"/>
        <w:rPr>
          <w:noProof/>
        </w:rPr>
      </w:pPr>
      <w:r w:rsidRPr="00917940">
        <w:rPr>
          <w:noProof/>
        </w:rPr>
        <w:t>Tämä asetus on kaikilta osiltaan velvoittava, ja sitä sovelletaan sellaisenaan kaikissa jäsenvaltioissa.</w:t>
      </w:r>
    </w:p>
    <w:p w14:paraId="3D8C8E1A" w14:textId="231FA891" w:rsidR="00745799" w:rsidRPr="00917940" w:rsidRDefault="00751734" w:rsidP="00F152DC">
      <w:pPr>
        <w:pStyle w:val="Fait"/>
        <w:rPr>
          <w:noProof/>
        </w:rPr>
      </w:pPr>
      <w:r w:rsidRPr="00751734">
        <w:t>Tehty Brysselissä 3.3.2022</w:t>
      </w:r>
    </w:p>
    <w:p w14:paraId="54345AFA" w14:textId="77777777" w:rsidR="00745799" w:rsidRPr="00917940" w:rsidRDefault="00745799" w:rsidP="00F152DC">
      <w:pPr>
        <w:pStyle w:val="Institutionquisigne"/>
        <w:rPr>
          <w:noProof/>
        </w:rPr>
      </w:pPr>
      <w:r w:rsidRPr="00917940">
        <w:rPr>
          <w:noProof/>
        </w:rPr>
        <w:tab/>
        <w:t>Komission puolesta</w:t>
      </w:r>
    </w:p>
    <w:p w14:paraId="77E16C5B" w14:textId="7E247622" w:rsidR="008A5816" w:rsidRPr="00917940" w:rsidRDefault="00B74A00" w:rsidP="00F152DC">
      <w:pPr>
        <w:pStyle w:val="Personnequisigne"/>
        <w:keepNext/>
        <w:rPr>
          <w:noProof/>
        </w:rPr>
      </w:pPr>
      <w:r>
        <w:tab/>
        <w:t>Puheenjohtaja</w:t>
      </w:r>
      <w:r>
        <w:br/>
      </w:r>
      <w:r>
        <w:tab/>
        <w:t>Ursula VON DER LEYEN</w:t>
      </w:r>
    </w:p>
    <w:p w14:paraId="7793195C" w14:textId="408F3578" w:rsidR="00745799" w:rsidRPr="00917940" w:rsidRDefault="00745799" w:rsidP="00745799">
      <w:pPr>
        <w:pStyle w:val="Personnequisigne"/>
        <w:rPr>
          <w:noProof/>
        </w:rPr>
      </w:pPr>
    </w:p>
    <w:sectPr w:rsidR="00745799" w:rsidRPr="00917940" w:rsidSect="00DA5DA0">
      <w:footerReference w:type="default" r:id="rId9"/>
      <w:footerReference w:type="first" r:id="rId10"/>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7EA" w16cex:dateUtc="2021-12-01T07:59:00Z"/>
  <w16cex:commentExtensible w16cex:durableId="2551B819" w16cex:dateUtc="2021-12-01T08: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24D896F" w16cid:durableId="2551B77F"/>
  <w16cid:commentId w16cid:paraId="1D538397" w16cid:durableId="2551B7EA"/>
  <w16cid:commentId w16cid:paraId="70775A79" w16cid:durableId="2551B780"/>
  <w16cid:commentId w16cid:paraId="639A1800" w16cid:durableId="2551B81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C5EFD" w14:textId="77777777" w:rsidR="00745799" w:rsidRDefault="00745799" w:rsidP="00745799">
      <w:pPr>
        <w:spacing w:before="0" w:after="0"/>
      </w:pPr>
      <w:r>
        <w:separator/>
      </w:r>
    </w:p>
  </w:endnote>
  <w:endnote w:type="continuationSeparator" w:id="0">
    <w:p w14:paraId="675C0AA5" w14:textId="77777777" w:rsidR="00745799" w:rsidRDefault="00745799" w:rsidP="0074579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159CB" w14:textId="6A6FDC50" w:rsidR="00917940" w:rsidRPr="00DA5DA0" w:rsidRDefault="00DA5DA0" w:rsidP="00DA5DA0">
    <w:pPr>
      <w:pStyle w:val="Footer"/>
      <w:rPr>
        <w:rFonts w:ascii="Arial" w:hAnsi="Arial" w:cs="Arial"/>
        <w:b/>
        <w:sz w:val="48"/>
      </w:rPr>
    </w:pPr>
    <w:r w:rsidRPr="00DA5DA0">
      <w:rPr>
        <w:rFonts w:ascii="Arial" w:hAnsi="Arial" w:cs="Arial"/>
        <w:b/>
        <w:sz w:val="48"/>
      </w:rPr>
      <w:t>FI</w:t>
    </w:r>
    <w:r w:rsidRPr="00DA5DA0">
      <w:rPr>
        <w:rFonts w:ascii="Arial" w:hAnsi="Arial" w:cs="Arial"/>
        <w:b/>
        <w:sz w:val="48"/>
      </w:rPr>
      <w:tab/>
    </w:r>
    <w:r w:rsidRPr="00DA5DA0">
      <w:rPr>
        <w:rFonts w:ascii="Arial" w:hAnsi="Arial" w:cs="Arial"/>
        <w:b/>
        <w:sz w:val="48"/>
      </w:rPr>
      <w:tab/>
    </w:r>
    <w:r w:rsidRPr="00DA5DA0">
      <w:tab/>
    </w:r>
    <w:r w:rsidRPr="00DA5DA0">
      <w:rPr>
        <w:rFonts w:ascii="Arial" w:hAnsi="Arial" w:cs="Arial"/>
        <w:b/>
        <w:sz w:val="48"/>
      </w:rPr>
      <w:t>FI</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C58B5C" w14:textId="4DE5A3D6" w:rsidR="00DA5DA0" w:rsidRPr="00DA5DA0" w:rsidRDefault="00DA5DA0" w:rsidP="00DA5DA0">
    <w:pPr>
      <w:pStyle w:val="Footer"/>
      <w:rPr>
        <w:rFonts w:ascii="Arial" w:hAnsi="Arial" w:cs="Arial"/>
        <w:b/>
        <w:sz w:val="48"/>
      </w:rPr>
    </w:pPr>
    <w:r w:rsidRPr="00DA5DA0">
      <w:rPr>
        <w:rFonts w:ascii="Arial" w:hAnsi="Arial" w:cs="Arial"/>
        <w:b/>
        <w:sz w:val="48"/>
      </w:rPr>
      <w:t>FI</w:t>
    </w:r>
    <w:r w:rsidRPr="00DA5DA0">
      <w:rPr>
        <w:rFonts w:ascii="Arial" w:hAnsi="Arial" w:cs="Arial"/>
        <w:b/>
        <w:sz w:val="48"/>
      </w:rPr>
      <w:tab/>
    </w:r>
    <w:r>
      <w:fldChar w:fldCharType="begin"/>
    </w:r>
    <w:r>
      <w:instrText xml:space="preserve"> PAGE  \* MERGEFORMAT </w:instrText>
    </w:r>
    <w:r>
      <w:fldChar w:fldCharType="separate"/>
    </w:r>
    <w:r w:rsidR="00FD7739">
      <w:rPr>
        <w:noProof/>
      </w:rPr>
      <w:t>2</w:t>
    </w:r>
    <w:r>
      <w:fldChar w:fldCharType="end"/>
    </w:r>
    <w:r>
      <w:tab/>
    </w:r>
    <w:r w:rsidRPr="00DA5DA0">
      <w:tab/>
    </w:r>
    <w:r w:rsidRPr="00DA5DA0">
      <w:rPr>
        <w:rFonts w:ascii="Arial" w:hAnsi="Arial" w:cs="Arial"/>
        <w:b/>
        <w:sz w:val="48"/>
      </w:rPr>
      <w:t>FI</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83C4C" w14:textId="77777777" w:rsidR="00DA5DA0" w:rsidRPr="00DA5DA0" w:rsidRDefault="00DA5DA0" w:rsidP="00DA5D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6848F" w14:textId="77777777" w:rsidR="00745799" w:rsidRDefault="00745799" w:rsidP="00745799">
      <w:pPr>
        <w:spacing w:before="0" w:after="0"/>
      </w:pPr>
      <w:r>
        <w:separator/>
      </w:r>
    </w:p>
  </w:footnote>
  <w:footnote w:type="continuationSeparator" w:id="0">
    <w:p w14:paraId="3876E97E" w14:textId="77777777" w:rsidR="00745799" w:rsidRDefault="00745799" w:rsidP="00745799">
      <w:pPr>
        <w:spacing w:before="0" w:after="0"/>
      </w:pPr>
      <w:r>
        <w:continuationSeparator/>
      </w:r>
    </w:p>
  </w:footnote>
  <w:footnote w:id="1">
    <w:p w14:paraId="052E750F" w14:textId="77777777" w:rsidR="00745799" w:rsidRDefault="00745799" w:rsidP="00745799">
      <w:pPr>
        <w:pStyle w:val="FootnoteText"/>
      </w:pPr>
      <w:r>
        <w:rPr>
          <w:rStyle w:val="FootnoteReference"/>
        </w:rPr>
        <w:footnoteRef/>
      </w:r>
      <w:r>
        <w:tab/>
        <w:t>EUVL L 173, 12.6.2014, s. 190.</w:t>
      </w:r>
    </w:p>
  </w:footnote>
  <w:footnote w:id="2">
    <w:p w14:paraId="7F45B5AC" w14:textId="6DC04D10" w:rsidR="005F79AB" w:rsidRPr="005F79AB" w:rsidRDefault="005F79AB" w:rsidP="005F79AB">
      <w:pPr>
        <w:pStyle w:val="FootnoteText"/>
      </w:pPr>
      <w:r>
        <w:rPr>
          <w:rStyle w:val="FootnoteReference"/>
        </w:rPr>
        <w:footnoteRef/>
      </w:r>
      <w:r>
        <w:tab/>
        <w:t>Euroopan parlamentin ja neuvoston direktiivi (EU) 2019/879, annettu 20 päivänä toukokuuta 2019, direktiivin 2014/59/EU muuttamisesta luottolaitosten ja sijoituspalveluyritysten tappionkattamiskyvyn ja pääomapohjan vahvistamiskyvyn osalta sekä direktiivin 98/26/EY muuttamisesta (EUVL L 150, 7.6.2019, s. 296).</w:t>
      </w:r>
    </w:p>
  </w:footnote>
  <w:footnote w:id="3">
    <w:p w14:paraId="509F65CC" w14:textId="05595D25" w:rsidR="005F79AB" w:rsidRPr="005F79AB" w:rsidRDefault="005F79AB">
      <w:pPr>
        <w:pStyle w:val="FootnoteText"/>
      </w:pPr>
      <w:r>
        <w:rPr>
          <w:rStyle w:val="FootnoteReference"/>
        </w:rPr>
        <w:footnoteRef/>
      </w:r>
      <w:r>
        <w:tab/>
        <w:t>Komission täytäntöönpanoasetus (EU) 2018/1624, annettu 23 päivänä lokakuuta 2018, Euroopan parlamentin ja neuvoston direktiivin 2014/59/EU mukaisia luottolaitosten ja sijoituspalveluyritysten kriisinratkaisusuunnitelmia varten toimitettaviin tietoihin liittyviä menettelyjä ja vakiomuotoisia lomakkeita ja malleja koskevista teknisistä täytäntöönpanostandardeista ja komission täytäntöönpanoasetuksen (EU) 2016/1066 kumoamisesta (EUVL L 277, 7.11.2018, s. 1).</w:t>
      </w:r>
    </w:p>
  </w:footnote>
  <w:footnote w:id="4">
    <w:p w14:paraId="3537746E" w14:textId="50571182" w:rsidR="00745799" w:rsidRPr="00B64E68" w:rsidRDefault="00745799" w:rsidP="00745799">
      <w:pPr>
        <w:pStyle w:val="FootnoteText"/>
      </w:pPr>
      <w:r>
        <w:rPr>
          <w:rStyle w:val="FootnoteReference"/>
        </w:rPr>
        <w:footnoteRef/>
      </w:r>
      <w:r>
        <w:tab/>
        <w:t>Euroopan parlamentin ja neuvoston asetus (EU) N:o 1093/2010, annettu 24 päivänä marraskuuta 2010, Euroopan valvontaviranomaisen (Euroopan pankkiviranomainen) perustamisesta sekä päätöksen N:o 716/2009/EY muuttamisesta ja komission päätöksen 2009/78/EY kumoamisesta (EUVL L 331, 15.12.2010, s.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793EC600"/>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37E926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9F841BE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5D4AE1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E67FB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99E0958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77C7BF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698DA0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2"/>
    <w:lvlOverride w:ilvl="0">
      <w:startOverride w:val="1"/>
    </w:lvlOverride>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9"/>
  </w:num>
  <w:num w:numId="11">
    <w:abstractNumId w:val="12"/>
  </w:num>
  <w:num w:numId="12">
    <w:abstractNumId w:val="21"/>
  </w:num>
  <w:num w:numId="13">
    <w:abstractNumId w:val="11"/>
  </w:num>
  <w:num w:numId="14">
    <w:abstractNumId w:val="13"/>
  </w:num>
  <w:num w:numId="15">
    <w:abstractNumId w:val="9"/>
  </w:num>
  <w:num w:numId="16">
    <w:abstractNumId w:val="20"/>
  </w:num>
  <w:num w:numId="17">
    <w:abstractNumId w:val="8"/>
  </w:num>
  <w:num w:numId="18">
    <w:abstractNumId w:val="15"/>
  </w:num>
  <w:num w:numId="19">
    <w:abstractNumId w:val="17"/>
  </w:num>
  <w:num w:numId="20">
    <w:abstractNumId w:val="18"/>
  </w:num>
  <w:num w:numId="21">
    <w:abstractNumId w:val="10"/>
  </w:num>
  <w:num w:numId="22">
    <w:abstractNumId w:val="16"/>
  </w:num>
  <w:num w:numId="23">
    <w:abstractNumId w:val="22"/>
  </w:num>
  <w:num w:numId="24">
    <w:abstractNumId w:val="20"/>
  </w:num>
  <w:num w:numId="25">
    <w:abstractNumId w:val="20"/>
  </w:num>
  <w:num w:numId="26">
    <w:abstractNumId w:val="20"/>
  </w:num>
  <w:num w:numId="27">
    <w:abstractNumId w:val="14"/>
  </w:num>
  <w:num w:numId="28">
    <w:abstractNumId w:val="9"/>
  </w:num>
  <w:num w:numId="29">
    <w:abstractNumId w:val="9"/>
  </w:num>
  <w:num w:numId="30">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fi-FI" w:vendorID="64" w:dllVersion="131078" w:nlCheck="1" w:checkStyle="0"/>
  <w:attachedTemplate r:id="rId1"/>
  <w:defaultTabStop w:val="720"/>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02-22 12:45:07"/>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95C8C437-4895-4EA1-9B41-6ACC15CA576D"/>
    <w:docVar w:name="LW_COVERPAGE_TYPE" w:val="1"/>
    <w:docVar w:name="LW_CROSSREFERENCE" w:val="&lt;UNUSED&gt;"/>
    <w:docVar w:name="LW_DATE.ADOPT.CP" w:val="annettu 3.3.2022,"/>
    <w:docVar w:name="LW_DATE.ADOPT.CP_DATEFORMAT" w:val="annettu %DATE%,"/>
    <w:docVar w:name="LW_DATE.ADOPT.CP_ISODATE" w:val="2022-03-03"/>
    <w:docVar w:name="LW_DocType" w:val="COM"/>
    <w:docVar w:name="LW_EMISSION" w:val="3.3.2022"/>
    <w:docVar w:name="LW_EMISSION_ISODATE" w:val="2022-03-03"/>
    <w:docVar w:name="LW_EMISSION_LOCATION" w:val="BRX"/>
    <w:docVar w:name="LW_EMISSION_PREFIX" w:val="Bryssel "/>
    <w:docVar w:name="LW_EMISSION_SUFFIX" w:val=" "/>
    <w:docVar w:name="LW_ID_DOCMODEL" w:val="SJ-004"/>
    <w:docVar w:name="LW_ID_DOCSIGNATURE" w:val="SJ-004"/>
    <w:docVar w:name="LW_ID_DOCSTRUCTURE" w:val="COM/AA"/>
    <w:docVar w:name="LW_ID_DOCTYPE" w:val="SJ-004"/>
    <w:docVar w:name="LW_INTERETEEE.CP" w:val="(ETA:n kannalta merkityksellinen teksti)"/>
    <w:docVar w:name="LW_LANGUE" w:val="FI"/>
    <w:docVar w:name="LW_LANGUESFAISANTFOI.CP" w:val="&lt;UNUSED&gt;"/>
    <w:docVar w:name="LW_LEVEL_OF_SENSITIVITY" w:val="Standard treatment"/>
    <w:docVar w:name="LW_NOM.INST" w:val="EUROOPAN KOMISSIO"/>
    <w:docVar w:name="LW_NOM.INST_JOINTDOC" w:val="&lt;EMPTY&gt;"/>
    <w:docVar w:name="LW_PART_NBR" w:val="1"/>
    <w:docVar w:name="LW_PART_NBR_TOTAL" w:val="1"/>
    <w:docVar w:name="LW_REF.INST.NEW" w:val="C"/>
    <w:docVar w:name="LW_REF.INST.NEW_ADOPTED" w:val="final"/>
    <w:docVar w:name="LW_REF.INST.NEW_TEXT" w:val="(2022) 1227"/>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Euroopan parlamentin ja neuvoston direktiivin 2014/59/EU mukaisia luottolaitosten ja sijoituspalveluyritysten kriisinratkaisusuunnitelmia varten toimitettaviin tietoihin liittyviä menettelyjä ja vakiomuotoisia lomakkeita ja malleja koskevista teknisistä täytäntöönpanostandardeista annetun täytäntöönpanoasetuksen (EU) 2018/1624 muuttamisesta _x000b_"/>
    <w:docVar w:name="LW_TYPE.DOC.CP" w:val="KOMISSION TÄYTÄNTÖÖNPANOASETUS (EU) …/…,"/>
    <w:docVar w:name="LwApiVersions" w:val="LW4CoDe 1.23.2.0; LW 8.0, Build 20211117"/>
  </w:docVars>
  <w:rsids>
    <w:rsidRoot w:val="00745799"/>
    <w:rsid w:val="00022C95"/>
    <w:rsid w:val="00030008"/>
    <w:rsid w:val="000362F8"/>
    <w:rsid w:val="00077B5D"/>
    <w:rsid w:val="00090F84"/>
    <w:rsid w:val="00096F1E"/>
    <w:rsid w:val="000A5309"/>
    <w:rsid w:val="000A7517"/>
    <w:rsid w:val="000E198E"/>
    <w:rsid w:val="000E5A8D"/>
    <w:rsid w:val="000F0ADA"/>
    <w:rsid w:val="00123B47"/>
    <w:rsid w:val="001347F3"/>
    <w:rsid w:val="001838A3"/>
    <w:rsid w:val="00191909"/>
    <w:rsid w:val="00193D60"/>
    <w:rsid w:val="001C2816"/>
    <w:rsid w:val="001D72C1"/>
    <w:rsid w:val="00213F5B"/>
    <w:rsid w:val="00232E98"/>
    <w:rsid w:val="002529F8"/>
    <w:rsid w:val="00283253"/>
    <w:rsid w:val="002A5DF9"/>
    <w:rsid w:val="002E04D0"/>
    <w:rsid w:val="002E480F"/>
    <w:rsid w:val="003053DC"/>
    <w:rsid w:val="00313610"/>
    <w:rsid w:val="003151E2"/>
    <w:rsid w:val="00333B7B"/>
    <w:rsid w:val="003467B2"/>
    <w:rsid w:val="003D725F"/>
    <w:rsid w:val="003E38EA"/>
    <w:rsid w:val="00426704"/>
    <w:rsid w:val="004A7616"/>
    <w:rsid w:val="004B08D1"/>
    <w:rsid w:val="004F579B"/>
    <w:rsid w:val="00511345"/>
    <w:rsid w:val="005B1217"/>
    <w:rsid w:val="005F79AB"/>
    <w:rsid w:val="00603FDC"/>
    <w:rsid w:val="006944A9"/>
    <w:rsid w:val="006B3BDB"/>
    <w:rsid w:val="006D5B8E"/>
    <w:rsid w:val="0070128F"/>
    <w:rsid w:val="007170E9"/>
    <w:rsid w:val="00745799"/>
    <w:rsid w:val="00751734"/>
    <w:rsid w:val="00753C08"/>
    <w:rsid w:val="0076684E"/>
    <w:rsid w:val="00786F26"/>
    <w:rsid w:val="007C06F6"/>
    <w:rsid w:val="007E3268"/>
    <w:rsid w:val="007F3383"/>
    <w:rsid w:val="00813DCB"/>
    <w:rsid w:val="008A5816"/>
    <w:rsid w:val="008B152E"/>
    <w:rsid w:val="008F621A"/>
    <w:rsid w:val="00911DBE"/>
    <w:rsid w:val="00917940"/>
    <w:rsid w:val="009202AA"/>
    <w:rsid w:val="00945758"/>
    <w:rsid w:val="00986B33"/>
    <w:rsid w:val="00987AD5"/>
    <w:rsid w:val="009B7138"/>
    <w:rsid w:val="009C3971"/>
    <w:rsid w:val="00A439A6"/>
    <w:rsid w:val="00A90DF7"/>
    <w:rsid w:val="00A96233"/>
    <w:rsid w:val="00B131A4"/>
    <w:rsid w:val="00B63485"/>
    <w:rsid w:val="00B74A00"/>
    <w:rsid w:val="00B85498"/>
    <w:rsid w:val="00BE246D"/>
    <w:rsid w:val="00BF17AA"/>
    <w:rsid w:val="00BF5167"/>
    <w:rsid w:val="00C24556"/>
    <w:rsid w:val="00C52AC5"/>
    <w:rsid w:val="00CA6AAF"/>
    <w:rsid w:val="00D4394C"/>
    <w:rsid w:val="00D766D2"/>
    <w:rsid w:val="00DA5DA0"/>
    <w:rsid w:val="00DF7421"/>
    <w:rsid w:val="00E578DB"/>
    <w:rsid w:val="00ED3446"/>
    <w:rsid w:val="00F152DC"/>
    <w:rsid w:val="00F20062"/>
    <w:rsid w:val="00FC1C26"/>
    <w:rsid w:val="00FD7739"/>
    <w:rsid w:val="00FF22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6832BA40"/>
  <w15:docId w15:val="{AB47458E-1441-4473-9270-EF5321922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fi-FI"/>
    </w:rPr>
  </w:style>
  <w:style w:type="paragraph" w:styleId="Heading1">
    <w:name w:val="heading 1"/>
    <w:basedOn w:val="Normal"/>
    <w:next w:val="Text1"/>
    <w:link w:val="Heading1Char"/>
    <w:uiPriority w:val="9"/>
    <w:qFormat/>
    <w:rsid w:val="00877878"/>
    <w:pPr>
      <w:keepNext/>
      <w:numPr>
        <w:numId w:val="2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2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26"/>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26"/>
      </w:numPr>
      <w:outlineLvl w:val="3"/>
    </w:pPr>
    <w:rPr>
      <w:rFonts w:eastAsiaTheme="majorEastAsia"/>
      <w:bCs/>
      <w:iCs/>
    </w:rPr>
  </w:style>
  <w:style w:type="paragraph" w:styleId="Heading5">
    <w:name w:val="heading 5"/>
    <w:basedOn w:val="Normal"/>
    <w:next w:val="Text2"/>
    <w:link w:val="Heading5Char"/>
    <w:uiPriority w:val="9"/>
    <w:semiHidden/>
    <w:unhideWhenUsed/>
    <w:qFormat/>
    <w:rsid w:val="00022C95"/>
    <w:pPr>
      <w:keepNext/>
      <w:numPr>
        <w:ilvl w:val="4"/>
        <w:numId w:val="26"/>
      </w:numPr>
      <w:outlineLvl w:val="4"/>
    </w:pPr>
    <w:rPr>
      <w:rFonts w:eastAsiaTheme="majorEastAsia"/>
    </w:rPr>
  </w:style>
  <w:style w:type="paragraph" w:styleId="Heading6">
    <w:name w:val="heading 6"/>
    <w:basedOn w:val="Normal"/>
    <w:next w:val="Text2"/>
    <w:link w:val="Heading6Char"/>
    <w:uiPriority w:val="9"/>
    <w:semiHidden/>
    <w:unhideWhenUsed/>
    <w:qFormat/>
    <w:rsid w:val="00022C95"/>
    <w:pPr>
      <w:keepNext/>
      <w:numPr>
        <w:ilvl w:val="5"/>
        <w:numId w:val="26"/>
      </w:numPr>
      <w:outlineLvl w:val="5"/>
    </w:pPr>
    <w:rPr>
      <w:rFonts w:eastAsiaTheme="majorEastAsia"/>
      <w:iCs/>
    </w:rPr>
  </w:style>
  <w:style w:type="paragraph" w:styleId="Heading7">
    <w:name w:val="heading 7"/>
    <w:basedOn w:val="Normal"/>
    <w:next w:val="Text2"/>
    <w:link w:val="Heading7Char"/>
    <w:uiPriority w:val="9"/>
    <w:semiHidden/>
    <w:unhideWhenUsed/>
    <w:qFormat/>
    <w:rsid w:val="00022C95"/>
    <w:pPr>
      <w:keepNext/>
      <w:numPr>
        <w:ilvl w:val="6"/>
        <w:numId w:val="26"/>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3151E2"/>
    <w:pPr>
      <w:numPr>
        <w:numId w:val="2"/>
      </w:numPr>
      <w:contextualSpacing/>
    </w:pPr>
  </w:style>
  <w:style w:type="paragraph" w:styleId="ListBullet2">
    <w:name w:val="List Bullet 2"/>
    <w:basedOn w:val="Normal"/>
    <w:uiPriority w:val="99"/>
    <w:semiHidden/>
    <w:unhideWhenUsed/>
    <w:rsid w:val="003151E2"/>
    <w:pPr>
      <w:numPr>
        <w:numId w:val="3"/>
      </w:numPr>
      <w:contextualSpacing/>
    </w:pPr>
  </w:style>
  <w:style w:type="paragraph" w:styleId="ListBullet3">
    <w:name w:val="List Bullet 3"/>
    <w:basedOn w:val="Normal"/>
    <w:uiPriority w:val="99"/>
    <w:semiHidden/>
    <w:unhideWhenUsed/>
    <w:rsid w:val="003151E2"/>
    <w:pPr>
      <w:numPr>
        <w:numId w:val="4"/>
      </w:numPr>
      <w:contextualSpacing/>
    </w:pPr>
  </w:style>
  <w:style w:type="paragraph" w:styleId="ListBullet4">
    <w:name w:val="List Bullet 4"/>
    <w:basedOn w:val="Normal"/>
    <w:uiPriority w:val="99"/>
    <w:semiHidden/>
    <w:unhideWhenUsed/>
    <w:rsid w:val="003151E2"/>
    <w:pPr>
      <w:numPr>
        <w:numId w:val="5"/>
      </w:numPr>
      <w:contextualSpacing/>
    </w:pPr>
  </w:style>
  <w:style w:type="paragraph" w:styleId="Caption">
    <w:name w:val="caption"/>
    <w:basedOn w:val="Normal"/>
    <w:next w:val="Normal"/>
    <w:uiPriority w:val="35"/>
    <w:semiHidden/>
    <w:unhideWhenUsed/>
    <w:qFormat/>
    <w:rsid w:val="00283253"/>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83253"/>
    <w:pPr>
      <w:spacing w:after="0"/>
    </w:pPr>
  </w:style>
  <w:style w:type="paragraph" w:styleId="ListNumber">
    <w:name w:val="List Number"/>
    <w:basedOn w:val="Normal"/>
    <w:uiPriority w:val="99"/>
    <w:semiHidden/>
    <w:unhideWhenUsed/>
    <w:rsid w:val="00283253"/>
    <w:pPr>
      <w:numPr>
        <w:numId w:val="6"/>
      </w:numPr>
      <w:contextualSpacing/>
    </w:pPr>
  </w:style>
  <w:style w:type="paragraph" w:styleId="ListNumber2">
    <w:name w:val="List Number 2"/>
    <w:basedOn w:val="Normal"/>
    <w:uiPriority w:val="99"/>
    <w:semiHidden/>
    <w:unhideWhenUsed/>
    <w:rsid w:val="00283253"/>
    <w:pPr>
      <w:numPr>
        <w:numId w:val="7"/>
      </w:numPr>
      <w:contextualSpacing/>
    </w:pPr>
  </w:style>
  <w:style w:type="paragraph" w:styleId="ListNumber3">
    <w:name w:val="List Number 3"/>
    <w:basedOn w:val="Normal"/>
    <w:uiPriority w:val="99"/>
    <w:semiHidden/>
    <w:unhideWhenUsed/>
    <w:rsid w:val="00283253"/>
    <w:pPr>
      <w:numPr>
        <w:numId w:val="8"/>
      </w:numPr>
      <w:contextualSpacing/>
    </w:pPr>
  </w:style>
  <w:style w:type="paragraph" w:styleId="ListNumber4">
    <w:name w:val="List Number 4"/>
    <w:basedOn w:val="Normal"/>
    <w:uiPriority w:val="99"/>
    <w:semiHidden/>
    <w:unhideWhenUsed/>
    <w:rsid w:val="00283253"/>
    <w:pPr>
      <w:numPr>
        <w:numId w:val="9"/>
      </w:numPr>
      <w:contextualSpacing/>
    </w:pPr>
  </w:style>
  <w:style w:type="character" w:styleId="CommentReference">
    <w:name w:val="annotation reference"/>
    <w:basedOn w:val="DefaultParagraphFont"/>
    <w:uiPriority w:val="99"/>
    <w:semiHidden/>
    <w:unhideWhenUsed/>
    <w:rsid w:val="009C3971"/>
    <w:rPr>
      <w:sz w:val="16"/>
      <w:szCs w:val="16"/>
    </w:rPr>
  </w:style>
  <w:style w:type="paragraph" w:styleId="CommentText">
    <w:name w:val="annotation text"/>
    <w:basedOn w:val="Normal"/>
    <w:link w:val="CommentTextChar"/>
    <w:uiPriority w:val="99"/>
    <w:unhideWhenUsed/>
    <w:rsid w:val="009C3971"/>
    <w:rPr>
      <w:sz w:val="20"/>
      <w:szCs w:val="20"/>
    </w:rPr>
  </w:style>
  <w:style w:type="character" w:customStyle="1" w:styleId="CommentTextChar">
    <w:name w:val="Comment Text Char"/>
    <w:basedOn w:val="DefaultParagraphFont"/>
    <w:link w:val="CommentText"/>
    <w:uiPriority w:val="99"/>
    <w:rsid w:val="009C3971"/>
    <w:rPr>
      <w:rFonts w:ascii="Times New Roman" w:hAnsi="Times New Roman" w:cs="Times New Roman"/>
      <w:sz w:val="20"/>
      <w:szCs w:val="20"/>
      <w:lang w:val="fi-FI"/>
    </w:rPr>
  </w:style>
  <w:style w:type="paragraph" w:styleId="CommentSubject">
    <w:name w:val="annotation subject"/>
    <w:basedOn w:val="CommentText"/>
    <w:next w:val="CommentText"/>
    <w:link w:val="CommentSubjectChar"/>
    <w:uiPriority w:val="99"/>
    <w:semiHidden/>
    <w:unhideWhenUsed/>
    <w:rsid w:val="009C3971"/>
    <w:rPr>
      <w:b/>
      <w:bCs/>
    </w:rPr>
  </w:style>
  <w:style w:type="character" w:customStyle="1" w:styleId="CommentSubjectChar">
    <w:name w:val="Comment Subject Char"/>
    <w:basedOn w:val="CommentTextChar"/>
    <w:link w:val="CommentSubject"/>
    <w:uiPriority w:val="99"/>
    <w:semiHidden/>
    <w:rsid w:val="009C3971"/>
    <w:rPr>
      <w:rFonts w:ascii="Times New Roman" w:hAnsi="Times New Roman" w:cs="Times New Roman"/>
      <w:b/>
      <w:bCs/>
      <w:sz w:val="20"/>
      <w:szCs w:val="20"/>
      <w:lang w:val="fi-FI"/>
    </w:rPr>
  </w:style>
  <w:style w:type="character" w:styleId="Hyperlink">
    <w:name w:val="Hyperlink"/>
    <w:basedOn w:val="DefaultParagraphFont"/>
    <w:uiPriority w:val="99"/>
    <w:unhideWhenUsed/>
    <w:rsid w:val="009C3971"/>
    <w:rPr>
      <w:color w:val="0000FF" w:themeColor="hyperlink"/>
      <w:u w:val="single"/>
    </w:rPr>
  </w:style>
  <w:style w:type="character" w:customStyle="1" w:styleId="UnresolvedMention1">
    <w:name w:val="Unresolved Mention1"/>
    <w:basedOn w:val="DefaultParagraphFont"/>
    <w:uiPriority w:val="99"/>
    <w:semiHidden/>
    <w:unhideWhenUsed/>
    <w:rsid w:val="009C3971"/>
    <w:rPr>
      <w:color w:val="605E5C"/>
      <w:shd w:val="clear" w:color="auto" w:fill="E1DFDD"/>
    </w:rPr>
  </w:style>
  <w:style w:type="paragraph" w:styleId="BalloonText">
    <w:name w:val="Balloon Text"/>
    <w:basedOn w:val="Normal"/>
    <w:link w:val="BalloonTextChar"/>
    <w:uiPriority w:val="99"/>
    <w:semiHidden/>
    <w:unhideWhenUsed/>
    <w:rsid w:val="005F79AB"/>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79AB"/>
    <w:rPr>
      <w:rFonts w:ascii="Segoe UI" w:hAnsi="Segoe UI" w:cs="Segoe UI"/>
      <w:sz w:val="18"/>
      <w:szCs w:val="18"/>
      <w:lang w:val="fi-FI"/>
    </w:rPr>
  </w:style>
  <w:style w:type="paragraph" w:styleId="Revision">
    <w:name w:val="Revision"/>
    <w:hidden/>
    <w:uiPriority w:val="99"/>
    <w:semiHidden/>
    <w:rsid w:val="00090F84"/>
    <w:pPr>
      <w:spacing w:after="0" w:line="240" w:lineRule="auto"/>
    </w:pPr>
    <w:rPr>
      <w:rFonts w:ascii="Times New Roman" w:hAnsi="Times New Roman" w:cs="Times New Roman"/>
      <w:sz w:val="24"/>
    </w:rPr>
  </w:style>
  <w:style w:type="character" w:styleId="FollowedHyperlink">
    <w:name w:val="FollowedHyperlink"/>
    <w:basedOn w:val="DefaultParagraphFont"/>
    <w:uiPriority w:val="99"/>
    <w:semiHidden/>
    <w:unhideWhenUsed/>
    <w:rsid w:val="00426704"/>
    <w:rPr>
      <w:color w:val="800080" w:themeColor="followedHyperlink"/>
      <w:u w:val="single"/>
    </w:rPr>
  </w:style>
  <w:style w:type="paragraph" w:customStyle="1" w:styleId="HeaderSensitivityRight">
    <w:name w:val="Header Sensitivity Right"/>
    <w:basedOn w:val="Normal"/>
    <w:rsid w:val="00FD7739"/>
    <w:pPr>
      <w:spacing w:before="0"/>
      <w:jc w:val="right"/>
    </w:pPr>
    <w:rPr>
      <w:sz w:val="28"/>
    </w:rPr>
  </w:style>
  <w:style w:type="paragraph" w:customStyle="1" w:styleId="SecurityMarking">
    <w:name w:val="SecurityMarking"/>
    <w:basedOn w:val="Normal"/>
    <w:rsid w:val="00FD7739"/>
    <w:pPr>
      <w:spacing w:before="0" w:after="0" w:line="276" w:lineRule="auto"/>
      <w:ind w:left="5103"/>
      <w:jc w:val="left"/>
    </w:pPr>
    <w:rPr>
      <w:sz w:val="28"/>
    </w:rPr>
  </w:style>
  <w:style w:type="paragraph" w:customStyle="1" w:styleId="DateMarking">
    <w:name w:val="DateMarking"/>
    <w:basedOn w:val="Normal"/>
    <w:rsid w:val="00FD7739"/>
    <w:pPr>
      <w:spacing w:before="0" w:after="0" w:line="276" w:lineRule="auto"/>
      <w:ind w:left="5103"/>
      <w:jc w:val="left"/>
    </w:pPr>
    <w:rPr>
      <w:i/>
      <w:sz w:val="28"/>
    </w:rPr>
  </w:style>
  <w:style w:type="paragraph" w:customStyle="1" w:styleId="ReleasableTo">
    <w:name w:val="ReleasableTo"/>
    <w:basedOn w:val="Normal"/>
    <w:rsid w:val="00FD7739"/>
    <w:pPr>
      <w:spacing w:before="0" w:after="0" w:line="276" w:lineRule="auto"/>
      <w:ind w:left="5103"/>
      <w:jc w:val="left"/>
    </w:pPr>
    <w:rPr>
      <w:i/>
      <w:sz w:val="28"/>
    </w:rPr>
  </w:style>
  <w:style w:type="paragraph" w:styleId="Header">
    <w:name w:val="header"/>
    <w:basedOn w:val="Normal"/>
    <w:link w:val="HeaderChar"/>
    <w:uiPriority w:val="99"/>
    <w:unhideWhenUsed/>
    <w:rsid w:val="00DA5DA0"/>
    <w:pPr>
      <w:tabs>
        <w:tab w:val="center" w:pos="4535"/>
        <w:tab w:val="right" w:pos="9071"/>
      </w:tabs>
      <w:spacing w:before="0"/>
    </w:pPr>
  </w:style>
  <w:style w:type="character" w:customStyle="1" w:styleId="HeaderChar">
    <w:name w:val="Header Char"/>
    <w:basedOn w:val="DefaultParagraphFont"/>
    <w:link w:val="Header"/>
    <w:uiPriority w:val="99"/>
    <w:rsid w:val="00DA5DA0"/>
    <w:rPr>
      <w:rFonts w:ascii="Times New Roman" w:hAnsi="Times New Roman" w:cs="Times New Roman"/>
      <w:sz w:val="24"/>
      <w:lang w:val="fi-FI"/>
    </w:rPr>
  </w:style>
  <w:style w:type="paragraph" w:styleId="Footer">
    <w:name w:val="footer"/>
    <w:basedOn w:val="Normal"/>
    <w:link w:val="FooterChar"/>
    <w:uiPriority w:val="99"/>
    <w:unhideWhenUsed/>
    <w:rsid w:val="00DA5DA0"/>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DA5DA0"/>
    <w:rPr>
      <w:rFonts w:ascii="Times New Roman" w:hAnsi="Times New Roman" w:cs="Times New Roman"/>
      <w:sz w:val="24"/>
      <w:lang w:val="fi-FI"/>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DA5DA0"/>
    <w:pPr>
      <w:tabs>
        <w:tab w:val="center" w:pos="7285"/>
        <w:tab w:val="right" w:pos="14003"/>
      </w:tabs>
      <w:spacing w:before="0"/>
    </w:pPr>
  </w:style>
  <w:style w:type="paragraph" w:customStyle="1" w:styleId="FooterLandscape">
    <w:name w:val="FooterLandscape"/>
    <w:basedOn w:val="Normal"/>
    <w:rsid w:val="00DA5DA0"/>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DA5DA0"/>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DA5DA0"/>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10"/>
      </w:numPr>
    </w:pPr>
  </w:style>
  <w:style w:type="paragraph" w:customStyle="1" w:styleId="Tiret1">
    <w:name w:val="Tiret 1"/>
    <w:basedOn w:val="Point1"/>
    <w:rsid w:val="00877878"/>
    <w:pPr>
      <w:numPr>
        <w:numId w:val="11"/>
      </w:numPr>
    </w:pPr>
  </w:style>
  <w:style w:type="paragraph" w:customStyle="1" w:styleId="Tiret2">
    <w:name w:val="Tiret 2"/>
    <w:basedOn w:val="Point2"/>
    <w:rsid w:val="00877878"/>
    <w:pPr>
      <w:numPr>
        <w:numId w:val="12"/>
      </w:numPr>
    </w:pPr>
  </w:style>
  <w:style w:type="paragraph" w:customStyle="1" w:styleId="Tiret3">
    <w:name w:val="Tiret 3"/>
    <w:basedOn w:val="Point3"/>
    <w:rsid w:val="00877878"/>
    <w:pPr>
      <w:numPr>
        <w:numId w:val="13"/>
      </w:numPr>
    </w:pPr>
  </w:style>
  <w:style w:type="paragraph" w:customStyle="1" w:styleId="Tiret4">
    <w:name w:val="Tiret 4"/>
    <w:basedOn w:val="Point4"/>
    <w:rsid w:val="00877878"/>
    <w:pPr>
      <w:numPr>
        <w:numId w:val="14"/>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30"/>
      </w:numPr>
    </w:pPr>
  </w:style>
  <w:style w:type="paragraph" w:customStyle="1" w:styleId="NumPar2">
    <w:name w:val="NumPar 2"/>
    <w:basedOn w:val="Normal"/>
    <w:next w:val="Text1"/>
    <w:rsid w:val="00877878"/>
    <w:pPr>
      <w:numPr>
        <w:ilvl w:val="1"/>
        <w:numId w:val="30"/>
      </w:numPr>
    </w:pPr>
  </w:style>
  <w:style w:type="paragraph" w:customStyle="1" w:styleId="NumPar3">
    <w:name w:val="NumPar 3"/>
    <w:basedOn w:val="Normal"/>
    <w:next w:val="Text1"/>
    <w:rsid w:val="00877878"/>
    <w:pPr>
      <w:numPr>
        <w:ilvl w:val="2"/>
        <w:numId w:val="30"/>
      </w:numPr>
    </w:pPr>
  </w:style>
  <w:style w:type="paragraph" w:customStyle="1" w:styleId="NumPar4">
    <w:name w:val="NumPar 4"/>
    <w:basedOn w:val="Normal"/>
    <w:next w:val="Text1"/>
    <w:rsid w:val="00877878"/>
    <w:pPr>
      <w:numPr>
        <w:ilvl w:val="3"/>
        <w:numId w:val="30"/>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17"/>
      </w:numPr>
    </w:pPr>
  </w:style>
  <w:style w:type="paragraph" w:customStyle="1" w:styleId="Point1number">
    <w:name w:val="Point 1 (number)"/>
    <w:basedOn w:val="Normal"/>
    <w:rsid w:val="00877878"/>
    <w:pPr>
      <w:numPr>
        <w:ilvl w:val="2"/>
        <w:numId w:val="17"/>
      </w:numPr>
    </w:pPr>
  </w:style>
  <w:style w:type="paragraph" w:customStyle="1" w:styleId="Point2number">
    <w:name w:val="Point 2 (number)"/>
    <w:basedOn w:val="Normal"/>
    <w:rsid w:val="00877878"/>
    <w:pPr>
      <w:numPr>
        <w:ilvl w:val="4"/>
        <w:numId w:val="17"/>
      </w:numPr>
    </w:pPr>
  </w:style>
  <w:style w:type="paragraph" w:customStyle="1" w:styleId="Point3number">
    <w:name w:val="Point 3 (number)"/>
    <w:basedOn w:val="Normal"/>
    <w:rsid w:val="00877878"/>
    <w:pPr>
      <w:numPr>
        <w:ilvl w:val="6"/>
        <w:numId w:val="17"/>
      </w:numPr>
    </w:pPr>
  </w:style>
  <w:style w:type="paragraph" w:customStyle="1" w:styleId="Point0letter">
    <w:name w:val="Point 0 (letter)"/>
    <w:basedOn w:val="Normal"/>
    <w:rsid w:val="00877878"/>
    <w:pPr>
      <w:numPr>
        <w:ilvl w:val="1"/>
        <w:numId w:val="17"/>
      </w:numPr>
    </w:pPr>
  </w:style>
  <w:style w:type="paragraph" w:customStyle="1" w:styleId="Point1letter">
    <w:name w:val="Point 1 (letter)"/>
    <w:basedOn w:val="Normal"/>
    <w:rsid w:val="00877878"/>
    <w:pPr>
      <w:numPr>
        <w:ilvl w:val="3"/>
        <w:numId w:val="17"/>
      </w:numPr>
    </w:pPr>
  </w:style>
  <w:style w:type="paragraph" w:customStyle="1" w:styleId="Point2letter">
    <w:name w:val="Point 2 (letter)"/>
    <w:basedOn w:val="Normal"/>
    <w:rsid w:val="00877878"/>
    <w:pPr>
      <w:numPr>
        <w:ilvl w:val="5"/>
        <w:numId w:val="17"/>
      </w:numPr>
    </w:pPr>
  </w:style>
  <w:style w:type="paragraph" w:customStyle="1" w:styleId="Point3letter">
    <w:name w:val="Point 3 (letter)"/>
    <w:basedOn w:val="Normal"/>
    <w:rsid w:val="00877878"/>
    <w:pPr>
      <w:numPr>
        <w:ilvl w:val="7"/>
        <w:numId w:val="17"/>
      </w:numPr>
    </w:pPr>
  </w:style>
  <w:style w:type="paragraph" w:customStyle="1" w:styleId="Point4letter">
    <w:name w:val="Point 4 (letter)"/>
    <w:basedOn w:val="Normal"/>
    <w:rsid w:val="00877878"/>
    <w:pPr>
      <w:numPr>
        <w:ilvl w:val="8"/>
        <w:numId w:val="17"/>
      </w:numPr>
    </w:pPr>
  </w:style>
  <w:style w:type="paragraph" w:customStyle="1" w:styleId="Bullet0">
    <w:name w:val="Bullet 0"/>
    <w:basedOn w:val="Normal"/>
    <w:rsid w:val="00877878"/>
    <w:pPr>
      <w:numPr>
        <w:numId w:val="18"/>
      </w:numPr>
    </w:pPr>
  </w:style>
  <w:style w:type="paragraph" w:customStyle="1" w:styleId="Bullet1">
    <w:name w:val="Bullet 1"/>
    <w:basedOn w:val="Normal"/>
    <w:rsid w:val="00877878"/>
    <w:pPr>
      <w:numPr>
        <w:numId w:val="19"/>
      </w:numPr>
    </w:pPr>
  </w:style>
  <w:style w:type="paragraph" w:customStyle="1" w:styleId="Bullet2">
    <w:name w:val="Bullet 2"/>
    <w:basedOn w:val="Normal"/>
    <w:rsid w:val="00877878"/>
    <w:pPr>
      <w:numPr>
        <w:numId w:val="20"/>
      </w:numPr>
    </w:pPr>
  </w:style>
  <w:style w:type="paragraph" w:customStyle="1" w:styleId="Bullet3">
    <w:name w:val="Bullet 3"/>
    <w:basedOn w:val="Normal"/>
    <w:rsid w:val="00877878"/>
    <w:pPr>
      <w:numPr>
        <w:numId w:val="21"/>
      </w:numPr>
    </w:pPr>
  </w:style>
  <w:style w:type="paragraph" w:customStyle="1" w:styleId="Bullet4">
    <w:name w:val="Bullet 4"/>
    <w:basedOn w:val="Normal"/>
    <w:rsid w:val="00877878"/>
    <w:pPr>
      <w:numPr>
        <w:numId w:val="22"/>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23"/>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 w:type="character" w:customStyle="1" w:styleId="Heading5Char">
    <w:name w:val="Heading 5 Char"/>
    <w:basedOn w:val="DefaultParagraphFont"/>
    <w:link w:val="Heading5"/>
    <w:uiPriority w:val="9"/>
    <w:semiHidden/>
    <w:rsid w:val="00022C95"/>
    <w:rPr>
      <w:rFonts w:ascii="Times New Roman" w:eastAsiaTheme="majorEastAsia" w:hAnsi="Times New Roman" w:cs="Times New Roman"/>
      <w:sz w:val="24"/>
      <w:lang w:val="fi-FI"/>
    </w:rPr>
  </w:style>
  <w:style w:type="character" w:customStyle="1" w:styleId="Heading6Char">
    <w:name w:val="Heading 6 Char"/>
    <w:basedOn w:val="DefaultParagraphFont"/>
    <w:link w:val="Heading6"/>
    <w:uiPriority w:val="9"/>
    <w:semiHidden/>
    <w:rsid w:val="00022C95"/>
    <w:rPr>
      <w:rFonts w:ascii="Times New Roman" w:eastAsiaTheme="majorEastAsia" w:hAnsi="Times New Roman" w:cs="Times New Roman"/>
      <w:iCs/>
      <w:sz w:val="24"/>
      <w:lang w:val="fi-FI"/>
    </w:rPr>
  </w:style>
  <w:style w:type="character" w:customStyle="1" w:styleId="Heading7Char">
    <w:name w:val="Heading 7 Char"/>
    <w:basedOn w:val="DefaultParagraphFont"/>
    <w:link w:val="Heading7"/>
    <w:uiPriority w:val="9"/>
    <w:semiHidden/>
    <w:rsid w:val="00022C95"/>
    <w:rPr>
      <w:rFonts w:ascii="Times New Roman" w:eastAsiaTheme="majorEastAsia" w:hAnsi="Times New Roman" w:cs="Times New Roman"/>
      <w:iCs/>
      <w:sz w:val="24"/>
      <w:lang w:val="fi-FI"/>
    </w:rPr>
  </w:style>
  <w:style w:type="paragraph" w:customStyle="1" w:styleId="ManualHeading5">
    <w:name w:val="Manual Heading 5"/>
    <w:basedOn w:val="Normal"/>
    <w:next w:val="Text2"/>
    <w:rsid w:val="00022C95"/>
    <w:pPr>
      <w:keepNext/>
      <w:tabs>
        <w:tab w:val="left" w:pos="1417"/>
      </w:tabs>
      <w:ind w:left="1417" w:hanging="1417"/>
      <w:outlineLvl w:val="4"/>
    </w:pPr>
  </w:style>
  <w:style w:type="paragraph" w:customStyle="1" w:styleId="ManualHeading6">
    <w:name w:val="Manual Heading 6"/>
    <w:basedOn w:val="Normal"/>
    <w:next w:val="Text2"/>
    <w:rsid w:val="00022C95"/>
    <w:pPr>
      <w:keepNext/>
      <w:tabs>
        <w:tab w:val="left" w:pos="1417"/>
      </w:tabs>
      <w:ind w:left="1417" w:hanging="1417"/>
      <w:outlineLvl w:val="5"/>
    </w:pPr>
  </w:style>
  <w:style w:type="paragraph" w:customStyle="1" w:styleId="ManualHeading7">
    <w:name w:val="Manual Heading 7"/>
    <w:basedOn w:val="Normal"/>
    <w:next w:val="Text2"/>
    <w:rsid w:val="00022C95"/>
    <w:pPr>
      <w:keepNext/>
      <w:tabs>
        <w:tab w:val="left" w:pos="1417"/>
      </w:tabs>
      <w:ind w:left="1417" w:hanging="1417"/>
      <w:outlineLvl w:val="6"/>
    </w:pPr>
  </w:style>
  <w:style w:type="paragraph" w:customStyle="1" w:styleId="Text5">
    <w:name w:val="Text 5"/>
    <w:basedOn w:val="Normal"/>
    <w:rsid w:val="00022C95"/>
    <w:pPr>
      <w:ind w:left="3118"/>
    </w:pPr>
  </w:style>
  <w:style w:type="paragraph" w:customStyle="1" w:styleId="Text6">
    <w:name w:val="Text 6"/>
    <w:basedOn w:val="Normal"/>
    <w:rsid w:val="00022C95"/>
    <w:pPr>
      <w:ind w:left="3685"/>
    </w:pPr>
  </w:style>
  <w:style w:type="paragraph" w:customStyle="1" w:styleId="Point5">
    <w:name w:val="Point 5"/>
    <w:basedOn w:val="Normal"/>
    <w:rsid w:val="00022C95"/>
    <w:pPr>
      <w:ind w:left="3685" w:hanging="567"/>
    </w:pPr>
  </w:style>
  <w:style w:type="paragraph" w:customStyle="1" w:styleId="Tiret5">
    <w:name w:val="Tiret 5"/>
    <w:basedOn w:val="Point5"/>
    <w:rsid w:val="00022C95"/>
    <w:pPr>
      <w:numPr>
        <w:numId w:val="27"/>
      </w:numPr>
    </w:pPr>
  </w:style>
  <w:style w:type="paragraph" w:customStyle="1" w:styleId="NumPar5">
    <w:name w:val="NumPar 5"/>
    <w:basedOn w:val="Normal"/>
    <w:next w:val="Text2"/>
    <w:rsid w:val="00022C95"/>
    <w:pPr>
      <w:numPr>
        <w:ilvl w:val="4"/>
        <w:numId w:val="30"/>
      </w:numPr>
    </w:pPr>
  </w:style>
  <w:style w:type="paragraph" w:customStyle="1" w:styleId="NumPar6">
    <w:name w:val="NumPar 6"/>
    <w:basedOn w:val="Normal"/>
    <w:next w:val="Text2"/>
    <w:rsid w:val="00022C95"/>
    <w:pPr>
      <w:numPr>
        <w:ilvl w:val="5"/>
        <w:numId w:val="30"/>
      </w:numPr>
    </w:pPr>
  </w:style>
  <w:style w:type="paragraph" w:customStyle="1" w:styleId="NumPar7">
    <w:name w:val="NumPar 7"/>
    <w:basedOn w:val="Normal"/>
    <w:next w:val="Text2"/>
    <w:rsid w:val="00022C95"/>
    <w:pPr>
      <w:numPr>
        <w:ilvl w:val="6"/>
        <w:numId w:val="30"/>
      </w:numPr>
    </w:pPr>
  </w:style>
  <w:style w:type="paragraph" w:customStyle="1" w:styleId="ManualNumPar5">
    <w:name w:val="Manual NumPar 5"/>
    <w:basedOn w:val="Normal"/>
    <w:next w:val="Text2"/>
    <w:rsid w:val="00022C95"/>
    <w:pPr>
      <w:ind w:left="1417" w:hanging="1417"/>
    </w:pPr>
  </w:style>
  <w:style w:type="paragraph" w:customStyle="1" w:styleId="ManualNumPar6">
    <w:name w:val="Manual NumPar 6"/>
    <w:basedOn w:val="Normal"/>
    <w:next w:val="Text2"/>
    <w:rsid w:val="00022C95"/>
    <w:pPr>
      <w:ind w:left="1417" w:hanging="1417"/>
    </w:pPr>
  </w:style>
  <w:style w:type="paragraph" w:customStyle="1" w:styleId="ManualNumPar7">
    <w:name w:val="Manual NumPar 7"/>
    <w:basedOn w:val="Normal"/>
    <w:next w:val="Text2"/>
    <w:rsid w:val="00022C95"/>
    <w:pPr>
      <w:ind w:left="1417" w:hanging="141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017256">
      <w:bodyDiv w:val="1"/>
      <w:marLeft w:val="0"/>
      <w:marRight w:val="0"/>
      <w:marTop w:val="0"/>
      <w:marBottom w:val="0"/>
      <w:divBdr>
        <w:top w:val="none" w:sz="0" w:space="0" w:color="auto"/>
        <w:left w:val="none" w:sz="0" w:space="0" w:color="auto"/>
        <w:bottom w:val="none" w:sz="0" w:space="0" w:color="auto"/>
        <w:right w:val="none" w:sz="0" w:space="0" w:color="auto"/>
      </w:divBdr>
    </w:div>
    <w:div w:id="134442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19"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1</TotalTime>
  <Pages>3</Pages>
  <Words>337</Words>
  <Characters>2680</Characters>
  <Application>Microsoft Office Word</Application>
  <DocSecurity>0</DocSecurity>
  <Lines>52</Lines>
  <Paragraphs>28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VAPPER Rea (FISMA)</dc:creator>
  <cp:keywords/>
  <dc:description/>
  <cp:lastModifiedBy>VAPPER Rea (FISMA)</cp:lastModifiedBy>
  <cp:revision>2</cp:revision>
  <dcterms:created xsi:type="dcterms:W3CDTF">2022-03-08T14:51:00Z</dcterms:created>
  <dcterms:modified xsi:type="dcterms:W3CDTF">2022-03-08T14:51:00Z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7.0.1, Build 20200226</vt:lpwstr>
  </property>
  <property fmtid="{D5CDD505-2E9C-101B-9397-08002B2CF9AE}" pid="5" name="Created using">
    <vt:lpwstr>LW 7.0.1, Build 20190916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