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4D4616FB" w:rsidR="001C2816" w:rsidRPr="000D523F" w:rsidRDefault="00215124" w:rsidP="00F733F7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7D0A1B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6F29E3E0-03F3-4474-B033-CCD79C59DC5F" style="width:455.35pt;height:426pt">
            <v:imagedata r:id="rId7" o:title=""/>
          </v:shape>
        </w:pict>
      </w:r>
    </w:p>
    <w:p w14:paraId="66835F60" w14:textId="77777777" w:rsidR="00745799" w:rsidRPr="000D523F" w:rsidRDefault="00745799">
      <w:pPr>
        <w:rPr>
          <w:noProof/>
        </w:rPr>
        <w:sectPr w:rsidR="00745799" w:rsidRPr="000D523F" w:rsidSect="00F733F7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0ED77D70" w:rsidR="00745799" w:rsidRPr="000D523F" w:rsidRDefault="000D523F" w:rsidP="000D523F">
      <w:pPr>
        <w:pStyle w:val="Typedudocument"/>
        <w:rPr>
          <w:noProof/>
        </w:rPr>
      </w:pPr>
      <w:r w:rsidRPr="000D523F">
        <w:rPr>
          <w:noProof/>
        </w:rPr>
        <w:lastRenderedPageBreak/>
        <w:t>PROVEDBENA UREDBA KOMISIJE (EU) …/...</w:t>
      </w:r>
    </w:p>
    <w:p w14:paraId="5FDAE07D" w14:textId="14BCE92A" w:rsidR="00745799" w:rsidRPr="000D523F" w:rsidRDefault="006426F3" w:rsidP="000D523F">
      <w:pPr>
        <w:pStyle w:val="Datedadoption"/>
        <w:rPr>
          <w:noProof/>
        </w:rPr>
      </w:pPr>
      <w:r>
        <w:t>оd 3.3.2022.</w:t>
      </w:r>
    </w:p>
    <w:p w14:paraId="6AE2FFE3" w14:textId="4814FE45" w:rsidR="00745799" w:rsidRPr="000D523F" w:rsidRDefault="000D523F" w:rsidP="000D523F">
      <w:pPr>
        <w:pStyle w:val="Titreobjet"/>
        <w:rPr>
          <w:noProof/>
        </w:rPr>
      </w:pPr>
      <w:r w:rsidRPr="000D523F">
        <w:rPr>
          <w:noProof/>
        </w:rPr>
        <w:t xml:space="preserve">o izmjeni Provedbene uredbe Komisije (EU) 2018/1624 o utvrđivanju provedbenih tehničkih standarda u pogledu postupaka te standardnih obrazaca i predložaka za pružanje informacija za potrebe planova sanacije kreditnih institucija i investicijskih društava u skladu s Direktivom 2014/59/EU Europskog parlamenta i Vijeća </w:t>
      </w:r>
      <w:r w:rsidRPr="000D523F">
        <w:rPr>
          <w:noProof/>
        </w:rPr>
        <w:br/>
      </w:r>
    </w:p>
    <w:p w14:paraId="217F978F" w14:textId="7E52ED3A" w:rsidR="00745799" w:rsidRPr="000D523F" w:rsidRDefault="000D523F" w:rsidP="000D523F">
      <w:pPr>
        <w:pStyle w:val="IntrtEEE"/>
        <w:rPr>
          <w:noProof/>
        </w:rPr>
      </w:pPr>
      <w:r w:rsidRPr="000D523F">
        <w:rPr>
          <w:noProof/>
        </w:rPr>
        <w:t>(Tekst značajan za EGP)</w:t>
      </w:r>
    </w:p>
    <w:p w14:paraId="36E61899" w14:textId="77777777" w:rsidR="00745799" w:rsidRPr="000D523F" w:rsidRDefault="00745799" w:rsidP="004E1EF9">
      <w:pPr>
        <w:pStyle w:val="Institutionquiagit"/>
        <w:rPr>
          <w:noProof/>
        </w:rPr>
      </w:pPr>
      <w:r w:rsidRPr="000D523F">
        <w:rPr>
          <w:noProof/>
        </w:rPr>
        <w:t>EUROPSKA KOMISIJA,</w:t>
      </w:r>
    </w:p>
    <w:p w14:paraId="344A82A5" w14:textId="77777777" w:rsidR="00745799" w:rsidRPr="000D523F" w:rsidRDefault="00745799" w:rsidP="004E1EF9">
      <w:pPr>
        <w:rPr>
          <w:noProof/>
        </w:rPr>
      </w:pPr>
      <w:r w:rsidRPr="000D523F">
        <w:rPr>
          <w:noProof/>
        </w:rPr>
        <w:t>uzimajući u obzir Ugovor o funkcioniranju Europske unije,</w:t>
      </w:r>
    </w:p>
    <w:p w14:paraId="2982BE59" w14:textId="5250076C" w:rsidR="00745799" w:rsidRPr="000D523F" w:rsidRDefault="00745799" w:rsidP="004E1EF9">
      <w:pPr>
        <w:rPr>
          <w:noProof/>
        </w:rPr>
      </w:pPr>
      <w:r w:rsidRPr="000D523F">
        <w:rPr>
          <w:noProof/>
        </w:rPr>
        <w:t>uzimajući u obzir Direktivu 2014/59/EU Europskog parlamenta i Vijeća o uspostavi okvira za oporavak i sanaciju kreditnih institucija i investicijskih društava te o izmjeni Direktive Vijeća 82/891/EEZ i direktiva 2001/24/EZ, 2002/47/EZ, 2004/25/EZ, 2005/56/EZ, 2007/36/EZ, 2011/35/EU, 2012/30/EU i 2013/36/EU te uredbi (EU) br. 1093/2010 i (EU) br. 648/2012 Europskog parlamenta i Vijeća</w:t>
      </w:r>
      <w:r w:rsidRPr="000D523F">
        <w:rPr>
          <w:rStyle w:val="FootnoteReference"/>
          <w:noProof/>
        </w:rPr>
        <w:footnoteReference w:id="1"/>
      </w:r>
      <w:r w:rsidRPr="000D523F">
        <w:rPr>
          <w:noProof/>
        </w:rPr>
        <w:t>, a posebno njezin članak 11. stavak 3.,</w:t>
      </w:r>
    </w:p>
    <w:p w14:paraId="3303916E" w14:textId="77777777" w:rsidR="00745799" w:rsidRPr="000D523F" w:rsidRDefault="00745799" w:rsidP="004E1EF9">
      <w:pPr>
        <w:rPr>
          <w:noProof/>
        </w:rPr>
      </w:pPr>
      <w:r w:rsidRPr="000D523F">
        <w:rPr>
          <w:noProof/>
        </w:rPr>
        <w:t>budući da:</w:t>
      </w:r>
    </w:p>
    <w:p w14:paraId="2AEEF6BD" w14:textId="4ED152F9" w:rsidR="00745799" w:rsidRPr="000D523F" w:rsidRDefault="00E800F9" w:rsidP="00E800F9">
      <w:pPr>
        <w:pStyle w:val="ManualConsidrant"/>
        <w:rPr>
          <w:noProof/>
        </w:rPr>
      </w:pPr>
      <w:r w:rsidRPr="00E800F9">
        <w:t>(1)</w:t>
      </w:r>
      <w:r w:rsidRPr="00E800F9">
        <w:tab/>
      </w:r>
      <w:r w:rsidR="00745799" w:rsidRPr="000D523F">
        <w:rPr>
          <w:noProof/>
        </w:rPr>
        <w:t>Direktivom (EU) 2019/879 Europskog parlamenta i Vijeća</w:t>
      </w:r>
      <w:r w:rsidR="00745799" w:rsidRPr="000D523F">
        <w:rPr>
          <w:rStyle w:val="FootnoteReference"/>
          <w:noProof/>
        </w:rPr>
        <w:footnoteReference w:id="2"/>
      </w:r>
      <w:r w:rsidR="00745799" w:rsidRPr="000D523F">
        <w:rPr>
          <w:noProof/>
        </w:rPr>
        <w:t xml:space="preserve"> uvedene su određene izmjene minimalnog zahtjeva za regulatorni kapital i prihvatljive obveze utvrđenog u Direktivi 2014/59/EU. Informacije o sposobnosti institucija da ispune taj zahtjev u ograničenoj se mjeri razmatraju i u kontekstu planiranja sanacije.</w:t>
      </w:r>
    </w:p>
    <w:p w14:paraId="4C198264" w14:textId="705382E4" w:rsidR="00745799" w:rsidRPr="000D523F" w:rsidRDefault="00E800F9" w:rsidP="00E800F9">
      <w:pPr>
        <w:pStyle w:val="ManualConsidrant"/>
        <w:rPr>
          <w:noProof/>
        </w:rPr>
      </w:pPr>
      <w:r w:rsidRPr="00E800F9">
        <w:t>(2)</w:t>
      </w:r>
      <w:r w:rsidRPr="00E800F9">
        <w:tab/>
      </w:r>
      <w:r w:rsidR="005F79AB" w:rsidRPr="000D523F">
        <w:rPr>
          <w:noProof/>
        </w:rPr>
        <w:t>Provedbenu uredbu Komisije (EU) 2018/1624</w:t>
      </w:r>
      <w:r w:rsidR="005F79AB" w:rsidRPr="000D523F">
        <w:rPr>
          <w:rStyle w:val="FootnoteReference"/>
          <w:noProof/>
        </w:rPr>
        <w:footnoteReference w:id="3"/>
      </w:r>
      <w:r w:rsidR="005F79AB" w:rsidRPr="000D523F">
        <w:rPr>
          <w:noProof/>
        </w:rPr>
        <w:t xml:space="preserve"> trebalo bi stoga na odgovarajući način izmijeniti.</w:t>
      </w:r>
    </w:p>
    <w:p w14:paraId="2F996AE9" w14:textId="1A3EA52E" w:rsidR="00745799" w:rsidRPr="000D523F" w:rsidRDefault="00E800F9" w:rsidP="00E800F9">
      <w:pPr>
        <w:pStyle w:val="ManualConsidrant"/>
        <w:rPr>
          <w:noProof/>
        </w:rPr>
      </w:pPr>
      <w:r w:rsidRPr="00E800F9">
        <w:t>(3)</w:t>
      </w:r>
      <w:r w:rsidRPr="00E800F9">
        <w:tab/>
      </w:r>
      <w:r w:rsidR="00745799" w:rsidRPr="000D523F">
        <w:rPr>
          <w:noProof/>
        </w:rPr>
        <w:t xml:space="preserve">Ova se Uredba temelji na nacrtu provedbenih tehničkih standarda koji je Komisiji dostavilo Europsko nadzorno tijelo za bankarstvo (EBA). </w:t>
      </w:r>
    </w:p>
    <w:p w14:paraId="505703BE" w14:textId="3EDF5EA5" w:rsidR="00745799" w:rsidRPr="000D523F" w:rsidRDefault="00E800F9" w:rsidP="00E800F9">
      <w:pPr>
        <w:pStyle w:val="ManualConsidrant"/>
        <w:rPr>
          <w:noProof/>
        </w:rPr>
      </w:pPr>
      <w:r w:rsidRPr="00E800F9">
        <w:t>(4)</w:t>
      </w:r>
      <w:r w:rsidRPr="00E800F9">
        <w:tab/>
      </w:r>
      <w:r w:rsidR="00745799" w:rsidRPr="000D523F">
        <w:rPr>
          <w:noProof/>
        </w:rPr>
        <w:t xml:space="preserve">EBA nije provela otvorena javna savjetovanja o nacrtu provedbenih tehničkih standarda na kojem se temelji ova Uredba ni analizirala moguće povezane troškove i koristi jer je smatrala da bi to bilo nerazmjerno s obzirom na vrlo ograničeno područje primjene, mali broj i učinak izmjena te činjenicu da izmjene uključuju samo ažuriranje upućivanja na Direktivu 2014/59/EU, dvije nove stavke koje treba iskazati i manje izmjene radi uklanjanja tehničkih prepreka izvješćivanju. EBA je zatražila savjet </w:t>
      </w:r>
      <w:r w:rsidR="00745799" w:rsidRPr="000D523F">
        <w:rPr>
          <w:noProof/>
        </w:rPr>
        <w:lastRenderedPageBreak/>
        <w:t>Interesne skupine za bankarstvo, osnovane u skladu s člankom 37. Uredbe (EU) br. 1093/2010 Europskog parlamenta i Vijeća</w:t>
      </w:r>
      <w:r w:rsidR="00745799" w:rsidRPr="000D523F">
        <w:rPr>
          <w:rStyle w:val="FootnoteReference"/>
          <w:noProof/>
        </w:rPr>
        <w:footnoteReference w:id="4"/>
      </w:r>
      <w:r w:rsidR="00745799" w:rsidRPr="000D523F">
        <w:rPr>
          <w:noProof/>
        </w:rPr>
        <w:t>,</w:t>
      </w:r>
    </w:p>
    <w:p w14:paraId="3F0100F6" w14:textId="77777777" w:rsidR="00745799" w:rsidRPr="000D523F" w:rsidRDefault="00745799" w:rsidP="004E1EF9">
      <w:pPr>
        <w:pStyle w:val="Formuledadoption"/>
        <w:rPr>
          <w:noProof/>
        </w:rPr>
      </w:pPr>
      <w:r w:rsidRPr="000D523F">
        <w:rPr>
          <w:noProof/>
        </w:rPr>
        <w:t>DONIJELA JE OVU UREDBU:</w:t>
      </w:r>
    </w:p>
    <w:p w14:paraId="248EA0A8" w14:textId="77777777" w:rsidR="00745799" w:rsidRPr="000D523F" w:rsidRDefault="00745799" w:rsidP="004E1EF9">
      <w:pPr>
        <w:pStyle w:val="Titrearticle"/>
        <w:rPr>
          <w:noProof/>
        </w:rPr>
      </w:pPr>
      <w:r w:rsidRPr="000D523F">
        <w:rPr>
          <w:noProof/>
        </w:rPr>
        <w:t>Članak 1.</w:t>
      </w:r>
    </w:p>
    <w:p w14:paraId="0EB604DB" w14:textId="07D2792D" w:rsidR="00745799" w:rsidRPr="000D523F" w:rsidRDefault="00745799" w:rsidP="004E1EF9">
      <w:pPr>
        <w:rPr>
          <w:noProof/>
        </w:rPr>
      </w:pPr>
      <w:r w:rsidRPr="000D523F">
        <w:rPr>
          <w:noProof/>
        </w:rPr>
        <w:t>Provedbena uredba (EU) 2018/1624 mijenja se kako slijedi:</w:t>
      </w:r>
    </w:p>
    <w:p w14:paraId="6C2E9789" w14:textId="3AFAB430" w:rsidR="002E04D0" w:rsidRPr="000D523F" w:rsidRDefault="00E800F9" w:rsidP="00E800F9">
      <w:pPr>
        <w:pStyle w:val="Point0"/>
        <w:rPr>
          <w:noProof/>
        </w:rPr>
      </w:pPr>
      <w:r w:rsidRPr="00E800F9">
        <w:t>(1)</w:t>
      </w:r>
      <w:r w:rsidRPr="00E800F9">
        <w:tab/>
      </w:r>
      <w:r w:rsidR="00745799" w:rsidRPr="000D523F">
        <w:rPr>
          <w:noProof/>
        </w:rPr>
        <w:t>Prilog I. mijenja se kako slijedi:</w:t>
      </w:r>
    </w:p>
    <w:p w14:paraId="307F7177" w14:textId="6D178949" w:rsidR="00745799" w:rsidRPr="000D523F" w:rsidRDefault="00E800F9" w:rsidP="00E800F9">
      <w:pPr>
        <w:pStyle w:val="Point0"/>
        <w:rPr>
          <w:noProof/>
        </w:rPr>
      </w:pPr>
      <w:r w:rsidRPr="00E800F9">
        <w:t>(a)</w:t>
      </w:r>
      <w:r w:rsidRPr="00E800F9">
        <w:tab/>
      </w:r>
      <w:r w:rsidR="002E04D0" w:rsidRPr="000D523F">
        <w:rPr>
          <w:noProof/>
        </w:rPr>
        <w:t>predložak Z 02.00 zamjenjuje se predloškom Z 02.00 iz Priloga I. ovoj Uredbi;</w:t>
      </w:r>
    </w:p>
    <w:p w14:paraId="2AC11875" w14:textId="0E0EE944" w:rsidR="002E04D0" w:rsidRPr="000D523F" w:rsidRDefault="00E800F9" w:rsidP="00E800F9">
      <w:pPr>
        <w:pStyle w:val="Point0"/>
        <w:rPr>
          <w:noProof/>
        </w:rPr>
      </w:pPr>
      <w:r w:rsidRPr="00E800F9">
        <w:t>(b)</w:t>
      </w:r>
      <w:r w:rsidRPr="00E800F9">
        <w:tab/>
      </w:r>
      <w:r w:rsidR="002E04D0" w:rsidRPr="000D523F">
        <w:rPr>
          <w:noProof/>
        </w:rPr>
        <w:t>predložak Z 03.00 zamjenjuje se predloškom Z 03.00 iz Priloga I. ovoj Uredbi.</w:t>
      </w:r>
    </w:p>
    <w:p w14:paraId="60F6BC37" w14:textId="02298639" w:rsidR="00745799" w:rsidRPr="000D523F" w:rsidRDefault="00E800F9" w:rsidP="00E800F9">
      <w:pPr>
        <w:pStyle w:val="Point0"/>
        <w:rPr>
          <w:noProof/>
        </w:rPr>
      </w:pPr>
      <w:r w:rsidRPr="00E800F9">
        <w:t>(2)</w:t>
      </w:r>
      <w:r w:rsidRPr="00E800F9">
        <w:tab/>
      </w:r>
      <w:r w:rsidR="00090F84" w:rsidRPr="000D523F">
        <w:rPr>
          <w:noProof/>
        </w:rPr>
        <w:t xml:space="preserve">Prilog II. zamjenjuje se tekstom iz Priloga II. ovoj Uredbi. </w:t>
      </w:r>
    </w:p>
    <w:p w14:paraId="77E50565" w14:textId="37F839DE" w:rsidR="00745799" w:rsidRPr="000D523F" w:rsidRDefault="00745799" w:rsidP="004E1EF9">
      <w:pPr>
        <w:pStyle w:val="Titrearticle"/>
        <w:rPr>
          <w:noProof/>
          <w:color w:val="000000" w:themeColor="text1"/>
        </w:rPr>
      </w:pPr>
      <w:r w:rsidRPr="000D523F">
        <w:rPr>
          <w:noProof/>
        </w:rPr>
        <w:t>Članak 2.</w:t>
      </w:r>
    </w:p>
    <w:p w14:paraId="280CEA9B" w14:textId="288234FC" w:rsidR="00745799" w:rsidRPr="000D523F" w:rsidRDefault="00745799" w:rsidP="004E1EF9">
      <w:pPr>
        <w:rPr>
          <w:noProof/>
        </w:rPr>
      </w:pPr>
      <w:r w:rsidRPr="000D523F">
        <w:rPr>
          <w:noProof/>
        </w:rPr>
        <w:t xml:space="preserve">Ova Uredba stupa na snagu dvadesetog dana od dana objave u </w:t>
      </w:r>
      <w:r w:rsidRPr="000D523F">
        <w:rPr>
          <w:i/>
          <w:noProof/>
        </w:rPr>
        <w:t>Službenom listu Europske unije</w:t>
      </w:r>
      <w:r w:rsidRPr="000D523F">
        <w:rPr>
          <w:noProof/>
        </w:rPr>
        <w:t>.</w:t>
      </w:r>
    </w:p>
    <w:p w14:paraId="5ED2B21A" w14:textId="77777777" w:rsidR="00745799" w:rsidRPr="000D523F" w:rsidRDefault="00745799" w:rsidP="004E1EF9">
      <w:pPr>
        <w:pStyle w:val="Applicationdirecte"/>
        <w:rPr>
          <w:noProof/>
        </w:rPr>
      </w:pPr>
      <w:r w:rsidRPr="000D523F">
        <w:rPr>
          <w:noProof/>
        </w:rPr>
        <w:t>Ova je Uredba u cijelosti obvezujuća i izravno se primjenjuje u svim državama članicama.</w:t>
      </w:r>
    </w:p>
    <w:p w14:paraId="3D8C8E1A" w14:textId="62CFD6E5" w:rsidR="00745799" w:rsidRPr="000D523F" w:rsidRDefault="00BE25C9" w:rsidP="008A52BB">
      <w:pPr>
        <w:pStyle w:val="Fait"/>
        <w:rPr>
          <w:noProof/>
        </w:rPr>
      </w:pPr>
      <w:r w:rsidRPr="00BE25C9">
        <w:t>Sastavljeno u Bruxellesu 3.3.2022.</w:t>
      </w:r>
    </w:p>
    <w:p w14:paraId="54345AFA" w14:textId="77777777" w:rsidR="00745799" w:rsidRPr="000D523F" w:rsidRDefault="00745799" w:rsidP="008A52BB">
      <w:pPr>
        <w:pStyle w:val="Institutionquisigne"/>
        <w:rPr>
          <w:noProof/>
        </w:rPr>
      </w:pPr>
      <w:r w:rsidRPr="000D523F">
        <w:rPr>
          <w:noProof/>
        </w:rPr>
        <w:tab/>
        <w:t>Za Komisiju</w:t>
      </w:r>
    </w:p>
    <w:p w14:paraId="77E16C5B" w14:textId="789D49EF" w:rsidR="008A5816" w:rsidRPr="000D523F" w:rsidRDefault="00D76E70" w:rsidP="008A52BB">
      <w:pPr>
        <w:pStyle w:val="Personnequisigne"/>
        <w:keepNext/>
        <w:rPr>
          <w:noProof/>
        </w:rPr>
      </w:pPr>
      <w:r>
        <w:tab/>
        <w:t>Predsjednica</w:t>
      </w:r>
      <w:r>
        <w:br/>
      </w:r>
      <w:r>
        <w:tab/>
        <w:t>Ursula VON DER LEYEN</w:t>
      </w:r>
    </w:p>
    <w:p w14:paraId="7793195C" w14:textId="15DA9DB0" w:rsidR="00745799" w:rsidRPr="000D523F" w:rsidRDefault="00745799" w:rsidP="00745799">
      <w:pPr>
        <w:pStyle w:val="Personnequisigne"/>
        <w:rPr>
          <w:noProof/>
        </w:rPr>
      </w:pPr>
    </w:p>
    <w:sectPr w:rsidR="00745799" w:rsidRPr="000D523F" w:rsidSect="00F733F7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C5EFD" w14:textId="77777777" w:rsidR="00745799" w:rsidRDefault="00745799" w:rsidP="00745799">
      <w:pPr>
        <w:spacing w:before="0" w:after="0"/>
      </w:pPr>
      <w:r>
        <w:separator/>
      </w:r>
    </w:p>
  </w:endnote>
  <w:endnote w:type="continuationSeparator" w:id="0">
    <w:p w14:paraId="675C0AA5" w14:textId="77777777" w:rsidR="00745799" w:rsidRDefault="00745799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0056B" w14:textId="35757EFC" w:rsidR="00C52AC5" w:rsidRPr="00F733F7" w:rsidRDefault="00F733F7" w:rsidP="00F733F7">
    <w:pPr>
      <w:pStyle w:val="Footer"/>
      <w:rPr>
        <w:rFonts w:ascii="Arial" w:hAnsi="Arial" w:cs="Arial"/>
        <w:b/>
        <w:sz w:val="48"/>
      </w:rPr>
    </w:pPr>
    <w:r w:rsidRPr="00F733F7">
      <w:rPr>
        <w:rFonts w:ascii="Arial" w:hAnsi="Arial" w:cs="Arial"/>
        <w:b/>
        <w:sz w:val="48"/>
      </w:rPr>
      <w:t>HR</w:t>
    </w:r>
    <w:r w:rsidRPr="00F733F7">
      <w:rPr>
        <w:rFonts w:ascii="Arial" w:hAnsi="Arial" w:cs="Arial"/>
        <w:b/>
        <w:sz w:val="48"/>
      </w:rPr>
      <w:tab/>
    </w:r>
    <w:r w:rsidRPr="00F733F7">
      <w:rPr>
        <w:rFonts w:ascii="Arial" w:hAnsi="Arial" w:cs="Arial"/>
        <w:b/>
        <w:sz w:val="48"/>
      </w:rPr>
      <w:tab/>
    </w:r>
    <w:r w:rsidRPr="00F733F7">
      <w:tab/>
    </w:r>
    <w:r w:rsidRPr="00F733F7">
      <w:rPr>
        <w:rFonts w:ascii="Arial" w:hAnsi="Arial" w:cs="Arial"/>
        <w:b/>
        <w:sz w:val="48"/>
      </w:rPr>
      <w:t>HR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4DE00" w14:textId="72526A91" w:rsidR="00F733F7" w:rsidRPr="00F733F7" w:rsidRDefault="00F733F7" w:rsidP="00F733F7">
    <w:pPr>
      <w:pStyle w:val="Footer"/>
      <w:rPr>
        <w:rFonts w:ascii="Arial" w:hAnsi="Arial" w:cs="Arial"/>
        <w:b/>
        <w:sz w:val="48"/>
      </w:rPr>
    </w:pPr>
    <w:r w:rsidRPr="00F733F7">
      <w:rPr>
        <w:rFonts w:ascii="Arial" w:hAnsi="Arial" w:cs="Arial"/>
        <w:b/>
        <w:sz w:val="48"/>
      </w:rPr>
      <w:t>HR</w:t>
    </w:r>
    <w:r w:rsidRPr="00F733F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215124">
      <w:rPr>
        <w:noProof/>
      </w:rPr>
      <w:t>2</w:t>
    </w:r>
    <w:r>
      <w:fldChar w:fldCharType="end"/>
    </w:r>
    <w:r>
      <w:tab/>
    </w:r>
    <w:r w:rsidRPr="00F733F7">
      <w:tab/>
    </w:r>
    <w:r w:rsidRPr="00F733F7">
      <w:rPr>
        <w:rFonts w:ascii="Arial" w:hAnsi="Arial" w:cs="Arial"/>
        <w:b/>
        <w:sz w:val="48"/>
      </w:rPr>
      <w:t>HR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8DB5D" w14:textId="77777777" w:rsidR="00F733F7" w:rsidRPr="00F733F7" w:rsidRDefault="00F733F7" w:rsidP="00F733F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6848F" w14:textId="77777777" w:rsidR="00745799" w:rsidRDefault="00745799" w:rsidP="00745799">
      <w:pPr>
        <w:spacing w:before="0" w:after="0"/>
      </w:pPr>
      <w:r>
        <w:separator/>
      </w:r>
    </w:p>
  </w:footnote>
  <w:footnote w:type="continuationSeparator" w:id="0">
    <w:p w14:paraId="3876E97E" w14:textId="77777777" w:rsidR="00745799" w:rsidRDefault="00745799" w:rsidP="00745799">
      <w:pPr>
        <w:spacing w:before="0" w:after="0"/>
      </w:pPr>
      <w:r>
        <w:continuationSeparator/>
      </w:r>
    </w:p>
  </w:footnote>
  <w:footnote w:id="1">
    <w:p w14:paraId="052E750F" w14:textId="77777777" w:rsidR="00745799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SL L 173, 12.6.2014., str. 190.</w:t>
      </w:r>
    </w:p>
  </w:footnote>
  <w:footnote w:id="2">
    <w:p w14:paraId="7F45B5AC" w14:textId="6DC04D10" w:rsidR="005F79AB" w:rsidRPr="005F79AB" w:rsidRDefault="005F79AB" w:rsidP="005F79AB">
      <w:pPr>
        <w:pStyle w:val="FootnoteText"/>
      </w:pPr>
      <w:r>
        <w:rPr>
          <w:rStyle w:val="FootnoteReference"/>
        </w:rPr>
        <w:footnoteRef/>
      </w:r>
      <w:r>
        <w:tab/>
        <w:t>Direktiva (EU) 2019/879 Europskog parlamenta i Vijeća od 20. svibnja 2019. o izmjeni Direktive 2014/59/EU u pogledu kapaciteta pokrivanja gubitaka i dokapitalizacije kreditnih institucija i investicijskih društava te Direktive 98/26/EZ (SL L 150, 7.6.2019., str. 296.).</w:t>
      </w:r>
    </w:p>
  </w:footnote>
  <w:footnote w:id="3">
    <w:p w14:paraId="509F65CC" w14:textId="05595D25" w:rsidR="005F79AB" w:rsidRPr="005F79AB" w:rsidRDefault="005F79AB">
      <w:pPr>
        <w:pStyle w:val="FootnoteText"/>
      </w:pPr>
      <w:r>
        <w:rPr>
          <w:rStyle w:val="FootnoteReference"/>
        </w:rPr>
        <w:footnoteRef/>
      </w:r>
      <w:r>
        <w:tab/>
        <w:t>Provedbena uredba Komisije (EU) 2018/1624 od 23. listopada 2018. o utvrđivanju provedbenih tehničkih standarda u pogledu postupaka te standardnih obrazaca i predložaka za pružanje informacija za potrebe planova sanacije kreditnih institucija i investicijskih društava u skladu s Direktivom 2014/59/EU Europskog parlamenta i Vijeća i o stavljanju izvan snage Provedbene uredbe Komisije (EU) 2016/1066 (SL L 277, 7.11.2018., str. 1.).</w:t>
      </w:r>
    </w:p>
  </w:footnote>
  <w:footnote w:id="4">
    <w:p w14:paraId="3537746E" w14:textId="50571182" w:rsidR="00745799" w:rsidRPr="00B64E68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Uredba (EU) br. 1093/2010 Europskog parlamenta i Vijeća od 24. studenoga 2010. o osnivanju europskog nadzornog tijela (Europskog nadzornog tijela za bankarstvo), kojom se izmjenjuje Odluka br. 716/2009/EZ i stavlja izvan snage Odluka Komisije 2009/78/EZ (SL L 331, 15.12.2010., str. 12.).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20"/>
  </w:num>
  <w:num w:numId="26">
    <w:abstractNumId w:val="20"/>
  </w:num>
  <w:num w:numId="27">
    <w:abstractNumId w:val="20"/>
  </w:num>
  <w:num w:numId="28">
    <w:abstractNumId w:val="14"/>
  </w:num>
  <w:num w:numId="29">
    <w:abstractNumId w:val="9"/>
  </w:num>
  <w:num w:numId="30">
    <w:abstractNumId w:val="9"/>
  </w:num>
  <w:num w:numId="3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ttachedTemplate r:id="rId1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7:10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6F29E3E0-03F3-4474-B033-CCD79C59DC5F"/>
    <w:docVar w:name="LW_COVERPAGE_TYPE" w:val="1"/>
    <w:docVar w:name="LW_CROSSREFERENCE" w:val="&lt;UNUSED&gt;"/>
    <w:docVar w:name="LW_DATE.ADOPT.CP" w:val="\u1086?d 3.3.2022."/>
    <w:docVar w:name="LW_DATE.ADOPT.CP_DATEFORMAT" w:val="\u1086?d %DATE%"/>
    <w:docVar w:name="LW_DATE.ADOPT.CP_ISODATE" w:val="2022-03-03"/>
    <w:docVar w:name="LW_DocType" w:val="COM"/>
    <w:docVar w:name="LW_EMISSION" w:val="3.3.2022."/>
    <w:docVar w:name="LW_EMISSION_ISODATE" w:val="2022-03-03"/>
    <w:docVar w:name="LW_EMISSION_LOCATION" w:val="BRX"/>
    <w:docVar w:name="LW_EMISSION_PREFIX" w:val="Bruxelles, "/>
    <w:docVar w:name="LW_EMISSION_SUFFIX" w:val="&lt;EMPTY&gt;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kst značajan za EGP)"/>
    <w:docVar w:name="LW_LANGUE" w:val="HR"/>
    <w:docVar w:name="LW_LANGUESFAISANTFOI.CP" w:val="&lt;UNUSED&gt;"/>
    <w:docVar w:name="LW_LEVEL_OF_SENSITIVITY" w:val="Standard treatment"/>
    <w:docVar w:name="LW_NOM.INST" w:val="EUROPSKA KOMISIJ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o izmjeni Provedbene uredbe Komisije (EU) 2018/1624 o utvrđivanju provedbenih tehničkih standarda u pogledu postupaka te standardnih obrazaca i predložaka za pružanje informacija za potrebe planova sanacije kreditnih institucija i investicijskih društava u skladu s Direktivom 2014/59/EU Europskog parlamenta i Vijeća _x000b_"/>
    <w:docVar w:name="LW_TYPE.DOC.CP" w:val="PROVEDBENA UREDBA KOMISIJE (EU) …/..."/>
    <w:docVar w:name="LwApiVersions" w:val="LW4CoDe 1.23.2.0; LW 8.0, Build 20211117"/>
  </w:docVars>
  <w:rsids>
    <w:rsidRoot w:val="00745799"/>
    <w:rsid w:val="00030008"/>
    <w:rsid w:val="00077B5D"/>
    <w:rsid w:val="00090F84"/>
    <w:rsid w:val="00096F1E"/>
    <w:rsid w:val="000A5309"/>
    <w:rsid w:val="000A7517"/>
    <w:rsid w:val="000D523F"/>
    <w:rsid w:val="000E198E"/>
    <w:rsid w:val="000E5A8D"/>
    <w:rsid w:val="000F0ADA"/>
    <w:rsid w:val="00123B47"/>
    <w:rsid w:val="001838A3"/>
    <w:rsid w:val="001C2816"/>
    <w:rsid w:val="001D72C1"/>
    <w:rsid w:val="00213F5B"/>
    <w:rsid w:val="00215124"/>
    <w:rsid w:val="00232E98"/>
    <w:rsid w:val="002529F8"/>
    <w:rsid w:val="00283253"/>
    <w:rsid w:val="002E04D0"/>
    <w:rsid w:val="003053DC"/>
    <w:rsid w:val="003151E2"/>
    <w:rsid w:val="00333B7B"/>
    <w:rsid w:val="003D725F"/>
    <w:rsid w:val="003E38EA"/>
    <w:rsid w:val="00426704"/>
    <w:rsid w:val="004B08D1"/>
    <w:rsid w:val="004F579B"/>
    <w:rsid w:val="00511345"/>
    <w:rsid w:val="00545B1C"/>
    <w:rsid w:val="005B1217"/>
    <w:rsid w:val="005F79AB"/>
    <w:rsid w:val="00603FDC"/>
    <w:rsid w:val="006426F3"/>
    <w:rsid w:val="006944A9"/>
    <w:rsid w:val="006B3BDB"/>
    <w:rsid w:val="006D5B8E"/>
    <w:rsid w:val="0070128F"/>
    <w:rsid w:val="007170E9"/>
    <w:rsid w:val="00745799"/>
    <w:rsid w:val="00753C08"/>
    <w:rsid w:val="0076684E"/>
    <w:rsid w:val="007C06F6"/>
    <w:rsid w:val="007E3268"/>
    <w:rsid w:val="007F3383"/>
    <w:rsid w:val="00813DCB"/>
    <w:rsid w:val="008A52BB"/>
    <w:rsid w:val="008A5816"/>
    <w:rsid w:val="008B152E"/>
    <w:rsid w:val="008F621A"/>
    <w:rsid w:val="00911DBE"/>
    <w:rsid w:val="009202AA"/>
    <w:rsid w:val="00945758"/>
    <w:rsid w:val="00986B33"/>
    <w:rsid w:val="00987AD5"/>
    <w:rsid w:val="009B7138"/>
    <w:rsid w:val="009C3971"/>
    <w:rsid w:val="00A93D70"/>
    <w:rsid w:val="00B63485"/>
    <w:rsid w:val="00B85498"/>
    <w:rsid w:val="00BE246D"/>
    <w:rsid w:val="00BE25C9"/>
    <w:rsid w:val="00BF17AA"/>
    <w:rsid w:val="00BF5167"/>
    <w:rsid w:val="00C24556"/>
    <w:rsid w:val="00C52AC5"/>
    <w:rsid w:val="00CA6AAF"/>
    <w:rsid w:val="00CF66BB"/>
    <w:rsid w:val="00D40EE6"/>
    <w:rsid w:val="00D4394C"/>
    <w:rsid w:val="00D76E70"/>
    <w:rsid w:val="00D9204E"/>
    <w:rsid w:val="00DF7421"/>
    <w:rsid w:val="00E1798A"/>
    <w:rsid w:val="00E578DB"/>
    <w:rsid w:val="00E800F9"/>
    <w:rsid w:val="00F20062"/>
    <w:rsid w:val="00F733F7"/>
    <w:rsid w:val="00FE52DC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hr-HR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2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2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2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27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545B1C"/>
    <w:pPr>
      <w:keepNext/>
      <w:numPr>
        <w:ilvl w:val="4"/>
        <w:numId w:val="27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545B1C"/>
    <w:pPr>
      <w:keepNext/>
      <w:numPr>
        <w:ilvl w:val="5"/>
        <w:numId w:val="27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545B1C"/>
    <w:pPr>
      <w:keepNext/>
      <w:numPr>
        <w:ilvl w:val="6"/>
        <w:numId w:val="27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hr-HR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hr-HR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733F7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F733F7"/>
    <w:rPr>
      <w:rFonts w:ascii="Times New Roman" w:hAnsi="Times New Roman" w:cs="Times New Roman"/>
      <w:sz w:val="24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F733F7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F733F7"/>
    <w:rPr>
      <w:rFonts w:ascii="Times New Roman" w:hAnsi="Times New Roman" w:cs="Times New Roman"/>
      <w:sz w:val="24"/>
      <w:lang w:val="hr-H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F733F7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F733F7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F733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F733F7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F733F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1"/>
      </w:numPr>
    </w:pPr>
  </w:style>
  <w:style w:type="paragraph" w:customStyle="1" w:styleId="Tiret1">
    <w:name w:val="Tiret 1"/>
    <w:basedOn w:val="Point1"/>
    <w:rsid w:val="009B7138"/>
    <w:pPr>
      <w:numPr>
        <w:numId w:val="12"/>
      </w:numPr>
    </w:pPr>
  </w:style>
  <w:style w:type="paragraph" w:customStyle="1" w:styleId="Tiret2">
    <w:name w:val="Tiret 2"/>
    <w:basedOn w:val="Point2"/>
    <w:rsid w:val="009B7138"/>
    <w:pPr>
      <w:numPr>
        <w:numId w:val="13"/>
      </w:numPr>
    </w:pPr>
  </w:style>
  <w:style w:type="paragraph" w:customStyle="1" w:styleId="Tiret3">
    <w:name w:val="Tiret 3"/>
    <w:basedOn w:val="Point3"/>
    <w:rsid w:val="009B7138"/>
    <w:pPr>
      <w:numPr>
        <w:numId w:val="14"/>
      </w:numPr>
    </w:pPr>
  </w:style>
  <w:style w:type="paragraph" w:customStyle="1" w:styleId="Tiret4">
    <w:name w:val="Tiret 4"/>
    <w:basedOn w:val="Point4"/>
    <w:rsid w:val="009B7138"/>
    <w:pPr>
      <w:numPr>
        <w:numId w:val="15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1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1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18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9B7138"/>
    <w:pPr>
      <w:numPr>
        <w:numId w:val="19"/>
      </w:numPr>
    </w:pPr>
  </w:style>
  <w:style w:type="paragraph" w:customStyle="1" w:styleId="Bullet1">
    <w:name w:val="Bullet 1"/>
    <w:basedOn w:val="Normal"/>
    <w:rsid w:val="009B7138"/>
    <w:pPr>
      <w:numPr>
        <w:numId w:val="20"/>
      </w:numPr>
    </w:pPr>
  </w:style>
  <w:style w:type="paragraph" w:customStyle="1" w:styleId="Bullet2">
    <w:name w:val="Bullet 2"/>
    <w:basedOn w:val="Normal"/>
    <w:rsid w:val="009B7138"/>
    <w:pPr>
      <w:numPr>
        <w:numId w:val="21"/>
      </w:numPr>
    </w:pPr>
  </w:style>
  <w:style w:type="paragraph" w:customStyle="1" w:styleId="Bullet3">
    <w:name w:val="Bullet 3"/>
    <w:basedOn w:val="Normal"/>
    <w:rsid w:val="009B7138"/>
    <w:pPr>
      <w:numPr>
        <w:numId w:val="22"/>
      </w:numPr>
    </w:pPr>
  </w:style>
  <w:style w:type="paragraph" w:customStyle="1" w:styleId="Bullet4">
    <w:name w:val="Bullet 4"/>
    <w:basedOn w:val="Normal"/>
    <w:rsid w:val="009B713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545B1C"/>
    <w:rPr>
      <w:rFonts w:ascii="Times New Roman" w:eastAsiaTheme="majorEastAsia" w:hAnsi="Times New Roman" w:cs="Times New Roman"/>
      <w:sz w:val="24"/>
      <w:lang w:val="hr-H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45B1C"/>
    <w:rPr>
      <w:rFonts w:ascii="Times New Roman" w:eastAsiaTheme="majorEastAsia" w:hAnsi="Times New Roman" w:cs="Times New Roman"/>
      <w:iCs/>
      <w:sz w:val="24"/>
      <w:lang w:val="hr-H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45B1C"/>
    <w:rPr>
      <w:rFonts w:ascii="Times New Roman" w:eastAsiaTheme="majorEastAsia" w:hAnsi="Times New Roman" w:cs="Times New Roman"/>
      <w:iCs/>
      <w:sz w:val="24"/>
      <w:lang w:val="hr-HR"/>
    </w:rPr>
  </w:style>
  <w:style w:type="paragraph" w:customStyle="1" w:styleId="ManualHeading5">
    <w:name w:val="Manual Heading 5"/>
    <w:basedOn w:val="Normal"/>
    <w:next w:val="Text2"/>
    <w:rsid w:val="00545B1C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545B1C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545B1C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545B1C"/>
    <w:pPr>
      <w:ind w:left="3118"/>
    </w:pPr>
  </w:style>
  <w:style w:type="paragraph" w:customStyle="1" w:styleId="Text6">
    <w:name w:val="Text 6"/>
    <w:basedOn w:val="Normal"/>
    <w:rsid w:val="00545B1C"/>
    <w:pPr>
      <w:ind w:left="3685"/>
    </w:pPr>
  </w:style>
  <w:style w:type="paragraph" w:customStyle="1" w:styleId="Point5">
    <w:name w:val="Point 5"/>
    <w:basedOn w:val="Normal"/>
    <w:rsid w:val="00545B1C"/>
    <w:pPr>
      <w:ind w:left="3685" w:hanging="567"/>
    </w:pPr>
  </w:style>
  <w:style w:type="paragraph" w:customStyle="1" w:styleId="Tiret5">
    <w:name w:val="Tiret 5"/>
    <w:basedOn w:val="Point5"/>
    <w:rsid w:val="00545B1C"/>
    <w:pPr>
      <w:numPr>
        <w:numId w:val="28"/>
      </w:numPr>
    </w:pPr>
  </w:style>
  <w:style w:type="paragraph" w:customStyle="1" w:styleId="NumPar5">
    <w:name w:val="NumPar 5"/>
    <w:basedOn w:val="Normal"/>
    <w:next w:val="Text2"/>
    <w:rsid w:val="00545B1C"/>
    <w:pPr>
      <w:numPr>
        <w:ilvl w:val="4"/>
        <w:numId w:val="31"/>
      </w:numPr>
    </w:pPr>
  </w:style>
  <w:style w:type="paragraph" w:customStyle="1" w:styleId="NumPar6">
    <w:name w:val="NumPar 6"/>
    <w:basedOn w:val="Normal"/>
    <w:next w:val="Text2"/>
    <w:rsid w:val="00545B1C"/>
    <w:pPr>
      <w:numPr>
        <w:ilvl w:val="5"/>
        <w:numId w:val="31"/>
      </w:numPr>
    </w:pPr>
  </w:style>
  <w:style w:type="paragraph" w:customStyle="1" w:styleId="NumPar7">
    <w:name w:val="NumPar 7"/>
    <w:basedOn w:val="Normal"/>
    <w:next w:val="Text2"/>
    <w:rsid w:val="00545B1C"/>
    <w:pPr>
      <w:numPr>
        <w:ilvl w:val="6"/>
        <w:numId w:val="31"/>
      </w:numPr>
    </w:pPr>
  </w:style>
  <w:style w:type="paragraph" w:customStyle="1" w:styleId="ManualNumPar5">
    <w:name w:val="Manual NumPar 5"/>
    <w:basedOn w:val="Normal"/>
    <w:next w:val="Text2"/>
    <w:rsid w:val="00545B1C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545B1C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545B1C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394</Words>
  <Characters>2337</Characters>
  <Application>Microsoft Office Word</Application>
  <DocSecurity>0</DocSecurity>
  <Lines>49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2022-03-08T14:35:00Z</dcterms:created>
  <dcterms:modified xsi:type="dcterms:W3CDTF">2022-03-08T14:35:00Z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