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E4399E" w14:textId="30E174B2" w:rsidR="001C2816" w:rsidRPr="008A29EB" w:rsidRDefault="00F11A21" w:rsidP="00CB6CB7">
      <w:pPr>
        <w:pStyle w:val="Pagedecouverture"/>
        <w:rPr>
          <w:noProof/>
        </w:rPr>
      </w:pPr>
      <w:bookmarkStart w:id="0" w:name="_GoBack"/>
      <w:bookmarkEnd w:id="0"/>
      <w:r>
        <w:rPr>
          <w:noProof/>
        </w:rPr>
        <w:pict w14:anchorId="37A81A7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54B09655-FB4D-4F79-85F2-80C98560F925" style="width:455.35pt;height:426pt">
            <v:imagedata r:id="rId7" o:title=""/>
          </v:shape>
        </w:pict>
      </w:r>
    </w:p>
    <w:p w14:paraId="66835F60" w14:textId="77777777" w:rsidR="00745799" w:rsidRPr="008A29EB" w:rsidRDefault="00745799">
      <w:pPr>
        <w:rPr>
          <w:noProof/>
        </w:rPr>
        <w:sectPr w:rsidR="00745799" w:rsidRPr="008A29EB" w:rsidSect="00CB6CB7">
          <w:footerReference w:type="default" r:id="rId8"/>
          <w:pgSz w:w="11907" w:h="16839"/>
          <w:pgMar w:top="1134" w:right="1417" w:bottom="1134" w:left="1417" w:header="709" w:footer="709" w:gutter="0"/>
          <w:pgNumType w:start="0"/>
          <w:cols w:space="720"/>
          <w:docGrid w:linePitch="360"/>
        </w:sectPr>
      </w:pPr>
    </w:p>
    <w:p w14:paraId="58EEE52D" w14:textId="614B951B" w:rsidR="00745799" w:rsidRPr="008A29EB" w:rsidRDefault="008A29EB" w:rsidP="008A29EB">
      <w:pPr>
        <w:pStyle w:val="Typedudocument"/>
        <w:rPr>
          <w:noProof/>
        </w:rPr>
      </w:pPr>
      <w:r w:rsidRPr="008A29EB">
        <w:rPr>
          <w:noProof/>
        </w:rPr>
        <w:lastRenderedPageBreak/>
        <w:t>KOMMISSIONENS GENNEMFØRELSESFORORDNING (EU) …/…</w:t>
      </w:r>
    </w:p>
    <w:p w14:paraId="5FDAE07D" w14:textId="51047F3C" w:rsidR="00745799" w:rsidRPr="008A29EB" w:rsidRDefault="00435309" w:rsidP="008A29EB">
      <w:pPr>
        <w:pStyle w:val="Datedadoption"/>
        <w:rPr>
          <w:noProof/>
        </w:rPr>
      </w:pPr>
      <w:r>
        <w:t>af 3.3.2022</w:t>
      </w:r>
    </w:p>
    <w:p w14:paraId="6AE2FFE3" w14:textId="20E8BBEA" w:rsidR="00745799" w:rsidRPr="008A29EB" w:rsidRDefault="008A29EB" w:rsidP="008A29EB">
      <w:pPr>
        <w:pStyle w:val="Titreobjet"/>
        <w:rPr>
          <w:noProof/>
        </w:rPr>
      </w:pPr>
      <w:r w:rsidRPr="008A29EB">
        <w:rPr>
          <w:noProof/>
        </w:rPr>
        <w:t xml:space="preserve">om ændring af gennemførelsesforordning (EU) 2018/1624 om gennemførelsesmæssige tekniske standarder vedrørende procedurer, standardformularer og skemaer for forelæggelse af oplysninger i forbindelse med afviklingsplaner for kreditinstitutter og investeringsselskaber i medfør af Europa-Parlamentets og Rådets direktiv 2014/59/EU </w:t>
      </w:r>
      <w:r w:rsidRPr="008A29EB">
        <w:rPr>
          <w:noProof/>
        </w:rPr>
        <w:br/>
      </w:r>
    </w:p>
    <w:p w14:paraId="217F978F" w14:textId="6E99AA99" w:rsidR="00745799" w:rsidRPr="008A29EB" w:rsidRDefault="008A29EB" w:rsidP="008A29EB">
      <w:pPr>
        <w:pStyle w:val="IntrtEEE"/>
        <w:rPr>
          <w:noProof/>
        </w:rPr>
      </w:pPr>
      <w:r w:rsidRPr="008A29EB">
        <w:rPr>
          <w:noProof/>
        </w:rPr>
        <w:t>(EØS-relevant tekst)</w:t>
      </w:r>
    </w:p>
    <w:p w14:paraId="36E61899" w14:textId="77777777" w:rsidR="00745799" w:rsidRPr="008A29EB" w:rsidRDefault="00745799" w:rsidP="004E1EF9">
      <w:pPr>
        <w:pStyle w:val="Institutionquiagit"/>
        <w:rPr>
          <w:noProof/>
        </w:rPr>
      </w:pPr>
      <w:r w:rsidRPr="008A29EB">
        <w:rPr>
          <w:noProof/>
        </w:rPr>
        <w:t>EUROPA-KOMMISSIONEN HAR —</w:t>
      </w:r>
    </w:p>
    <w:p w14:paraId="344A82A5" w14:textId="77777777" w:rsidR="00745799" w:rsidRPr="008A29EB" w:rsidRDefault="00745799" w:rsidP="004E1EF9">
      <w:pPr>
        <w:rPr>
          <w:noProof/>
        </w:rPr>
      </w:pPr>
      <w:r w:rsidRPr="008A29EB">
        <w:rPr>
          <w:noProof/>
        </w:rPr>
        <w:t>under henvisning til traktaten om Den Europæiske Unions funktionsmåde,</w:t>
      </w:r>
    </w:p>
    <w:p w14:paraId="2982BE59" w14:textId="5250076C" w:rsidR="00745799" w:rsidRPr="008A29EB" w:rsidRDefault="00745799" w:rsidP="004E1EF9">
      <w:pPr>
        <w:rPr>
          <w:noProof/>
        </w:rPr>
      </w:pPr>
      <w:r w:rsidRPr="008A29EB">
        <w:rPr>
          <w:noProof/>
        </w:rPr>
        <w:t>under henvisning til Europa-Parlamentets og Rådets direktiv 2014/59/EU om et regelsæt for genopretning og afvikling af kreditinstitutter og investeringsselskaber og om ændring af Rådets direktiv 82/891/EØF og Europa-Parlamentets og Rådets direktiv 2001/24/EF, 2002/47/EF, 2004/25/EF, 2005/56/EF, 2007/36/EF, 2011/35/EU, 2012/30/EU og 2013/36/EU samt forordning (EU) nr. 1093/2010 og (EU) nr. 648/2012</w:t>
      </w:r>
      <w:r w:rsidRPr="008A29EB">
        <w:rPr>
          <w:rStyle w:val="FootnoteReference"/>
          <w:noProof/>
        </w:rPr>
        <w:footnoteReference w:id="1"/>
      </w:r>
      <w:r w:rsidRPr="008A29EB">
        <w:rPr>
          <w:noProof/>
        </w:rPr>
        <w:t>, særlig artikel 11, stk. 3, og</w:t>
      </w:r>
    </w:p>
    <w:p w14:paraId="3303916E" w14:textId="77777777" w:rsidR="00745799" w:rsidRPr="008A29EB" w:rsidRDefault="00745799" w:rsidP="004E1EF9">
      <w:pPr>
        <w:rPr>
          <w:noProof/>
        </w:rPr>
      </w:pPr>
      <w:r w:rsidRPr="008A29EB">
        <w:rPr>
          <w:noProof/>
        </w:rPr>
        <w:t>ud fra følgende betragtninger:</w:t>
      </w:r>
    </w:p>
    <w:p w14:paraId="2AEEF6BD" w14:textId="52A08A34" w:rsidR="00745799" w:rsidRPr="008A29EB" w:rsidRDefault="00134C08" w:rsidP="00134C08">
      <w:pPr>
        <w:pStyle w:val="ManualConsidrant"/>
        <w:rPr>
          <w:noProof/>
        </w:rPr>
      </w:pPr>
      <w:r w:rsidRPr="00134C08">
        <w:t>(1)</w:t>
      </w:r>
      <w:r w:rsidRPr="00134C08">
        <w:tab/>
      </w:r>
      <w:r w:rsidR="00745799" w:rsidRPr="008A29EB">
        <w:rPr>
          <w:noProof/>
        </w:rPr>
        <w:t>Ved Europa-Parlamentets og Rådets direktiv (EU) 2019/879</w:t>
      </w:r>
      <w:r w:rsidR="00745799" w:rsidRPr="008A29EB">
        <w:rPr>
          <w:rStyle w:val="FootnoteReference"/>
          <w:noProof/>
        </w:rPr>
        <w:footnoteReference w:id="2"/>
      </w:r>
      <w:r w:rsidR="00745799" w:rsidRPr="008A29EB">
        <w:rPr>
          <w:noProof/>
        </w:rPr>
        <w:t xml:space="preserve"> blev der indført visse ændringer af minimumskravet til kapitalgrundlag og nedskrivningsegnede passiver som fastsat i direktiv 2014/59/EU. Oplysninger om institutters evne til at opfylde dette krav tages i begrænset omfang også i betragtning i forbindelse med afviklingsplanlægning.</w:t>
      </w:r>
    </w:p>
    <w:p w14:paraId="4C198264" w14:textId="6FD4D29B" w:rsidR="00745799" w:rsidRPr="008A29EB" w:rsidRDefault="00134C08" w:rsidP="00134C08">
      <w:pPr>
        <w:pStyle w:val="ManualConsidrant"/>
        <w:rPr>
          <w:noProof/>
        </w:rPr>
      </w:pPr>
      <w:r w:rsidRPr="00134C08">
        <w:t>(2)</w:t>
      </w:r>
      <w:r w:rsidRPr="00134C08">
        <w:tab/>
      </w:r>
      <w:r w:rsidR="005F79AB" w:rsidRPr="008A29EB">
        <w:rPr>
          <w:noProof/>
        </w:rPr>
        <w:t>Kommissionens gennemførelsesforordning (EU) 2018/1624</w:t>
      </w:r>
      <w:r w:rsidR="005F79AB" w:rsidRPr="008A29EB">
        <w:rPr>
          <w:rStyle w:val="FootnoteReference"/>
          <w:noProof/>
        </w:rPr>
        <w:footnoteReference w:id="3"/>
      </w:r>
      <w:r w:rsidR="005F79AB" w:rsidRPr="008A29EB">
        <w:rPr>
          <w:noProof/>
        </w:rPr>
        <w:t xml:space="preserve"> bør derfor ændres.</w:t>
      </w:r>
    </w:p>
    <w:p w14:paraId="2F996AE9" w14:textId="6C43605D" w:rsidR="00745799" w:rsidRPr="008A29EB" w:rsidRDefault="00134C08" w:rsidP="00134C08">
      <w:pPr>
        <w:pStyle w:val="ManualConsidrant"/>
        <w:rPr>
          <w:noProof/>
        </w:rPr>
      </w:pPr>
      <w:r w:rsidRPr="00134C08">
        <w:t>(3)</w:t>
      </w:r>
      <w:r w:rsidRPr="00134C08">
        <w:tab/>
      </w:r>
      <w:r w:rsidR="00745799" w:rsidRPr="008A29EB">
        <w:rPr>
          <w:noProof/>
        </w:rPr>
        <w:t xml:space="preserve">Denne forordning er baseret på det udkast til gennemførelsesmæssige tekniske standarder, som Den Europæiske Banktilsynsmyndighed (EBA) har forelagt Kommissionen. </w:t>
      </w:r>
    </w:p>
    <w:p w14:paraId="505703BE" w14:textId="148FD0A1" w:rsidR="00745799" w:rsidRPr="008A29EB" w:rsidRDefault="00134C08" w:rsidP="00134C08">
      <w:pPr>
        <w:pStyle w:val="ManualConsidrant"/>
        <w:rPr>
          <w:noProof/>
        </w:rPr>
      </w:pPr>
      <w:r w:rsidRPr="00134C08">
        <w:t>(4)</w:t>
      </w:r>
      <w:r w:rsidRPr="00134C08">
        <w:tab/>
      </w:r>
      <w:r w:rsidR="00745799" w:rsidRPr="008A29EB">
        <w:rPr>
          <w:noProof/>
        </w:rPr>
        <w:t xml:space="preserve">EBA har ikke gennemført åbne offentlige høringer om det udkast til gennemførelsesmæssige tekniske standarder, som ligger til grund for denne forordning, og har heller ikke analyseret de potentielle omkostninger og fordele herved, da den fandt, at dette ville have været meget uforholdsmæssigt i forhold til ændringernes meget begrænsede omfang, begrænsede antal og små virkninger, idet der tages hensyn til, at disse ændringer kun omfatter ajourføringer af henvisningerne til </w:t>
      </w:r>
      <w:r w:rsidR="00745799" w:rsidRPr="008A29EB">
        <w:rPr>
          <w:noProof/>
        </w:rPr>
        <w:lastRenderedPageBreak/>
        <w:t>direktiv 2014/59/EU, to nye elementer, der skal indberettes, og mindre ændringer for at fjerne tekniske hindringer for indberetningen. EBA har anmodet interessentgruppen for banker, der er nedsat i henhold til artikel 37 i Europa-Parlamentets og Rådets forordning (EU) nr. 1093/2010</w:t>
      </w:r>
      <w:r w:rsidR="00745799" w:rsidRPr="008A29EB">
        <w:rPr>
          <w:rStyle w:val="FootnoteReference"/>
          <w:noProof/>
        </w:rPr>
        <w:footnoteReference w:id="4"/>
      </w:r>
      <w:r w:rsidR="00745799" w:rsidRPr="008A29EB">
        <w:rPr>
          <w:noProof/>
        </w:rPr>
        <w:t>, om rådgivning —</w:t>
      </w:r>
    </w:p>
    <w:p w14:paraId="3F0100F6" w14:textId="77777777" w:rsidR="00745799" w:rsidRPr="008A29EB" w:rsidRDefault="00745799" w:rsidP="004E1EF9">
      <w:pPr>
        <w:pStyle w:val="Formuledadoption"/>
        <w:rPr>
          <w:noProof/>
        </w:rPr>
      </w:pPr>
      <w:r w:rsidRPr="008A29EB">
        <w:rPr>
          <w:noProof/>
        </w:rPr>
        <w:t>VEDTAGET DENNE FORORDNING:</w:t>
      </w:r>
    </w:p>
    <w:p w14:paraId="248EA0A8" w14:textId="77777777" w:rsidR="00745799" w:rsidRPr="008A29EB" w:rsidRDefault="00745799" w:rsidP="004E1EF9">
      <w:pPr>
        <w:pStyle w:val="Titrearticle"/>
        <w:rPr>
          <w:noProof/>
        </w:rPr>
      </w:pPr>
      <w:r w:rsidRPr="008A29EB">
        <w:rPr>
          <w:noProof/>
        </w:rPr>
        <w:t>Artikel 1</w:t>
      </w:r>
    </w:p>
    <w:p w14:paraId="0EB604DB" w14:textId="07D2792D" w:rsidR="00745799" w:rsidRPr="008A29EB" w:rsidRDefault="00745799" w:rsidP="004E1EF9">
      <w:pPr>
        <w:rPr>
          <w:noProof/>
        </w:rPr>
      </w:pPr>
      <w:r w:rsidRPr="008A29EB">
        <w:rPr>
          <w:noProof/>
        </w:rPr>
        <w:t>I gennemførelsesforordning (EU) 2018/1624 foretages følgende ændringer:</w:t>
      </w:r>
    </w:p>
    <w:p w14:paraId="6C2E9789" w14:textId="36673037" w:rsidR="002E04D0" w:rsidRPr="008A29EB" w:rsidRDefault="008A29EB" w:rsidP="008A29EB">
      <w:pPr>
        <w:pStyle w:val="Point0"/>
        <w:rPr>
          <w:noProof/>
        </w:rPr>
      </w:pPr>
      <w:r w:rsidRPr="008A29EB">
        <w:rPr>
          <w:noProof/>
        </w:rPr>
        <w:t>1)</w:t>
      </w:r>
      <w:r w:rsidRPr="008A29EB">
        <w:rPr>
          <w:noProof/>
        </w:rPr>
        <w:tab/>
      </w:r>
      <w:r w:rsidR="00745799" w:rsidRPr="008A29EB">
        <w:rPr>
          <w:noProof/>
        </w:rPr>
        <w:t>Bilag I ændres således:</w:t>
      </w:r>
    </w:p>
    <w:p w14:paraId="307F7177" w14:textId="2FEDE2AB" w:rsidR="00745799" w:rsidRPr="008A29EB" w:rsidRDefault="008A29EB" w:rsidP="008A29EB">
      <w:pPr>
        <w:pStyle w:val="Point0"/>
        <w:rPr>
          <w:noProof/>
        </w:rPr>
      </w:pPr>
      <w:r w:rsidRPr="008A29EB">
        <w:rPr>
          <w:noProof/>
        </w:rPr>
        <w:t>a)</w:t>
      </w:r>
      <w:r w:rsidRPr="008A29EB">
        <w:rPr>
          <w:noProof/>
        </w:rPr>
        <w:tab/>
      </w:r>
      <w:r w:rsidR="002E04D0" w:rsidRPr="008A29EB">
        <w:rPr>
          <w:noProof/>
        </w:rPr>
        <w:t>Skema Z 02.00 erstattes af skema Z 02.00 i bilag I til nærværende forordning.</w:t>
      </w:r>
    </w:p>
    <w:p w14:paraId="2AC11875" w14:textId="648FCF84" w:rsidR="002E04D0" w:rsidRPr="008A29EB" w:rsidRDefault="008A29EB" w:rsidP="008A29EB">
      <w:pPr>
        <w:pStyle w:val="Point0"/>
        <w:rPr>
          <w:noProof/>
        </w:rPr>
      </w:pPr>
      <w:r w:rsidRPr="008A29EB">
        <w:rPr>
          <w:noProof/>
        </w:rPr>
        <w:t>b)</w:t>
      </w:r>
      <w:r w:rsidRPr="008A29EB">
        <w:rPr>
          <w:noProof/>
        </w:rPr>
        <w:tab/>
      </w:r>
      <w:r w:rsidR="002E04D0" w:rsidRPr="008A29EB">
        <w:rPr>
          <w:noProof/>
        </w:rPr>
        <w:t>Skema Z 03.00 erstattes af skema Z 03.00 i bilag I til nærværende forordning.</w:t>
      </w:r>
    </w:p>
    <w:p w14:paraId="60F6BC37" w14:textId="147E5E6B" w:rsidR="00745799" w:rsidRPr="008A29EB" w:rsidRDefault="008A29EB" w:rsidP="008A29EB">
      <w:pPr>
        <w:pStyle w:val="Point0"/>
        <w:rPr>
          <w:noProof/>
        </w:rPr>
      </w:pPr>
      <w:r w:rsidRPr="008A29EB">
        <w:rPr>
          <w:noProof/>
        </w:rPr>
        <w:t>2)</w:t>
      </w:r>
      <w:r w:rsidRPr="008A29EB">
        <w:rPr>
          <w:noProof/>
        </w:rPr>
        <w:tab/>
      </w:r>
      <w:r w:rsidR="00090F84" w:rsidRPr="008A29EB">
        <w:rPr>
          <w:noProof/>
        </w:rPr>
        <w:t xml:space="preserve">Bilag II erstattes af teksten i bilag II til nærværende forordning. </w:t>
      </w:r>
    </w:p>
    <w:p w14:paraId="77E50565" w14:textId="37F839DE" w:rsidR="00745799" w:rsidRPr="008A29EB" w:rsidRDefault="00745799" w:rsidP="004E1EF9">
      <w:pPr>
        <w:pStyle w:val="Titrearticle"/>
        <w:rPr>
          <w:noProof/>
          <w:color w:val="000000" w:themeColor="text1"/>
        </w:rPr>
      </w:pPr>
      <w:r w:rsidRPr="008A29EB">
        <w:rPr>
          <w:noProof/>
        </w:rPr>
        <w:t>Artikel 2</w:t>
      </w:r>
    </w:p>
    <w:p w14:paraId="280CEA9B" w14:textId="288234FC" w:rsidR="00745799" w:rsidRPr="008A29EB" w:rsidRDefault="00745799" w:rsidP="004E1EF9">
      <w:pPr>
        <w:rPr>
          <w:noProof/>
        </w:rPr>
      </w:pPr>
      <w:r w:rsidRPr="008A29EB">
        <w:rPr>
          <w:noProof/>
        </w:rPr>
        <w:t xml:space="preserve">Denne forordning træder i kraft på tyvendedagen efter offentliggørelsen i </w:t>
      </w:r>
      <w:r w:rsidRPr="008A29EB">
        <w:rPr>
          <w:i/>
          <w:iCs/>
          <w:noProof/>
        </w:rPr>
        <w:t>Den Europæiske Unions Tidende</w:t>
      </w:r>
      <w:r w:rsidRPr="008A29EB">
        <w:rPr>
          <w:noProof/>
        </w:rPr>
        <w:t>.</w:t>
      </w:r>
    </w:p>
    <w:p w14:paraId="5ED2B21A" w14:textId="77777777" w:rsidR="00745799" w:rsidRPr="008A29EB" w:rsidRDefault="00745799" w:rsidP="004E1EF9">
      <w:pPr>
        <w:pStyle w:val="Applicationdirecte"/>
        <w:rPr>
          <w:noProof/>
        </w:rPr>
      </w:pPr>
      <w:r w:rsidRPr="008A29EB">
        <w:rPr>
          <w:noProof/>
        </w:rPr>
        <w:t>Denne forordning er bindende i alle enkeltheder og gælder umiddelbart i hver medlemsstat.</w:t>
      </w:r>
    </w:p>
    <w:p w14:paraId="3D8C8E1A" w14:textId="42F89829" w:rsidR="00745799" w:rsidRPr="008A29EB" w:rsidRDefault="0024162D" w:rsidP="00F10E91">
      <w:pPr>
        <w:pStyle w:val="Fait"/>
        <w:rPr>
          <w:noProof/>
        </w:rPr>
      </w:pPr>
      <w:r w:rsidRPr="0024162D">
        <w:t>Udfærdiget i Bruxelles, den 3.3.2022.</w:t>
      </w:r>
    </w:p>
    <w:p w14:paraId="54345AFA" w14:textId="77777777" w:rsidR="00745799" w:rsidRPr="008A29EB" w:rsidRDefault="00745799" w:rsidP="00F10E91">
      <w:pPr>
        <w:pStyle w:val="Institutionquisigne"/>
        <w:rPr>
          <w:noProof/>
        </w:rPr>
      </w:pPr>
      <w:r w:rsidRPr="008A29EB">
        <w:rPr>
          <w:noProof/>
        </w:rPr>
        <w:tab/>
        <w:t>På Kommissionens vegne</w:t>
      </w:r>
    </w:p>
    <w:p w14:paraId="77E16C5B" w14:textId="6243253B" w:rsidR="008A5816" w:rsidRPr="00552658" w:rsidRDefault="0043073D" w:rsidP="00F10E91">
      <w:pPr>
        <w:pStyle w:val="Personnequisigne"/>
        <w:keepNext/>
        <w:rPr>
          <w:noProof/>
          <w:lang w:val="de-DE"/>
        </w:rPr>
      </w:pPr>
      <w:r>
        <w:tab/>
        <w:t>Formand</w:t>
      </w:r>
      <w:r>
        <w:br/>
      </w:r>
      <w:r>
        <w:tab/>
        <w:t>Ursula VON DER LEYEN</w:t>
      </w:r>
    </w:p>
    <w:p w14:paraId="7793195C" w14:textId="7D4B81CF" w:rsidR="00745799" w:rsidRPr="00552658" w:rsidRDefault="00745799" w:rsidP="00745799">
      <w:pPr>
        <w:pStyle w:val="Personnequisigne"/>
        <w:rPr>
          <w:noProof/>
          <w:lang w:val="de-DE"/>
        </w:rPr>
      </w:pPr>
    </w:p>
    <w:sectPr w:rsidR="00745799" w:rsidRPr="00552658" w:rsidSect="00CB6CB7">
      <w:footerReference w:type="default" r:id="rId9"/>
      <w:footerReference w:type="first" r:id="rId10"/>
      <w:pgSz w:w="11907" w:h="16839"/>
      <w:pgMar w:top="1134" w:right="1417" w:bottom="1134" w:left="1417" w:header="709" w:footer="709"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7EA" w16cex:dateUtc="2021-12-01T07:59:00Z"/>
  <w16cex:commentExtensible w16cex:durableId="2551B819" w16cex:dateUtc="2021-12-01T08:0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524D896F" w16cid:durableId="2551B77F"/>
  <w16cid:commentId w16cid:paraId="1D538397" w16cid:durableId="2551B7EA"/>
  <w16cid:commentId w16cid:paraId="70775A79" w16cid:durableId="2551B780"/>
  <w16cid:commentId w16cid:paraId="639A1800" w16cid:durableId="2551B81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7C5EFD" w14:textId="77777777" w:rsidR="00745799" w:rsidRDefault="00745799" w:rsidP="00745799">
      <w:pPr>
        <w:spacing w:before="0" w:after="0"/>
      </w:pPr>
      <w:r>
        <w:separator/>
      </w:r>
    </w:p>
  </w:endnote>
  <w:endnote w:type="continuationSeparator" w:id="0">
    <w:p w14:paraId="675C0AA5" w14:textId="77777777" w:rsidR="00745799" w:rsidRDefault="00745799" w:rsidP="0074579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ABC44" w14:textId="74F36B8A" w:rsidR="008A29EB" w:rsidRPr="00CB6CB7" w:rsidRDefault="00CB6CB7" w:rsidP="00CB6CB7">
    <w:pPr>
      <w:pStyle w:val="Footer"/>
      <w:rPr>
        <w:rFonts w:ascii="Arial" w:hAnsi="Arial" w:cs="Arial"/>
        <w:b/>
        <w:sz w:val="48"/>
      </w:rPr>
    </w:pPr>
    <w:r w:rsidRPr="00CB6CB7">
      <w:rPr>
        <w:rFonts w:ascii="Arial" w:hAnsi="Arial" w:cs="Arial"/>
        <w:b/>
        <w:sz w:val="48"/>
      </w:rPr>
      <w:t>DA</w:t>
    </w:r>
    <w:r w:rsidRPr="00CB6CB7">
      <w:rPr>
        <w:rFonts w:ascii="Arial" w:hAnsi="Arial" w:cs="Arial"/>
        <w:b/>
        <w:sz w:val="48"/>
      </w:rPr>
      <w:tab/>
    </w:r>
    <w:r w:rsidRPr="00CB6CB7">
      <w:rPr>
        <w:rFonts w:ascii="Arial" w:hAnsi="Arial" w:cs="Arial"/>
        <w:b/>
        <w:sz w:val="48"/>
      </w:rPr>
      <w:tab/>
    </w:r>
    <w:r w:rsidRPr="00CB6CB7">
      <w:tab/>
    </w:r>
    <w:r w:rsidRPr="00CB6CB7">
      <w:rPr>
        <w:rFonts w:ascii="Arial" w:hAnsi="Arial" w:cs="Arial"/>
        <w:b/>
        <w:sz w:val="48"/>
      </w:rPr>
      <w:t>DA</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FF01A" w14:textId="170BE51D" w:rsidR="00CB6CB7" w:rsidRPr="00CB6CB7" w:rsidRDefault="00CB6CB7" w:rsidP="00CB6CB7">
    <w:pPr>
      <w:pStyle w:val="Footer"/>
      <w:rPr>
        <w:rFonts w:ascii="Arial" w:hAnsi="Arial" w:cs="Arial"/>
        <w:b/>
        <w:sz w:val="48"/>
      </w:rPr>
    </w:pPr>
    <w:r w:rsidRPr="00CB6CB7">
      <w:rPr>
        <w:rFonts w:ascii="Arial" w:hAnsi="Arial" w:cs="Arial"/>
        <w:b/>
        <w:sz w:val="48"/>
      </w:rPr>
      <w:t>DA</w:t>
    </w:r>
    <w:r w:rsidRPr="00CB6CB7">
      <w:rPr>
        <w:rFonts w:ascii="Arial" w:hAnsi="Arial" w:cs="Arial"/>
        <w:b/>
        <w:sz w:val="48"/>
      </w:rPr>
      <w:tab/>
    </w:r>
    <w:r>
      <w:fldChar w:fldCharType="begin"/>
    </w:r>
    <w:r>
      <w:instrText xml:space="preserve"> PAGE  \* MERGEFORMAT </w:instrText>
    </w:r>
    <w:r>
      <w:fldChar w:fldCharType="separate"/>
    </w:r>
    <w:r w:rsidR="00F11A21">
      <w:rPr>
        <w:noProof/>
      </w:rPr>
      <w:t>2</w:t>
    </w:r>
    <w:r>
      <w:fldChar w:fldCharType="end"/>
    </w:r>
    <w:r>
      <w:tab/>
    </w:r>
    <w:r w:rsidRPr="00CB6CB7">
      <w:tab/>
    </w:r>
    <w:r w:rsidRPr="00CB6CB7">
      <w:rPr>
        <w:rFonts w:ascii="Arial" w:hAnsi="Arial" w:cs="Arial"/>
        <w:b/>
        <w:sz w:val="48"/>
      </w:rPr>
      <w:t>DA</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9A7394" w14:textId="77777777" w:rsidR="00CB6CB7" w:rsidRPr="00CB6CB7" w:rsidRDefault="00CB6CB7" w:rsidP="00CB6C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56848F" w14:textId="77777777" w:rsidR="00745799" w:rsidRDefault="00745799" w:rsidP="00745799">
      <w:pPr>
        <w:spacing w:before="0" w:after="0"/>
      </w:pPr>
      <w:r>
        <w:separator/>
      </w:r>
    </w:p>
  </w:footnote>
  <w:footnote w:type="continuationSeparator" w:id="0">
    <w:p w14:paraId="3876E97E" w14:textId="77777777" w:rsidR="00745799" w:rsidRDefault="00745799" w:rsidP="00745799">
      <w:pPr>
        <w:spacing w:before="0" w:after="0"/>
      </w:pPr>
      <w:r>
        <w:continuationSeparator/>
      </w:r>
    </w:p>
  </w:footnote>
  <w:footnote w:id="1">
    <w:p w14:paraId="052E750F" w14:textId="77777777" w:rsidR="00745799" w:rsidRDefault="00745799" w:rsidP="00745799">
      <w:pPr>
        <w:pStyle w:val="FootnoteText"/>
      </w:pPr>
      <w:r>
        <w:rPr>
          <w:rStyle w:val="FootnoteReference"/>
        </w:rPr>
        <w:footnoteRef/>
      </w:r>
      <w:r>
        <w:tab/>
        <w:t>EUT L 173 af 12.6.2014, s. 190.</w:t>
      </w:r>
    </w:p>
  </w:footnote>
  <w:footnote w:id="2">
    <w:p w14:paraId="7F45B5AC" w14:textId="6DC04D10" w:rsidR="005F79AB" w:rsidRPr="005F79AB" w:rsidRDefault="005F79AB" w:rsidP="005F79AB">
      <w:pPr>
        <w:pStyle w:val="FootnoteText"/>
      </w:pPr>
      <w:r>
        <w:rPr>
          <w:rStyle w:val="FootnoteReference"/>
        </w:rPr>
        <w:footnoteRef/>
      </w:r>
      <w:r>
        <w:tab/>
        <w:t>Europa-Parlamentets og Rådets direktiv (EU) 2019/879 af 20. maj 2019 om ændring af direktiv 2014/59/EU for så vidt angår kreditinstitutters og investeringsselskabers tabsabsorberings- og rekapitaliseringskapacitet og af direktiv 98/26/EF (EUT L 150 af 7.6.2019, s. 296).</w:t>
      </w:r>
    </w:p>
  </w:footnote>
  <w:footnote w:id="3">
    <w:p w14:paraId="509F65CC" w14:textId="05595D25" w:rsidR="005F79AB" w:rsidRPr="005F79AB" w:rsidRDefault="005F79AB">
      <w:pPr>
        <w:pStyle w:val="FootnoteText"/>
      </w:pPr>
      <w:r>
        <w:rPr>
          <w:rStyle w:val="FootnoteReference"/>
        </w:rPr>
        <w:footnoteRef/>
      </w:r>
      <w:r>
        <w:tab/>
        <w:t>Kommissionens gennemførelsesforordning (EU) 2018/1624 af 23. oktober 2018 om gennemførelsesmæssige tekniske standarder vedrørende procedurer for samt standardformularer og skemaer til indberetning af oplysninger i forbindelse med afviklingsplaner for kreditinstitutter og investeringsselskaber i medfør af Europa-Parlamentets og Rådets direktiv 2014/59/EU og om ophævelse af Kommissionens gennemførelsesforordning (EU) 2016/1066 (EUT L 277 af 7.11.2018, s. 1).</w:t>
      </w:r>
    </w:p>
  </w:footnote>
  <w:footnote w:id="4">
    <w:p w14:paraId="3537746E" w14:textId="50571182" w:rsidR="00745799" w:rsidRPr="00B64E68" w:rsidRDefault="00745799" w:rsidP="00745799">
      <w:pPr>
        <w:pStyle w:val="FootnoteText"/>
      </w:pPr>
      <w:r>
        <w:rPr>
          <w:rStyle w:val="FootnoteReference"/>
        </w:rPr>
        <w:footnoteRef/>
      </w:r>
      <w:r>
        <w:tab/>
        <w:t>Europa-Parlamentets og Rådets forordning (EU) nr. 1093/2010 af 24. november 2010 om oprettelse af en europæisk tilsynsmyndighed (Den Europæiske Banktilsynsmyndighed), om ændring af afgørelse nr. 716/2009/EF og om ophævelse af Kommissionens afgørelse 2009/78/EF (EUT L 331 af 15.12.2010, s. 12).</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D"/>
    <w:multiLevelType w:val="singleLevel"/>
    <w:tmpl w:val="793EC600"/>
    <w:lvl w:ilvl="0">
      <w:start w:val="1"/>
      <w:numFmt w:val="decimal"/>
      <w:pStyle w:val="ListNumber4"/>
      <w:lvlText w:val="%1."/>
      <w:lvlJc w:val="left"/>
      <w:pPr>
        <w:tabs>
          <w:tab w:val="num" w:pos="1209"/>
        </w:tabs>
        <w:ind w:left="1209" w:hanging="360"/>
      </w:pPr>
    </w:lvl>
  </w:abstractNum>
  <w:abstractNum w:abstractNumId="1" w15:restartNumberingAfterBreak="0">
    <w:nsid w:val="FFFFFF7E"/>
    <w:multiLevelType w:val="singleLevel"/>
    <w:tmpl w:val="437E9268"/>
    <w:lvl w:ilvl="0">
      <w:start w:val="1"/>
      <w:numFmt w:val="decimal"/>
      <w:pStyle w:val="ListNumber3"/>
      <w:lvlText w:val="%1."/>
      <w:lvlJc w:val="left"/>
      <w:pPr>
        <w:tabs>
          <w:tab w:val="num" w:pos="926"/>
        </w:tabs>
        <w:ind w:left="926" w:hanging="360"/>
      </w:pPr>
    </w:lvl>
  </w:abstractNum>
  <w:abstractNum w:abstractNumId="2" w15:restartNumberingAfterBreak="0">
    <w:nsid w:val="FFFFFF7F"/>
    <w:multiLevelType w:val="singleLevel"/>
    <w:tmpl w:val="9F841BEE"/>
    <w:lvl w:ilvl="0">
      <w:start w:val="1"/>
      <w:numFmt w:val="decimal"/>
      <w:pStyle w:val="ListNumber2"/>
      <w:lvlText w:val="%1."/>
      <w:lvlJc w:val="left"/>
      <w:pPr>
        <w:tabs>
          <w:tab w:val="num" w:pos="643"/>
        </w:tabs>
        <w:ind w:left="643" w:hanging="360"/>
      </w:pPr>
    </w:lvl>
  </w:abstractNum>
  <w:abstractNum w:abstractNumId="3" w15:restartNumberingAfterBreak="0">
    <w:nsid w:val="FFFFFF81"/>
    <w:multiLevelType w:val="singleLevel"/>
    <w:tmpl w:val="85D4AE18"/>
    <w:lvl w:ilvl="0">
      <w:start w:val="1"/>
      <w:numFmt w:val="bullet"/>
      <w:pStyle w:val="ListBullet4"/>
      <w:lvlText w:val=""/>
      <w:lvlJc w:val="left"/>
      <w:pPr>
        <w:tabs>
          <w:tab w:val="num" w:pos="1209"/>
        </w:tabs>
        <w:ind w:left="1209" w:hanging="360"/>
      </w:pPr>
      <w:rPr>
        <w:rFonts w:ascii="Symbol" w:hAnsi="Symbol" w:hint="default"/>
      </w:rPr>
    </w:lvl>
  </w:abstractNum>
  <w:abstractNum w:abstractNumId="4" w15:restartNumberingAfterBreak="0">
    <w:nsid w:val="FFFFFF82"/>
    <w:multiLevelType w:val="singleLevel"/>
    <w:tmpl w:val="88E67FB8"/>
    <w:lvl w:ilvl="0">
      <w:start w:val="1"/>
      <w:numFmt w:val="bullet"/>
      <w:pStyle w:val="ListBullet3"/>
      <w:lvlText w:val=""/>
      <w:lvlJc w:val="left"/>
      <w:pPr>
        <w:tabs>
          <w:tab w:val="num" w:pos="926"/>
        </w:tabs>
        <w:ind w:left="926" w:hanging="360"/>
      </w:pPr>
      <w:rPr>
        <w:rFonts w:ascii="Symbol" w:hAnsi="Symbol" w:hint="default"/>
      </w:rPr>
    </w:lvl>
  </w:abstractNum>
  <w:abstractNum w:abstractNumId="5" w15:restartNumberingAfterBreak="0">
    <w:nsid w:val="FFFFFF83"/>
    <w:multiLevelType w:val="singleLevel"/>
    <w:tmpl w:val="99E0958A"/>
    <w:lvl w:ilvl="0">
      <w:start w:val="1"/>
      <w:numFmt w:val="bullet"/>
      <w:pStyle w:val="ListBullet2"/>
      <w:lvlText w:val=""/>
      <w:lvlJc w:val="left"/>
      <w:pPr>
        <w:tabs>
          <w:tab w:val="num" w:pos="643"/>
        </w:tabs>
        <w:ind w:left="643" w:hanging="360"/>
      </w:pPr>
      <w:rPr>
        <w:rFonts w:ascii="Symbol" w:hAnsi="Symbol" w:hint="default"/>
      </w:rPr>
    </w:lvl>
  </w:abstractNum>
  <w:abstractNum w:abstractNumId="6" w15:restartNumberingAfterBreak="0">
    <w:nsid w:val="FFFFFF88"/>
    <w:multiLevelType w:val="singleLevel"/>
    <w:tmpl w:val="677C7BFE"/>
    <w:lvl w:ilvl="0">
      <w:start w:val="1"/>
      <w:numFmt w:val="decimal"/>
      <w:pStyle w:val="ListNumber"/>
      <w:lvlText w:val="%1."/>
      <w:lvlJc w:val="left"/>
      <w:pPr>
        <w:tabs>
          <w:tab w:val="num" w:pos="360"/>
        </w:tabs>
        <w:ind w:left="360" w:hanging="360"/>
      </w:pPr>
    </w:lvl>
  </w:abstractNum>
  <w:abstractNum w:abstractNumId="7" w15:restartNumberingAfterBreak="0">
    <w:nsid w:val="FFFFFF89"/>
    <w:multiLevelType w:val="singleLevel"/>
    <w:tmpl w:val="E698DA06"/>
    <w:lvl w:ilvl="0">
      <w:start w:val="1"/>
      <w:numFmt w:val="bullet"/>
      <w:pStyle w:val="ListBullet"/>
      <w:lvlText w:val=""/>
      <w:lvlJc w:val="left"/>
      <w:pPr>
        <w:tabs>
          <w:tab w:val="num" w:pos="360"/>
        </w:tabs>
        <w:ind w:left="360" w:hanging="360"/>
      </w:pPr>
      <w:rPr>
        <w:rFonts w:ascii="Symbol" w:hAnsi="Symbol" w:hint="default"/>
      </w:rPr>
    </w:lvl>
  </w:abstractNum>
  <w:abstractNum w:abstractNumId="8"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9" w15:restartNumberingAfterBreak="0">
    <w:nsid w:val="22E44180"/>
    <w:multiLevelType w:val="multilevel"/>
    <w:tmpl w:val="DFC88CEC"/>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decimal"/>
      <w:pStyle w:val="NumPar5"/>
      <w:lvlText w:val="%1.%2.%3.%4.%5."/>
      <w:lvlJc w:val="left"/>
      <w:pPr>
        <w:tabs>
          <w:tab w:val="num" w:pos="1417"/>
        </w:tabs>
        <w:ind w:left="1417" w:hanging="1417"/>
      </w:pPr>
    </w:lvl>
    <w:lvl w:ilvl="5">
      <w:start w:val="1"/>
      <w:numFmt w:val="decimal"/>
      <w:pStyle w:val="NumPar6"/>
      <w:lvlText w:val="%1.%2.%3.%4.%5.%6."/>
      <w:lvlJc w:val="left"/>
      <w:pPr>
        <w:tabs>
          <w:tab w:val="num" w:pos="1417"/>
        </w:tabs>
        <w:ind w:left="1417" w:hanging="1417"/>
      </w:pPr>
    </w:lvl>
    <w:lvl w:ilvl="6">
      <w:start w:val="1"/>
      <w:numFmt w:val="decimal"/>
      <w:pStyle w:val="NumPar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11"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3"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14" w15:restartNumberingAfterBreak="0">
    <w:nsid w:val="42FC077D"/>
    <w:multiLevelType w:val="singleLevel"/>
    <w:tmpl w:val="4128FD03"/>
    <w:name w:val="Tiret 5"/>
    <w:lvl w:ilvl="0">
      <w:start w:val="1"/>
      <w:numFmt w:val="bullet"/>
      <w:lvlRestart w:val="0"/>
      <w:pStyle w:val="Tiret5"/>
      <w:lvlText w:val="–"/>
      <w:lvlJc w:val="left"/>
      <w:pPr>
        <w:tabs>
          <w:tab w:val="num" w:pos="3685"/>
        </w:tabs>
        <w:ind w:left="3685" w:hanging="567"/>
      </w:pPr>
    </w:lvl>
  </w:abstractNum>
  <w:abstractNum w:abstractNumId="15"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16"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17"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18"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1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20" w15:restartNumberingAfterBreak="0">
    <w:nsid w:val="64A12FA4"/>
    <w:multiLevelType w:val="multilevel"/>
    <w:tmpl w:val="428ECF3E"/>
    <w:lvl w:ilvl="0">
      <w:start w:val="1"/>
      <w:numFmt w:val="decimal"/>
      <w:lvlRestart w:val="0"/>
      <w:pStyle w:val="Heading1"/>
      <w:lvlText w:val="%1."/>
      <w:lvlJc w:val="left"/>
      <w:pPr>
        <w:tabs>
          <w:tab w:val="num" w:pos="850"/>
        </w:tabs>
        <w:ind w:left="850" w:hanging="850"/>
      </w:pPr>
    </w:lvl>
    <w:lvl w:ilvl="1">
      <w:start w:val="1"/>
      <w:numFmt w:val="decimal"/>
      <w:pStyle w:val="Heading2"/>
      <w:lvlText w:val="%1.%2."/>
      <w:lvlJc w:val="left"/>
      <w:pPr>
        <w:tabs>
          <w:tab w:val="num" w:pos="850"/>
        </w:tabs>
        <w:ind w:left="850" w:hanging="850"/>
      </w:pPr>
    </w:lvl>
    <w:lvl w:ilvl="2">
      <w:start w:val="1"/>
      <w:numFmt w:val="decimal"/>
      <w:pStyle w:val="Heading3"/>
      <w:lvlText w:val="%1.%2.%3."/>
      <w:lvlJc w:val="left"/>
      <w:pPr>
        <w:tabs>
          <w:tab w:val="num" w:pos="850"/>
        </w:tabs>
        <w:ind w:left="850" w:hanging="850"/>
      </w:pPr>
    </w:lvl>
    <w:lvl w:ilvl="3">
      <w:start w:val="1"/>
      <w:numFmt w:val="decimal"/>
      <w:pStyle w:val="Heading4"/>
      <w:lvlText w:val="%1.%2.%3.%4."/>
      <w:lvlJc w:val="left"/>
      <w:pPr>
        <w:tabs>
          <w:tab w:val="num" w:pos="850"/>
        </w:tabs>
        <w:ind w:left="850" w:hanging="850"/>
      </w:pPr>
    </w:lvl>
    <w:lvl w:ilvl="4">
      <w:start w:val="1"/>
      <w:numFmt w:val="decimal"/>
      <w:pStyle w:val="Heading5"/>
      <w:lvlText w:val="%1.%2.%3.%4.%5."/>
      <w:lvlJc w:val="left"/>
      <w:pPr>
        <w:tabs>
          <w:tab w:val="num" w:pos="1417"/>
        </w:tabs>
        <w:ind w:left="1417" w:hanging="1417"/>
      </w:pPr>
    </w:lvl>
    <w:lvl w:ilvl="5">
      <w:start w:val="1"/>
      <w:numFmt w:val="decimal"/>
      <w:pStyle w:val="Heading6"/>
      <w:lvlText w:val="%1.%2.%3.%4.%5.%6."/>
      <w:lvlJc w:val="left"/>
      <w:pPr>
        <w:tabs>
          <w:tab w:val="num" w:pos="1417"/>
        </w:tabs>
        <w:ind w:left="1417" w:hanging="1417"/>
      </w:pPr>
    </w:lvl>
    <w:lvl w:ilvl="6">
      <w:start w:val="1"/>
      <w:numFmt w:val="decimal"/>
      <w:pStyle w:val="Heading7"/>
      <w:lvlText w:val="%1.%2.%3.%4.%5.%6.%7."/>
      <w:lvlJc w:val="left"/>
      <w:pPr>
        <w:tabs>
          <w:tab w:val="num" w:pos="1417"/>
        </w:tabs>
        <w:ind w:left="1417" w:hanging="1417"/>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22"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num w:numId="1">
    <w:abstractNumId w:val="22"/>
    <w:lvlOverride w:ilvl="0">
      <w:startOverride w:val="1"/>
    </w:lvlOverride>
  </w:num>
  <w:num w:numId="2">
    <w:abstractNumId w:val="7"/>
  </w:num>
  <w:num w:numId="3">
    <w:abstractNumId w:val="5"/>
  </w:num>
  <w:num w:numId="4">
    <w:abstractNumId w:val="4"/>
  </w:num>
  <w:num w:numId="5">
    <w:abstractNumId w:val="3"/>
  </w:num>
  <w:num w:numId="6">
    <w:abstractNumId w:val="6"/>
  </w:num>
  <w:num w:numId="7">
    <w:abstractNumId w:val="2"/>
  </w:num>
  <w:num w:numId="8">
    <w:abstractNumId w:val="1"/>
  </w:num>
  <w:num w:numId="9">
    <w:abstractNumId w:val="0"/>
  </w:num>
  <w:num w:numId="10">
    <w:abstractNumId w:val="19"/>
  </w:num>
  <w:num w:numId="11">
    <w:abstractNumId w:val="12"/>
  </w:num>
  <w:num w:numId="12">
    <w:abstractNumId w:val="21"/>
  </w:num>
  <w:num w:numId="13">
    <w:abstractNumId w:val="11"/>
  </w:num>
  <w:num w:numId="14">
    <w:abstractNumId w:val="13"/>
  </w:num>
  <w:num w:numId="15">
    <w:abstractNumId w:val="9"/>
  </w:num>
  <w:num w:numId="16">
    <w:abstractNumId w:val="20"/>
  </w:num>
  <w:num w:numId="17">
    <w:abstractNumId w:val="8"/>
  </w:num>
  <w:num w:numId="18">
    <w:abstractNumId w:val="15"/>
  </w:num>
  <w:num w:numId="19">
    <w:abstractNumId w:val="17"/>
  </w:num>
  <w:num w:numId="20">
    <w:abstractNumId w:val="18"/>
  </w:num>
  <w:num w:numId="21">
    <w:abstractNumId w:val="10"/>
  </w:num>
  <w:num w:numId="22">
    <w:abstractNumId w:val="16"/>
  </w:num>
  <w:num w:numId="23">
    <w:abstractNumId w:val="22"/>
  </w:num>
  <w:num w:numId="24">
    <w:abstractNumId w:val="20"/>
  </w:num>
  <w:num w:numId="25">
    <w:abstractNumId w:val="20"/>
  </w:num>
  <w:num w:numId="26">
    <w:abstractNumId w:val="20"/>
  </w:num>
  <w:num w:numId="27">
    <w:abstractNumId w:val="14"/>
  </w:num>
  <w:num w:numId="28">
    <w:abstractNumId w:val="9"/>
  </w:num>
  <w:num w:numId="29">
    <w:abstractNumId w:val="9"/>
  </w:num>
  <w:num w:numId="30">
    <w:abstractNumId w:val="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90"/>
  <w:hideSpellingErrors/>
  <w:hideGrammaticalErrors/>
  <w:activeWritingStyle w:appName="MSWord" w:lang="de-DE" w:vendorID="64" w:dllVersion="131078" w:nlCheck="1" w:checkStyle="0"/>
  <w:activeWritingStyle w:appName="MSWord" w:lang="en-GB" w:vendorID="64" w:dllVersion="131078" w:nlCheck="1" w:checkStyle="1"/>
  <w:activeWritingStyle w:appName="MSWord" w:lang="en-IE" w:vendorID="64" w:dllVersion="131078" w:nlCheck="1" w:checkStyle="1"/>
  <w:activeWritingStyle w:appName="MSWord" w:lang="da-DK" w:vendorID="64" w:dllVersion="131078" w:nlCheck="1" w:checkStyle="0"/>
  <w:attachedTemplate r:id="rId1"/>
  <w:defaultTabStop w:val="720"/>
  <w:hyphenationZone w:val="425"/>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R_RefLast" w:val="0"/>
    <w:docVar w:name="DQCDateTime" w:val="2022-02-22 12:46:27"/>
    <w:docVar w:name="DQCResult_Distribution" w:val="0;1"/>
    <w:docVar w:name="DQCResult_DocumentContent" w:val="0;0"/>
    <w:docVar w:name="DQCResult_DocumentSize" w:val="0;0"/>
    <w:docVar w:name="DQCResult_DocumentVersions" w:val="0;0"/>
    <w:docVar w:name="DQCResult_InvalidFootnotes" w:val="0;0"/>
    <w:docVar w:name="DQCResult_LinkedStyles" w:val="0;0"/>
    <w:docVar w:name="DQCResult_ModifiedMargins" w:val="0;0"/>
    <w:docVar w:name="DQCResult_ModifiedMarkers" w:val="0;0"/>
    <w:docVar w:name="DQCResult_ModifiedNumbering" w:val="0;0"/>
    <w:docVar w:name="DQCResult_Objects" w:val="0;0"/>
    <w:docVar w:name="DQCResult_Sections" w:val="0;0"/>
    <w:docVar w:name="DQCResult_StructureCheck" w:val="0;0"/>
    <w:docVar w:name="DQCResult_SuperfluousWhitespace" w:val="0;2"/>
    <w:docVar w:name="DQCResult_UnknownFonts" w:val="0;0"/>
    <w:docVar w:name="DQCResult_UnknownStyles" w:val="0;0"/>
    <w:docVar w:name="DQCStatus" w:val="Green"/>
    <w:docVar w:name="DQCVersion" w:val="3"/>
    <w:docVar w:name="DQCWithWarnings" w:val="0"/>
    <w:docVar w:name="LW_COVERPAGE_EXISTS" w:val="True"/>
    <w:docVar w:name="LW_COVERPAGE_GUID" w:val="54B09655-FB4D-4F79-85F2-80C98560F925"/>
    <w:docVar w:name="LW_COVERPAGE_TYPE" w:val="1"/>
    <w:docVar w:name="LW_CROSSREFERENCE" w:val="&lt;UNUSED&gt;"/>
    <w:docVar w:name="LW_DATE.ADOPT.CP" w:val="af 3.3.2022"/>
    <w:docVar w:name="LW_DATE.ADOPT.CP_DATEFORMAT" w:val="af %DATE%"/>
    <w:docVar w:name="LW_DATE.ADOPT.CP_ISODATE" w:val="2022-03-03"/>
    <w:docVar w:name="LW_DocType" w:val="COM"/>
    <w:docVar w:name="LW_EMISSION" w:val="3.3.2022"/>
    <w:docVar w:name="LW_EMISSION_ISODATE" w:val="2022-03-03"/>
    <w:docVar w:name="LW_EMISSION_LOCATION" w:val="BRX"/>
    <w:docVar w:name="LW_EMISSION_PREFIX" w:val="Bruxelles, den "/>
    <w:docVar w:name="LW_EMISSION_SUFFIX" w:val=" "/>
    <w:docVar w:name="LW_ID_DOCMODEL" w:val="SJ-004"/>
    <w:docVar w:name="LW_ID_DOCSIGNATURE" w:val="SJ-004"/>
    <w:docVar w:name="LW_ID_DOCSTRUCTURE" w:val="COM/AA"/>
    <w:docVar w:name="LW_ID_DOCTYPE" w:val="SJ-004"/>
    <w:docVar w:name="LW_INTERETEEE.CP" w:val="(EØS-relevant tekst)"/>
    <w:docVar w:name="LW_LANGUE" w:val="DA"/>
    <w:docVar w:name="LW_LANGUESFAISANTFOI.CP" w:val="&lt;UNUSED&gt;"/>
    <w:docVar w:name="LW_LEVEL_OF_SENSITIVITY" w:val="Standard treatment"/>
    <w:docVar w:name="LW_NOM.INST" w:val="EUROPA-KOMMISSIONEN"/>
    <w:docVar w:name="LW_NOM.INST_JOINTDOC" w:val="&lt;EMPTY&gt;"/>
    <w:docVar w:name="LW_PART_NBR" w:val="1"/>
    <w:docVar w:name="LW_PART_NBR_TOTAL" w:val="1"/>
    <w:docVar w:name="LW_REF.INST.NEW" w:val="C"/>
    <w:docVar w:name="LW_REF.INST.NEW_ADOPTED" w:val="final"/>
    <w:docVar w:name="LW_REF.INST.NEW_TEXT" w:val="(2022) 1227"/>
    <w:docVar w:name="LW_REF.INTERNE" w:val="&lt;UNUSED&gt;"/>
    <w:docVar w:name="LW_SENSITIVITY" w:val="&lt;?xml version=&quot;1.0&quot; encoding=&quot;utf-8&quot;?&gt;_x000d__x000a_&lt;SensitivityLevel xmlns:xsi=&quot;http://www.w3.org/2001/XMLSchema-instance&quot; xmlns:xsd=&quot;http://www.w3.org/2001/XMLSchema&quot; id=&quot;standard&quot;&gt;_x000d__x000a_  &lt;nicename EN=&quot;Standard treatment&quot; FR=&quot;Traitement standard&quot; /&gt;_x000d__x000a_  &lt;documentProperty&gt;Standard treatment&lt;/documentProperty&gt;_x000d__x000a_  &lt;markingConfig isAvailable=&quot;false&quot; isMandatory=&quot;false&quot; sensitiveMarkingMandatory=&quot;false&quot; specialMarkingMandatory=&quot;true&quot; isOptionDisplayInHeaderAvailable=&quot;true&quot; sensitiveMarkingListSee=&quot;SensitiveMarkings&quot; specialMarkingListSee=&quot;SpecialMarkings&quot; sensitiveFootnoteTextSee=&quot;sensitiveFootnote&quot; specialFootnoteTextSee=&quot;specialFootnote&quot; /&gt;_x000d__x000a_  &lt;chosenMainMarking xsi:nil=&quot;true&quot; /&gt;_x000d__x000a_  &lt;dateMarking xsi:nil=&quot;true&quot; /&gt;_x000d__x000a_  &lt;releasableToConfig isAvailable=&quot;false&quot; institutionListSee=&quot;DefaultInstitutions&quot; /&gt;_x000d__x000a_  &lt;chosenReleasableTo xsi:nil=&quot;true&quot; /&gt;_x000d__x000a_  &lt;detached xsi:nil=&quot;true&quot; /&gt;_x000d__x000a_  &lt;declassify xsi:nil=&quot;true&quot; /&gt;_x000d__x000a_  &lt;headerTexts xsi:nil=&quot;true&quot; /&gt;_x000d__x000a_  &lt;footerTexts xsi:nil=&quot;true&quot; /&gt;_x000d__x000a_  &lt;isRestricted&gt;false&lt;/isRestricted&gt;_x000d__x000a_&lt;/SensitivityLevel&gt;"/>
    <w:docVar w:name="LW_SUPERTITRE" w:val="&lt;UNUSED&gt;"/>
    <w:docVar w:name="LW_TITRE.OBJ.CP" w:val="om ændring af gennemførelsesforordning (EU) 2018/1624 om gennemførelsesmæssige tekniske standarder vedrørende procedurer, standardformularer og skemaer for forelæggelse af oplysninger i forbindelse med afviklingsplaner for kreditinstitutter og investeringsselskaber i medfør af Europa-Parlamentets og Rådets direktiv 2014/59/EU _x000b_"/>
    <w:docVar w:name="LW_TYPE.DOC.CP" w:val="KOMMISSIONENS GENNEMFØRELSESFORORDNING (EU) …/…"/>
    <w:docVar w:name="LwApiVersions" w:val="LW4CoDe 1.23.2.0; LW 8.0, Build 20211117"/>
  </w:docVars>
  <w:rsids>
    <w:rsidRoot w:val="00745799"/>
    <w:rsid w:val="00030008"/>
    <w:rsid w:val="00051125"/>
    <w:rsid w:val="00077B5D"/>
    <w:rsid w:val="00090F84"/>
    <w:rsid w:val="00096F1E"/>
    <w:rsid w:val="000A5309"/>
    <w:rsid w:val="000A7517"/>
    <w:rsid w:val="000E198E"/>
    <w:rsid w:val="000E5A8D"/>
    <w:rsid w:val="000F0ADA"/>
    <w:rsid w:val="00123B47"/>
    <w:rsid w:val="00134C08"/>
    <w:rsid w:val="001838A3"/>
    <w:rsid w:val="001C2816"/>
    <w:rsid w:val="001D72C1"/>
    <w:rsid w:val="00213F5B"/>
    <w:rsid w:val="00232E98"/>
    <w:rsid w:val="0024162D"/>
    <w:rsid w:val="002529F8"/>
    <w:rsid w:val="00283253"/>
    <w:rsid w:val="002E04D0"/>
    <w:rsid w:val="003053DC"/>
    <w:rsid w:val="003151E2"/>
    <w:rsid w:val="00333B7B"/>
    <w:rsid w:val="003D725F"/>
    <w:rsid w:val="003E38EA"/>
    <w:rsid w:val="00426704"/>
    <w:rsid w:val="0043073D"/>
    <w:rsid w:val="00435309"/>
    <w:rsid w:val="004B08D1"/>
    <w:rsid w:val="004F579B"/>
    <w:rsid w:val="00511345"/>
    <w:rsid w:val="00552658"/>
    <w:rsid w:val="005B1217"/>
    <w:rsid w:val="005F79AB"/>
    <w:rsid w:val="00603FDC"/>
    <w:rsid w:val="0068424A"/>
    <w:rsid w:val="006944A9"/>
    <w:rsid w:val="006B3BDB"/>
    <w:rsid w:val="006D5B8E"/>
    <w:rsid w:val="0070128F"/>
    <w:rsid w:val="007170E9"/>
    <w:rsid w:val="00745799"/>
    <w:rsid w:val="00753C08"/>
    <w:rsid w:val="0076684E"/>
    <w:rsid w:val="007B4BAD"/>
    <w:rsid w:val="007C06F6"/>
    <w:rsid w:val="007E3268"/>
    <w:rsid w:val="007F3383"/>
    <w:rsid w:val="00813DCB"/>
    <w:rsid w:val="0083313F"/>
    <w:rsid w:val="008527A9"/>
    <w:rsid w:val="008A29EB"/>
    <w:rsid w:val="008A5816"/>
    <w:rsid w:val="008B152E"/>
    <w:rsid w:val="008E0900"/>
    <w:rsid w:val="008F621A"/>
    <w:rsid w:val="00911DBE"/>
    <w:rsid w:val="009202AA"/>
    <w:rsid w:val="00945758"/>
    <w:rsid w:val="00986B33"/>
    <w:rsid w:val="00987AD5"/>
    <w:rsid w:val="009B7138"/>
    <w:rsid w:val="009C3971"/>
    <w:rsid w:val="00A4402E"/>
    <w:rsid w:val="00AA42F1"/>
    <w:rsid w:val="00B03A20"/>
    <w:rsid w:val="00B63485"/>
    <w:rsid w:val="00B85498"/>
    <w:rsid w:val="00BE246D"/>
    <w:rsid w:val="00BF17AA"/>
    <w:rsid w:val="00BF5167"/>
    <w:rsid w:val="00C24556"/>
    <w:rsid w:val="00C52AC5"/>
    <w:rsid w:val="00CA6AAF"/>
    <w:rsid w:val="00CA7741"/>
    <w:rsid w:val="00CB6CB7"/>
    <w:rsid w:val="00D4394C"/>
    <w:rsid w:val="00DE6299"/>
    <w:rsid w:val="00DF7421"/>
    <w:rsid w:val="00E51AFA"/>
    <w:rsid w:val="00E578DB"/>
    <w:rsid w:val="00ED2110"/>
    <w:rsid w:val="00F10E91"/>
    <w:rsid w:val="00F11A21"/>
    <w:rsid w:val="00F20062"/>
    <w:rsid w:val="00F4355B"/>
    <w:rsid w:val="00FF22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6832BA40"/>
  <w15:docId w15:val="{AB47458E-1441-4473-9270-EF5321922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before="120" w:after="120" w:line="240" w:lineRule="auto"/>
      <w:jc w:val="both"/>
    </w:pPr>
    <w:rPr>
      <w:rFonts w:ascii="Times New Roman" w:hAnsi="Times New Roman" w:cs="Times New Roman"/>
      <w:sz w:val="24"/>
      <w:lang w:val="da-DK"/>
    </w:rPr>
  </w:style>
  <w:style w:type="paragraph" w:styleId="Heading1">
    <w:name w:val="heading 1"/>
    <w:basedOn w:val="Normal"/>
    <w:next w:val="Text1"/>
    <w:link w:val="Heading1Char"/>
    <w:uiPriority w:val="9"/>
    <w:qFormat/>
    <w:rsid w:val="009B7138"/>
    <w:pPr>
      <w:keepNext/>
      <w:numPr>
        <w:numId w:val="26"/>
      </w:numPr>
      <w:spacing w:before="360"/>
      <w:outlineLvl w:val="0"/>
    </w:pPr>
    <w:rPr>
      <w:rFonts w:eastAsiaTheme="majorEastAsia"/>
      <w:b/>
      <w:bCs/>
      <w:smallCaps/>
      <w:szCs w:val="28"/>
    </w:rPr>
  </w:style>
  <w:style w:type="paragraph" w:styleId="Heading2">
    <w:name w:val="heading 2"/>
    <w:basedOn w:val="Normal"/>
    <w:next w:val="Text1"/>
    <w:link w:val="Heading2Char"/>
    <w:uiPriority w:val="9"/>
    <w:semiHidden/>
    <w:unhideWhenUsed/>
    <w:qFormat/>
    <w:rsid w:val="009B7138"/>
    <w:pPr>
      <w:keepNext/>
      <w:numPr>
        <w:ilvl w:val="1"/>
        <w:numId w:val="26"/>
      </w:numPr>
      <w:outlineLvl w:val="1"/>
    </w:pPr>
    <w:rPr>
      <w:rFonts w:eastAsiaTheme="majorEastAsia"/>
      <w:b/>
      <w:bCs/>
      <w:szCs w:val="26"/>
    </w:rPr>
  </w:style>
  <w:style w:type="paragraph" w:styleId="Heading3">
    <w:name w:val="heading 3"/>
    <w:basedOn w:val="Normal"/>
    <w:next w:val="Text1"/>
    <w:link w:val="Heading3Char"/>
    <w:uiPriority w:val="9"/>
    <w:semiHidden/>
    <w:unhideWhenUsed/>
    <w:qFormat/>
    <w:rsid w:val="009B7138"/>
    <w:pPr>
      <w:keepNext/>
      <w:numPr>
        <w:ilvl w:val="2"/>
        <w:numId w:val="26"/>
      </w:numPr>
      <w:outlineLvl w:val="2"/>
    </w:pPr>
    <w:rPr>
      <w:rFonts w:eastAsiaTheme="majorEastAsia"/>
      <w:bCs/>
      <w:i/>
    </w:rPr>
  </w:style>
  <w:style w:type="paragraph" w:styleId="Heading4">
    <w:name w:val="heading 4"/>
    <w:basedOn w:val="Normal"/>
    <w:next w:val="Text1"/>
    <w:link w:val="Heading4Char"/>
    <w:uiPriority w:val="9"/>
    <w:semiHidden/>
    <w:unhideWhenUsed/>
    <w:qFormat/>
    <w:rsid w:val="009B7138"/>
    <w:pPr>
      <w:keepNext/>
      <w:numPr>
        <w:ilvl w:val="3"/>
        <w:numId w:val="26"/>
      </w:numPr>
      <w:outlineLvl w:val="3"/>
    </w:pPr>
    <w:rPr>
      <w:rFonts w:eastAsiaTheme="majorEastAsia"/>
      <w:bCs/>
      <w:iCs/>
    </w:rPr>
  </w:style>
  <w:style w:type="paragraph" w:styleId="Heading5">
    <w:name w:val="heading 5"/>
    <w:basedOn w:val="Normal"/>
    <w:next w:val="Text2"/>
    <w:link w:val="Heading5Char"/>
    <w:uiPriority w:val="9"/>
    <w:semiHidden/>
    <w:unhideWhenUsed/>
    <w:qFormat/>
    <w:rsid w:val="00ED2110"/>
    <w:pPr>
      <w:keepNext/>
      <w:numPr>
        <w:ilvl w:val="4"/>
        <w:numId w:val="26"/>
      </w:numPr>
      <w:outlineLvl w:val="4"/>
    </w:pPr>
    <w:rPr>
      <w:rFonts w:eastAsiaTheme="majorEastAsia"/>
    </w:rPr>
  </w:style>
  <w:style w:type="paragraph" w:styleId="Heading6">
    <w:name w:val="heading 6"/>
    <w:basedOn w:val="Normal"/>
    <w:next w:val="Text2"/>
    <w:link w:val="Heading6Char"/>
    <w:uiPriority w:val="9"/>
    <w:semiHidden/>
    <w:unhideWhenUsed/>
    <w:qFormat/>
    <w:rsid w:val="00ED2110"/>
    <w:pPr>
      <w:keepNext/>
      <w:numPr>
        <w:ilvl w:val="5"/>
        <w:numId w:val="26"/>
      </w:numPr>
      <w:outlineLvl w:val="5"/>
    </w:pPr>
    <w:rPr>
      <w:rFonts w:eastAsiaTheme="majorEastAsia"/>
      <w:iCs/>
    </w:rPr>
  </w:style>
  <w:style w:type="paragraph" w:styleId="Heading7">
    <w:name w:val="heading 7"/>
    <w:basedOn w:val="Normal"/>
    <w:next w:val="Text2"/>
    <w:link w:val="Heading7Char"/>
    <w:uiPriority w:val="9"/>
    <w:semiHidden/>
    <w:unhideWhenUsed/>
    <w:qFormat/>
    <w:rsid w:val="00ED2110"/>
    <w:pPr>
      <w:keepNext/>
      <w:numPr>
        <w:ilvl w:val="6"/>
        <w:numId w:val="26"/>
      </w:numPr>
      <w:outlineLvl w:val="6"/>
    </w:pPr>
    <w:rPr>
      <w:rFonts w:eastAsiaTheme="majorEastAsia"/>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uiPriority w:val="99"/>
    <w:semiHidden/>
    <w:unhideWhenUsed/>
    <w:rsid w:val="003151E2"/>
    <w:pPr>
      <w:numPr>
        <w:numId w:val="2"/>
      </w:numPr>
      <w:contextualSpacing/>
    </w:pPr>
  </w:style>
  <w:style w:type="paragraph" w:styleId="ListBullet2">
    <w:name w:val="List Bullet 2"/>
    <w:basedOn w:val="Normal"/>
    <w:uiPriority w:val="99"/>
    <w:semiHidden/>
    <w:unhideWhenUsed/>
    <w:rsid w:val="003151E2"/>
    <w:pPr>
      <w:numPr>
        <w:numId w:val="3"/>
      </w:numPr>
      <w:contextualSpacing/>
    </w:pPr>
  </w:style>
  <w:style w:type="paragraph" w:styleId="ListBullet3">
    <w:name w:val="List Bullet 3"/>
    <w:basedOn w:val="Normal"/>
    <w:uiPriority w:val="99"/>
    <w:semiHidden/>
    <w:unhideWhenUsed/>
    <w:rsid w:val="003151E2"/>
    <w:pPr>
      <w:numPr>
        <w:numId w:val="4"/>
      </w:numPr>
      <w:contextualSpacing/>
    </w:pPr>
  </w:style>
  <w:style w:type="paragraph" w:styleId="ListBullet4">
    <w:name w:val="List Bullet 4"/>
    <w:basedOn w:val="Normal"/>
    <w:uiPriority w:val="99"/>
    <w:semiHidden/>
    <w:unhideWhenUsed/>
    <w:rsid w:val="003151E2"/>
    <w:pPr>
      <w:numPr>
        <w:numId w:val="5"/>
      </w:numPr>
      <w:contextualSpacing/>
    </w:pPr>
  </w:style>
  <w:style w:type="paragraph" w:styleId="Caption">
    <w:name w:val="caption"/>
    <w:basedOn w:val="Normal"/>
    <w:next w:val="Normal"/>
    <w:uiPriority w:val="35"/>
    <w:semiHidden/>
    <w:unhideWhenUsed/>
    <w:qFormat/>
    <w:rsid w:val="00283253"/>
    <w:pPr>
      <w:spacing w:before="0" w:after="200"/>
    </w:pPr>
    <w:rPr>
      <w:i/>
      <w:iCs/>
      <w:color w:val="1F497D" w:themeColor="text2"/>
      <w:sz w:val="18"/>
      <w:szCs w:val="18"/>
    </w:rPr>
  </w:style>
  <w:style w:type="paragraph" w:styleId="TableofFigures">
    <w:name w:val="table of figures"/>
    <w:basedOn w:val="Normal"/>
    <w:next w:val="Normal"/>
    <w:uiPriority w:val="99"/>
    <w:semiHidden/>
    <w:unhideWhenUsed/>
    <w:rsid w:val="00283253"/>
    <w:pPr>
      <w:spacing w:after="0"/>
    </w:pPr>
  </w:style>
  <w:style w:type="paragraph" w:styleId="ListNumber">
    <w:name w:val="List Number"/>
    <w:basedOn w:val="Normal"/>
    <w:uiPriority w:val="99"/>
    <w:semiHidden/>
    <w:unhideWhenUsed/>
    <w:rsid w:val="00283253"/>
    <w:pPr>
      <w:numPr>
        <w:numId w:val="6"/>
      </w:numPr>
      <w:contextualSpacing/>
    </w:pPr>
  </w:style>
  <w:style w:type="paragraph" w:styleId="ListNumber2">
    <w:name w:val="List Number 2"/>
    <w:basedOn w:val="Normal"/>
    <w:uiPriority w:val="99"/>
    <w:semiHidden/>
    <w:unhideWhenUsed/>
    <w:rsid w:val="00283253"/>
    <w:pPr>
      <w:numPr>
        <w:numId w:val="7"/>
      </w:numPr>
      <w:contextualSpacing/>
    </w:pPr>
  </w:style>
  <w:style w:type="paragraph" w:styleId="ListNumber3">
    <w:name w:val="List Number 3"/>
    <w:basedOn w:val="Normal"/>
    <w:uiPriority w:val="99"/>
    <w:semiHidden/>
    <w:unhideWhenUsed/>
    <w:rsid w:val="00283253"/>
    <w:pPr>
      <w:numPr>
        <w:numId w:val="8"/>
      </w:numPr>
      <w:contextualSpacing/>
    </w:pPr>
  </w:style>
  <w:style w:type="paragraph" w:styleId="ListNumber4">
    <w:name w:val="List Number 4"/>
    <w:basedOn w:val="Normal"/>
    <w:uiPriority w:val="99"/>
    <w:semiHidden/>
    <w:unhideWhenUsed/>
    <w:rsid w:val="00283253"/>
    <w:pPr>
      <w:numPr>
        <w:numId w:val="9"/>
      </w:numPr>
      <w:contextualSpacing/>
    </w:pPr>
  </w:style>
  <w:style w:type="character" w:styleId="CommentReference">
    <w:name w:val="annotation reference"/>
    <w:basedOn w:val="DefaultParagraphFont"/>
    <w:uiPriority w:val="99"/>
    <w:semiHidden/>
    <w:unhideWhenUsed/>
    <w:rsid w:val="009C3971"/>
    <w:rPr>
      <w:sz w:val="16"/>
      <w:szCs w:val="16"/>
    </w:rPr>
  </w:style>
  <w:style w:type="paragraph" w:styleId="CommentText">
    <w:name w:val="annotation text"/>
    <w:basedOn w:val="Normal"/>
    <w:link w:val="CommentTextChar"/>
    <w:uiPriority w:val="99"/>
    <w:unhideWhenUsed/>
    <w:rsid w:val="009C3971"/>
    <w:rPr>
      <w:sz w:val="20"/>
      <w:szCs w:val="20"/>
    </w:rPr>
  </w:style>
  <w:style w:type="character" w:customStyle="1" w:styleId="CommentTextChar">
    <w:name w:val="Comment Text Char"/>
    <w:basedOn w:val="DefaultParagraphFont"/>
    <w:link w:val="CommentText"/>
    <w:uiPriority w:val="99"/>
    <w:rsid w:val="009C3971"/>
    <w:rPr>
      <w:rFonts w:ascii="Times New Roman" w:hAnsi="Times New Roman" w:cs="Times New Roman"/>
      <w:sz w:val="20"/>
      <w:szCs w:val="20"/>
      <w:lang w:val="da-DK"/>
    </w:rPr>
  </w:style>
  <w:style w:type="paragraph" w:styleId="CommentSubject">
    <w:name w:val="annotation subject"/>
    <w:basedOn w:val="CommentText"/>
    <w:next w:val="CommentText"/>
    <w:link w:val="CommentSubjectChar"/>
    <w:uiPriority w:val="99"/>
    <w:semiHidden/>
    <w:unhideWhenUsed/>
    <w:rsid w:val="009C3971"/>
    <w:rPr>
      <w:b/>
      <w:bCs/>
    </w:rPr>
  </w:style>
  <w:style w:type="character" w:customStyle="1" w:styleId="CommentSubjectChar">
    <w:name w:val="Comment Subject Char"/>
    <w:basedOn w:val="CommentTextChar"/>
    <w:link w:val="CommentSubject"/>
    <w:uiPriority w:val="99"/>
    <w:semiHidden/>
    <w:rsid w:val="009C3971"/>
    <w:rPr>
      <w:rFonts w:ascii="Times New Roman" w:hAnsi="Times New Roman" w:cs="Times New Roman"/>
      <w:b/>
      <w:bCs/>
      <w:sz w:val="20"/>
      <w:szCs w:val="20"/>
      <w:lang w:val="da-DK"/>
    </w:rPr>
  </w:style>
  <w:style w:type="character" w:styleId="Hyperlink">
    <w:name w:val="Hyperlink"/>
    <w:basedOn w:val="DefaultParagraphFont"/>
    <w:uiPriority w:val="99"/>
    <w:unhideWhenUsed/>
    <w:rsid w:val="009C3971"/>
    <w:rPr>
      <w:color w:val="0000FF" w:themeColor="hyperlink"/>
      <w:u w:val="single"/>
    </w:rPr>
  </w:style>
  <w:style w:type="character" w:customStyle="1" w:styleId="UnresolvedMention1">
    <w:name w:val="Unresolved Mention1"/>
    <w:basedOn w:val="DefaultParagraphFont"/>
    <w:uiPriority w:val="99"/>
    <w:semiHidden/>
    <w:unhideWhenUsed/>
    <w:rsid w:val="009C3971"/>
    <w:rPr>
      <w:color w:val="605E5C"/>
      <w:shd w:val="clear" w:color="auto" w:fill="E1DFDD"/>
    </w:rPr>
  </w:style>
  <w:style w:type="paragraph" w:styleId="BalloonText">
    <w:name w:val="Balloon Text"/>
    <w:basedOn w:val="Normal"/>
    <w:link w:val="BalloonTextChar"/>
    <w:uiPriority w:val="99"/>
    <w:semiHidden/>
    <w:unhideWhenUsed/>
    <w:rsid w:val="005F79AB"/>
    <w:pPr>
      <w:spacing w:before="0"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F79AB"/>
    <w:rPr>
      <w:rFonts w:ascii="Segoe UI" w:hAnsi="Segoe UI" w:cs="Segoe UI"/>
      <w:sz w:val="18"/>
      <w:szCs w:val="18"/>
      <w:lang w:val="da-DK"/>
    </w:rPr>
  </w:style>
  <w:style w:type="paragraph" w:styleId="Revision">
    <w:name w:val="Revision"/>
    <w:hidden/>
    <w:uiPriority w:val="99"/>
    <w:semiHidden/>
    <w:rsid w:val="00090F84"/>
    <w:pPr>
      <w:spacing w:after="0" w:line="240" w:lineRule="auto"/>
    </w:pPr>
    <w:rPr>
      <w:rFonts w:ascii="Times New Roman" w:hAnsi="Times New Roman" w:cs="Times New Roman"/>
      <w:sz w:val="24"/>
    </w:rPr>
  </w:style>
  <w:style w:type="character" w:styleId="FollowedHyperlink">
    <w:name w:val="FollowedHyperlink"/>
    <w:basedOn w:val="DefaultParagraphFont"/>
    <w:uiPriority w:val="99"/>
    <w:semiHidden/>
    <w:unhideWhenUsed/>
    <w:rsid w:val="00426704"/>
    <w:rPr>
      <w:color w:val="800080" w:themeColor="followedHyperlink"/>
      <w:u w:val="single"/>
    </w:rPr>
  </w:style>
  <w:style w:type="paragraph" w:styleId="Header">
    <w:name w:val="header"/>
    <w:basedOn w:val="Normal"/>
    <w:link w:val="HeaderChar"/>
    <w:uiPriority w:val="99"/>
    <w:unhideWhenUsed/>
    <w:rsid w:val="00CB6CB7"/>
    <w:pPr>
      <w:tabs>
        <w:tab w:val="center" w:pos="4535"/>
        <w:tab w:val="right" w:pos="9071"/>
      </w:tabs>
      <w:spacing w:before="0"/>
    </w:pPr>
  </w:style>
  <w:style w:type="character" w:customStyle="1" w:styleId="HeaderChar">
    <w:name w:val="Header Char"/>
    <w:basedOn w:val="DefaultParagraphFont"/>
    <w:link w:val="Header"/>
    <w:uiPriority w:val="99"/>
    <w:rsid w:val="00CB6CB7"/>
    <w:rPr>
      <w:rFonts w:ascii="Times New Roman" w:hAnsi="Times New Roman" w:cs="Times New Roman"/>
      <w:sz w:val="24"/>
      <w:lang w:val="da-DK"/>
    </w:rPr>
  </w:style>
  <w:style w:type="paragraph" w:styleId="Footer">
    <w:name w:val="footer"/>
    <w:basedOn w:val="Normal"/>
    <w:link w:val="FooterChar"/>
    <w:uiPriority w:val="99"/>
    <w:unhideWhenUsed/>
    <w:rsid w:val="00CB6CB7"/>
    <w:pPr>
      <w:tabs>
        <w:tab w:val="center" w:pos="4535"/>
        <w:tab w:val="right" w:pos="9071"/>
        <w:tab w:val="right" w:pos="9921"/>
      </w:tabs>
      <w:spacing w:before="360" w:after="0"/>
      <w:ind w:left="-850" w:right="-850"/>
      <w:jc w:val="left"/>
    </w:pPr>
  </w:style>
  <w:style w:type="character" w:customStyle="1" w:styleId="FooterChar">
    <w:name w:val="Footer Char"/>
    <w:basedOn w:val="DefaultParagraphFont"/>
    <w:link w:val="Footer"/>
    <w:uiPriority w:val="99"/>
    <w:rsid w:val="00CB6CB7"/>
    <w:rPr>
      <w:rFonts w:ascii="Times New Roman" w:hAnsi="Times New Roman" w:cs="Times New Roman"/>
      <w:sz w:val="24"/>
      <w:lang w:val="da-DK"/>
    </w:rPr>
  </w:style>
  <w:style w:type="paragraph" w:styleId="FootnoteText">
    <w:name w:val="footnote text"/>
    <w:basedOn w:val="Normal"/>
    <w:link w:val="FootnoteTextChar"/>
    <w:uiPriority w:val="99"/>
    <w:semiHidden/>
    <w:unhideWhenUsed/>
    <w:rsid w:val="009B7138"/>
    <w:pPr>
      <w:spacing w:before="0" w:after="0"/>
      <w:ind w:left="720" w:hanging="720"/>
    </w:pPr>
    <w:rPr>
      <w:sz w:val="20"/>
      <w:szCs w:val="20"/>
    </w:rPr>
  </w:style>
  <w:style w:type="character" w:customStyle="1" w:styleId="FootnoteTextChar">
    <w:name w:val="Footnote Text Char"/>
    <w:basedOn w:val="DefaultParagraphFont"/>
    <w:link w:val="FootnoteText"/>
    <w:uiPriority w:val="99"/>
    <w:semiHidden/>
    <w:rsid w:val="009B7138"/>
    <w:rPr>
      <w:rFonts w:ascii="Times New Roman" w:hAnsi="Times New Roman" w:cs="Times New Roman"/>
      <w:sz w:val="20"/>
      <w:szCs w:val="20"/>
      <w:shd w:val="clear" w:color="auto" w:fill="auto"/>
      <w:lang w:val="en-GB"/>
    </w:rPr>
  </w:style>
  <w:style w:type="character" w:customStyle="1" w:styleId="Heading1Char">
    <w:name w:val="Heading 1 Char"/>
    <w:basedOn w:val="DefaultParagraphFont"/>
    <w:link w:val="Heading1"/>
    <w:uiPriority w:val="9"/>
    <w:rsid w:val="009B7138"/>
    <w:rPr>
      <w:rFonts w:ascii="Times New Roman" w:eastAsiaTheme="majorEastAsia" w:hAnsi="Times New Roman" w:cs="Times New Roman"/>
      <w:b/>
      <w:bCs/>
      <w:smallCaps/>
      <w:sz w:val="24"/>
      <w:szCs w:val="28"/>
      <w:lang w:val="en-GB"/>
    </w:rPr>
  </w:style>
  <w:style w:type="character" w:customStyle="1" w:styleId="Heading2Char">
    <w:name w:val="Heading 2 Char"/>
    <w:basedOn w:val="DefaultParagraphFont"/>
    <w:link w:val="Heading2"/>
    <w:uiPriority w:val="9"/>
    <w:semiHidden/>
    <w:rsid w:val="009B7138"/>
    <w:rPr>
      <w:rFonts w:ascii="Times New Roman" w:eastAsiaTheme="majorEastAsia" w:hAnsi="Times New Roman" w:cs="Times New Roman"/>
      <w:b/>
      <w:bCs/>
      <w:sz w:val="24"/>
      <w:szCs w:val="26"/>
      <w:lang w:val="en-GB"/>
    </w:rPr>
  </w:style>
  <w:style w:type="character" w:customStyle="1" w:styleId="Heading3Char">
    <w:name w:val="Heading 3 Char"/>
    <w:basedOn w:val="DefaultParagraphFont"/>
    <w:link w:val="Heading3"/>
    <w:uiPriority w:val="9"/>
    <w:semiHidden/>
    <w:rsid w:val="009B7138"/>
    <w:rPr>
      <w:rFonts w:ascii="Times New Roman" w:eastAsiaTheme="majorEastAsia" w:hAnsi="Times New Roman" w:cs="Times New Roman"/>
      <w:bCs/>
      <w:i/>
      <w:sz w:val="24"/>
      <w:lang w:val="en-GB"/>
    </w:rPr>
  </w:style>
  <w:style w:type="character" w:customStyle="1" w:styleId="Heading4Char">
    <w:name w:val="Heading 4 Char"/>
    <w:basedOn w:val="DefaultParagraphFont"/>
    <w:link w:val="Heading4"/>
    <w:uiPriority w:val="9"/>
    <w:semiHidden/>
    <w:rsid w:val="009B7138"/>
    <w:rPr>
      <w:rFonts w:ascii="Times New Roman" w:eastAsiaTheme="majorEastAsia" w:hAnsi="Times New Roman" w:cs="Times New Roman"/>
      <w:bCs/>
      <w:iCs/>
      <w:sz w:val="24"/>
      <w:lang w:val="en-GB"/>
    </w:rPr>
  </w:style>
  <w:style w:type="paragraph" w:styleId="TOCHeading">
    <w:name w:val="TOC Heading"/>
    <w:basedOn w:val="Normal"/>
    <w:next w:val="Normal"/>
    <w:uiPriority w:val="39"/>
    <w:semiHidden/>
    <w:unhideWhenUsed/>
    <w:qFormat/>
    <w:rsid w:val="009B7138"/>
    <w:pPr>
      <w:spacing w:after="240"/>
      <w:jc w:val="center"/>
    </w:pPr>
    <w:rPr>
      <w:b/>
      <w:sz w:val="28"/>
    </w:rPr>
  </w:style>
  <w:style w:type="paragraph" w:styleId="TOC1">
    <w:name w:val="toc 1"/>
    <w:basedOn w:val="Normal"/>
    <w:next w:val="Normal"/>
    <w:uiPriority w:val="39"/>
    <w:semiHidden/>
    <w:unhideWhenUsed/>
    <w:rsid w:val="009B7138"/>
    <w:pPr>
      <w:tabs>
        <w:tab w:val="right" w:leader="dot" w:pos="9071"/>
      </w:tabs>
      <w:spacing w:before="60"/>
      <w:ind w:left="850" w:hanging="850"/>
      <w:jc w:val="left"/>
    </w:pPr>
  </w:style>
  <w:style w:type="paragraph" w:styleId="TOC2">
    <w:name w:val="toc 2"/>
    <w:basedOn w:val="Normal"/>
    <w:next w:val="Normal"/>
    <w:uiPriority w:val="39"/>
    <w:semiHidden/>
    <w:unhideWhenUsed/>
    <w:rsid w:val="009B7138"/>
    <w:pPr>
      <w:tabs>
        <w:tab w:val="right" w:leader="dot" w:pos="9071"/>
      </w:tabs>
      <w:spacing w:before="60"/>
      <w:ind w:left="850" w:hanging="850"/>
      <w:jc w:val="left"/>
    </w:pPr>
  </w:style>
  <w:style w:type="paragraph" w:styleId="TOC3">
    <w:name w:val="toc 3"/>
    <w:basedOn w:val="Normal"/>
    <w:next w:val="Normal"/>
    <w:uiPriority w:val="39"/>
    <w:semiHidden/>
    <w:unhideWhenUsed/>
    <w:rsid w:val="009B7138"/>
    <w:pPr>
      <w:tabs>
        <w:tab w:val="right" w:leader="dot" w:pos="9071"/>
      </w:tabs>
      <w:spacing w:before="60"/>
      <w:ind w:left="850" w:hanging="850"/>
      <w:jc w:val="left"/>
    </w:pPr>
  </w:style>
  <w:style w:type="paragraph" w:styleId="TOC4">
    <w:name w:val="toc 4"/>
    <w:basedOn w:val="Normal"/>
    <w:next w:val="Normal"/>
    <w:uiPriority w:val="39"/>
    <w:semiHidden/>
    <w:unhideWhenUsed/>
    <w:rsid w:val="009B7138"/>
    <w:pPr>
      <w:tabs>
        <w:tab w:val="right" w:leader="dot" w:pos="9071"/>
      </w:tabs>
      <w:spacing w:before="60"/>
      <w:ind w:left="850" w:hanging="850"/>
      <w:jc w:val="left"/>
    </w:pPr>
  </w:style>
  <w:style w:type="paragraph" w:styleId="TOC5">
    <w:name w:val="toc 5"/>
    <w:basedOn w:val="Normal"/>
    <w:next w:val="Normal"/>
    <w:uiPriority w:val="39"/>
    <w:semiHidden/>
    <w:unhideWhenUsed/>
    <w:rsid w:val="009B7138"/>
    <w:pPr>
      <w:tabs>
        <w:tab w:val="right" w:leader="dot" w:pos="9071"/>
      </w:tabs>
      <w:spacing w:before="300"/>
      <w:jc w:val="left"/>
    </w:pPr>
  </w:style>
  <w:style w:type="paragraph" w:styleId="TOC6">
    <w:name w:val="toc 6"/>
    <w:basedOn w:val="Normal"/>
    <w:next w:val="Normal"/>
    <w:uiPriority w:val="39"/>
    <w:semiHidden/>
    <w:unhideWhenUsed/>
    <w:rsid w:val="009B7138"/>
    <w:pPr>
      <w:tabs>
        <w:tab w:val="right" w:leader="dot" w:pos="9071"/>
      </w:tabs>
      <w:spacing w:before="240"/>
      <w:jc w:val="left"/>
    </w:pPr>
  </w:style>
  <w:style w:type="paragraph" w:styleId="TOC7">
    <w:name w:val="toc 7"/>
    <w:basedOn w:val="Normal"/>
    <w:next w:val="Normal"/>
    <w:uiPriority w:val="39"/>
    <w:semiHidden/>
    <w:unhideWhenUsed/>
    <w:rsid w:val="009B7138"/>
    <w:pPr>
      <w:tabs>
        <w:tab w:val="right" w:leader="dot" w:pos="9071"/>
      </w:tabs>
      <w:spacing w:before="180"/>
      <w:jc w:val="left"/>
    </w:pPr>
  </w:style>
  <w:style w:type="paragraph" w:styleId="TOC8">
    <w:name w:val="toc 8"/>
    <w:basedOn w:val="Normal"/>
    <w:next w:val="Normal"/>
    <w:uiPriority w:val="39"/>
    <w:semiHidden/>
    <w:unhideWhenUsed/>
    <w:rsid w:val="009B7138"/>
    <w:pPr>
      <w:tabs>
        <w:tab w:val="right" w:leader="dot" w:pos="9071"/>
      </w:tabs>
      <w:jc w:val="left"/>
    </w:pPr>
  </w:style>
  <w:style w:type="paragraph" w:styleId="TOC9">
    <w:name w:val="toc 9"/>
    <w:basedOn w:val="Normal"/>
    <w:next w:val="Normal"/>
    <w:uiPriority w:val="39"/>
    <w:semiHidden/>
    <w:unhideWhenUsed/>
    <w:rsid w:val="009B7138"/>
    <w:pPr>
      <w:tabs>
        <w:tab w:val="right" w:leader="dot" w:pos="9071"/>
      </w:tabs>
    </w:pPr>
  </w:style>
  <w:style w:type="paragraph" w:customStyle="1" w:styleId="HeaderLandscape">
    <w:name w:val="HeaderLandscape"/>
    <w:basedOn w:val="Normal"/>
    <w:rsid w:val="00CB6CB7"/>
    <w:pPr>
      <w:tabs>
        <w:tab w:val="center" w:pos="7285"/>
        <w:tab w:val="right" w:pos="14003"/>
      </w:tabs>
      <w:spacing w:before="0"/>
    </w:pPr>
  </w:style>
  <w:style w:type="paragraph" w:customStyle="1" w:styleId="FooterLandscape">
    <w:name w:val="FooterLandscape"/>
    <w:basedOn w:val="Normal"/>
    <w:rsid w:val="00CB6CB7"/>
    <w:pPr>
      <w:tabs>
        <w:tab w:val="center" w:pos="7285"/>
        <w:tab w:val="center" w:pos="10913"/>
        <w:tab w:val="right" w:pos="15137"/>
      </w:tabs>
      <w:spacing w:before="360" w:after="0"/>
      <w:ind w:left="-567" w:right="-567"/>
      <w:jc w:val="left"/>
    </w:pPr>
  </w:style>
  <w:style w:type="character" w:styleId="FootnoteReference">
    <w:name w:val="footnote reference"/>
    <w:basedOn w:val="DefaultParagraphFont"/>
    <w:uiPriority w:val="99"/>
    <w:semiHidden/>
    <w:unhideWhenUsed/>
    <w:rsid w:val="009B7138"/>
    <w:rPr>
      <w:shd w:val="clear" w:color="auto" w:fill="auto"/>
      <w:vertAlign w:val="superscript"/>
    </w:rPr>
  </w:style>
  <w:style w:type="paragraph" w:customStyle="1" w:styleId="HeaderSensitivity">
    <w:name w:val="Header Sensitivity"/>
    <w:basedOn w:val="Normal"/>
    <w:rsid w:val="00CB6CB7"/>
    <w:pPr>
      <w:pBdr>
        <w:top w:val="single" w:sz="4" w:space="1" w:color="auto"/>
        <w:left w:val="single" w:sz="4" w:space="4" w:color="auto"/>
        <w:bottom w:val="single" w:sz="4" w:space="1" w:color="auto"/>
        <w:right w:val="single" w:sz="4" w:space="4" w:color="auto"/>
      </w:pBdr>
      <w:spacing w:before="0"/>
      <w:ind w:left="113" w:right="113"/>
      <w:jc w:val="center"/>
    </w:pPr>
    <w:rPr>
      <w:b/>
      <w:sz w:val="32"/>
    </w:rPr>
  </w:style>
  <w:style w:type="paragraph" w:customStyle="1" w:styleId="HeaderSensitivityRight">
    <w:name w:val="Header Sensitivity Right"/>
    <w:basedOn w:val="Normal"/>
    <w:rsid w:val="00CB6CB7"/>
    <w:pPr>
      <w:spacing w:before="0"/>
      <w:jc w:val="right"/>
    </w:pPr>
    <w:rPr>
      <w:sz w:val="28"/>
    </w:rPr>
  </w:style>
  <w:style w:type="paragraph" w:customStyle="1" w:styleId="FooterSensitivity">
    <w:name w:val="Footer Sensitivity"/>
    <w:basedOn w:val="Normal"/>
    <w:rsid w:val="00CB6CB7"/>
    <w:pPr>
      <w:pBdr>
        <w:top w:val="single" w:sz="4" w:space="1" w:color="auto"/>
        <w:left w:val="single" w:sz="4" w:space="4" w:color="auto"/>
        <w:bottom w:val="single" w:sz="4" w:space="1" w:color="auto"/>
        <w:right w:val="single" w:sz="4" w:space="4" w:color="auto"/>
      </w:pBdr>
      <w:spacing w:before="360" w:after="0"/>
      <w:ind w:left="113" w:right="113"/>
      <w:jc w:val="center"/>
    </w:pPr>
    <w:rPr>
      <w:b/>
      <w:sz w:val="32"/>
    </w:rPr>
  </w:style>
  <w:style w:type="paragraph" w:customStyle="1" w:styleId="Text1">
    <w:name w:val="Text 1"/>
    <w:basedOn w:val="Normal"/>
    <w:rsid w:val="009B7138"/>
    <w:pPr>
      <w:ind w:left="850"/>
    </w:pPr>
  </w:style>
  <w:style w:type="paragraph" w:customStyle="1" w:styleId="Text2">
    <w:name w:val="Text 2"/>
    <w:basedOn w:val="Normal"/>
    <w:rsid w:val="009B7138"/>
    <w:pPr>
      <w:ind w:left="1417"/>
    </w:pPr>
  </w:style>
  <w:style w:type="paragraph" w:customStyle="1" w:styleId="Text3">
    <w:name w:val="Text 3"/>
    <w:basedOn w:val="Normal"/>
    <w:rsid w:val="009B7138"/>
    <w:pPr>
      <w:ind w:left="1984"/>
    </w:pPr>
  </w:style>
  <w:style w:type="paragraph" w:customStyle="1" w:styleId="Text4">
    <w:name w:val="Text 4"/>
    <w:basedOn w:val="Normal"/>
    <w:rsid w:val="009B7138"/>
    <w:pPr>
      <w:ind w:left="2551"/>
    </w:pPr>
  </w:style>
  <w:style w:type="paragraph" w:customStyle="1" w:styleId="NormalCentered">
    <w:name w:val="Normal Centered"/>
    <w:basedOn w:val="Normal"/>
    <w:rsid w:val="009B7138"/>
    <w:pPr>
      <w:jc w:val="center"/>
    </w:pPr>
  </w:style>
  <w:style w:type="paragraph" w:customStyle="1" w:styleId="NormalLeft">
    <w:name w:val="Normal Left"/>
    <w:basedOn w:val="Normal"/>
    <w:rsid w:val="009B7138"/>
    <w:pPr>
      <w:jc w:val="left"/>
    </w:pPr>
  </w:style>
  <w:style w:type="paragraph" w:customStyle="1" w:styleId="NormalRight">
    <w:name w:val="Normal Right"/>
    <w:basedOn w:val="Normal"/>
    <w:rsid w:val="009B7138"/>
    <w:pPr>
      <w:jc w:val="right"/>
    </w:pPr>
  </w:style>
  <w:style w:type="paragraph" w:customStyle="1" w:styleId="QuotedText">
    <w:name w:val="Quoted Text"/>
    <w:basedOn w:val="Normal"/>
    <w:rsid w:val="009B7138"/>
    <w:pPr>
      <w:ind w:left="1417"/>
    </w:pPr>
  </w:style>
  <w:style w:type="paragraph" w:customStyle="1" w:styleId="Point0">
    <w:name w:val="Point 0"/>
    <w:basedOn w:val="Normal"/>
    <w:rsid w:val="009B7138"/>
    <w:pPr>
      <w:ind w:left="850" w:hanging="850"/>
    </w:pPr>
  </w:style>
  <w:style w:type="paragraph" w:customStyle="1" w:styleId="Point1">
    <w:name w:val="Point 1"/>
    <w:basedOn w:val="Normal"/>
    <w:rsid w:val="009B7138"/>
    <w:pPr>
      <w:ind w:left="1417" w:hanging="567"/>
    </w:pPr>
  </w:style>
  <w:style w:type="paragraph" w:customStyle="1" w:styleId="Point2">
    <w:name w:val="Point 2"/>
    <w:basedOn w:val="Normal"/>
    <w:rsid w:val="009B7138"/>
    <w:pPr>
      <w:ind w:left="1984" w:hanging="567"/>
    </w:pPr>
  </w:style>
  <w:style w:type="paragraph" w:customStyle="1" w:styleId="Point3">
    <w:name w:val="Point 3"/>
    <w:basedOn w:val="Normal"/>
    <w:rsid w:val="009B7138"/>
    <w:pPr>
      <w:ind w:left="2551" w:hanging="567"/>
    </w:pPr>
  </w:style>
  <w:style w:type="paragraph" w:customStyle="1" w:styleId="Point4">
    <w:name w:val="Point 4"/>
    <w:basedOn w:val="Normal"/>
    <w:rsid w:val="009B7138"/>
    <w:pPr>
      <w:ind w:left="3118" w:hanging="567"/>
    </w:pPr>
  </w:style>
  <w:style w:type="paragraph" w:customStyle="1" w:styleId="Tiret0">
    <w:name w:val="Tiret 0"/>
    <w:basedOn w:val="Point0"/>
    <w:rsid w:val="009B7138"/>
    <w:pPr>
      <w:numPr>
        <w:numId w:val="10"/>
      </w:numPr>
    </w:pPr>
  </w:style>
  <w:style w:type="paragraph" w:customStyle="1" w:styleId="Tiret1">
    <w:name w:val="Tiret 1"/>
    <w:basedOn w:val="Point1"/>
    <w:rsid w:val="009B7138"/>
    <w:pPr>
      <w:numPr>
        <w:numId w:val="11"/>
      </w:numPr>
    </w:pPr>
  </w:style>
  <w:style w:type="paragraph" w:customStyle="1" w:styleId="Tiret2">
    <w:name w:val="Tiret 2"/>
    <w:basedOn w:val="Point2"/>
    <w:rsid w:val="009B7138"/>
    <w:pPr>
      <w:numPr>
        <w:numId w:val="12"/>
      </w:numPr>
    </w:pPr>
  </w:style>
  <w:style w:type="paragraph" w:customStyle="1" w:styleId="Tiret3">
    <w:name w:val="Tiret 3"/>
    <w:basedOn w:val="Point3"/>
    <w:rsid w:val="009B7138"/>
    <w:pPr>
      <w:numPr>
        <w:numId w:val="13"/>
      </w:numPr>
    </w:pPr>
  </w:style>
  <w:style w:type="paragraph" w:customStyle="1" w:styleId="Tiret4">
    <w:name w:val="Tiret 4"/>
    <w:basedOn w:val="Point4"/>
    <w:rsid w:val="009B7138"/>
    <w:pPr>
      <w:numPr>
        <w:numId w:val="14"/>
      </w:numPr>
    </w:pPr>
  </w:style>
  <w:style w:type="paragraph" w:customStyle="1" w:styleId="PointDouble0">
    <w:name w:val="PointDouble 0"/>
    <w:basedOn w:val="Normal"/>
    <w:rsid w:val="009B7138"/>
    <w:pPr>
      <w:tabs>
        <w:tab w:val="left" w:pos="850"/>
      </w:tabs>
      <w:ind w:left="1417" w:hanging="1417"/>
    </w:pPr>
  </w:style>
  <w:style w:type="paragraph" w:customStyle="1" w:styleId="PointDouble1">
    <w:name w:val="PointDouble 1"/>
    <w:basedOn w:val="Normal"/>
    <w:rsid w:val="009B7138"/>
    <w:pPr>
      <w:tabs>
        <w:tab w:val="left" w:pos="1417"/>
      </w:tabs>
      <w:ind w:left="1984" w:hanging="1134"/>
    </w:pPr>
  </w:style>
  <w:style w:type="paragraph" w:customStyle="1" w:styleId="PointDouble2">
    <w:name w:val="PointDouble 2"/>
    <w:basedOn w:val="Normal"/>
    <w:rsid w:val="009B7138"/>
    <w:pPr>
      <w:tabs>
        <w:tab w:val="left" w:pos="1984"/>
      </w:tabs>
      <w:ind w:left="2551" w:hanging="1134"/>
    </w:pPr>
  </w:style>
  <w:style w:type="paragraph" w:customStyle="1" w:styleId="PointDouble3">
    <w:name w:val="PointDouble 3"/>
    <w:basedOn w:val="Normal"/>
    <w:rsid w:val="009B7138"/>
    <w:pPr>
      <w:tabs>
        <w:tab w:val="left" w:pos="2551"/>
      </w:tabs>
      <w:ind w:left="3118" w:hanging="1134"/>
    </w:pPr>
  </w:style>
  <w:style w:type="paragraph" w:customStyle="1" w:styleId="PointDouble4">
    <w:name w:val="PointDouble 4"/>
    <w:basedOn w:val="Normal"/>
    <w:rsid w:val="009B7138"/>
    <w:pPr>
      <w:tabs>
        <w:tab w:val="left" w:pos="3118"/>
      </w:tabs>
      <w:ind w:left="3685" w:hanging="1134"/>
    </w:pPr>
  </w:style>
  <w:style w:type="paragraph" w:customStyle="1" w:styleId="PointTriple0">
    <w:name w:val="PointTriple 0"/>
    <w:basedOn w:val="Normal"/>
    <w:rsid w:val="009B7138"/>
    <w:pPr>
      <w:tabs>
        <w:tab w:val="left" w:pos="850"/>
        <w:tab w:val="left" w:pos="1417"/>
      </w:tabs>
      <w:ind w:left="1984" w:hanging="1984"/>
    </w:pPr>
  </w:style>
  <w:style w:type="paragraph" w:customStyle="1" w:styleId="PointTriple1">
    <w:name w:val="PointTriple 1"/>
    <w:basedOn w:val="Normal"/>
    <w:rsid w:val="009B7138"/>
    <w:pPr>
      <w:tabs>
        <w:tab w:val="left" w:pos="1417"/>
        <w:tab w:val="left" w:pos="1984"/>
      </w:tabs>
      <w:ind w:left="2551" w:hanging="1701"/>
    </w:pPr>
  </w:style>
  <w:style w:type="paragraph" w:customStyle="1" w:styleId="PointTriple2">
    <w:name w:val="PointTriple 2"/>
    <w:basedOn w:val="Normal"/>
    <w:rsid w:val="009B7138"/>
    <w:pPr>
      <w:tabs>
        <w:tab w:val="left" w:pos="1984"/>
        <w:tab w:val="left" w:pos="2551"/>
      </w:tabs>
      <w:ind w:left="3118" w:hanging="1701"/>
    </w:pPr>
  </w:style>
  <w:style w:type="paragraph" w:customStyle="1" w:styleId="PointTriple3">
    <w:name w:val="PointTriple 3"/>
    <w:basedOn w:val="Normal"/>
    <w:rsid w:val="009B7138"/>
    <w:pPr>
      <w:tabs>
        <w:tab w:val="left" w:pos="2551"/>
        <w:tab w:val="left" w:pos="3118"/>
      </w:tabs>
      <w:ind w:left="3685" w:hanging="1701"/>
    </w:pPr>
  </w:style>
  <w:style w:type="paragraph" w:customStyle="1" w:styleId="PointTriple4">
    <w:name w:val="PointTriple 4"/>
    <w:basedOn w:val="Normal"/>
    <w:rsid w:val="009B7138"/>
    <w:pPr>
      <w:tabs>
        <w:tab w:val="left" w:pos="3118"/>
        <w:tab w:val="left" w:pos="3685"/>
      </w:tabs>
      <w:ind w:left="4252" w:hanging="1701"/>
    </w:pPr>
  </w:style>
  <w:style w:type="paragraph" w:customStyle="1" w:styleId="NumPar1">
    <w:name w:val="NumPar 1"/>
    <w:basedOn w:val="Normal"/>
    <w:next w:val="Text1"/>
    <w:rsid w:val="009B7138"/>
    <w:pPr>
      <w:numPr>
        <w:numId w:val="30"/>
      </w:numPr>
    </w:pPr>
  </w:style>
  <w:style w:type="paragraph" w:customStyle="1" w:styleId="NumPar2">
    <w:name w:val="NumPar 2"/>
    <w:basedOn w:val="Normal"/>
    <w:next w:val="Text1"/>
    <w:rsid w:val="009B7138"/>
    <w:pPr>
      <w:numPr>
        <w:ilvl w:val="1"/>
        <w:numId w:val="30"/>
      </w:numPr>
    </w:pPr>
  </w:style>
  <w:style w:type="paragraph" w:customStyle="1" w:styleId="NumPar3">
    <w:name w:val="NumPar 3"/>
    <w:basedOn w:val="Normal"/>
    <w:next w:val="Text1"/>
    <w:rsid w:val="009B7138"/>
    <w:pPr>
      <w:numPr>
        <w:ilvl w:val="2"/>
        <w:numId w:val="30"/>
      </w:numPr>
    </w:pPr>
  </w:style>
  <w:style w:type="paragraph" w:customStyle="1" w:styleId="NumPar4">
    <w:name w:val="NumPar 4"/>
    <w:basedOn w:val="Normal"/>
    <w:next w:val="Text1"/>
    <w:rsid w:val="009B7138"/>
    <w:pPr>
      <w:numPr>
        <w:ilvl w:val="3"/>
        <w:numId w:val="30"/>
      </w:numPr>
    </w:pPr>
  </w:style>
  <w:style w:type="paragraph" w:customStyle="1" w:styleId="ManualNumPar1">
    <w:name w:val="Manual NumPar 1"/>
    <w:basedOn w:val="Normal"/>
    <w:next w:val="Text1"/>
    <w:rsid w:val="009B7138"/>
    <w:pPr>
      <w:ind w:left="850" w:hanging="850"/>
    </w:pPr>
  </w:style>
  <w:style w:type="paragraph" w:customStyle="1" w:styleId="ManualNumPar2">
    <w:name w:val="Manual NumPar 2"/>
    <w:basedOn w:val="Normal"/>
    <w:next w:val="Text1"/>
    <w:rsid w:val="009B7138"/>
    <w:pPr>
      <w:ind w:left="850" w:hanging="850"/>
    </w:pPr>
  </w:style>
  <w:style w:type="paragraph" w:customStyle="1" w:styleId="ManualNumPar3">
    <w:name w:val="Manual NumPar 3"/>
    <w:basedOn w:val="Normal"/>
    <w:next w:val="Text1"/>
    <w:rsid w:val="009B7138"/>
    <w:pPr>
      <w:ind w:left="850" w:hanging="850"/>
    </w:pPr>
  </w:style>
  <w:style w:type="paragraph" w:customStyle="1" w:styleId="ManualNumPar4">
    <w:name w:val="Manual NumPar 4"/>
    <w:basedOn w:val="Normal"/>
    <w:next w:val="Text1"/>
    <w:rsid w:val="009B7138"/>
    <w:pPr>
      <w:ind w:left="850" w:hanging="850"/>
    </w:pPr>
  </w:style>
  <w:style w:type="paragraph" w:customStyle="1" w:styleId="QuotedNumPar">
    <w:name w:val="Quoted NumPar"/>
    <w:basedOn w:val="Normal"/>
    <w:rsid w:val="009B7138"/>
    <w:pPr>
      <w:ind w:left="1417" w:hanging="567"/>
    </w:pPr>
  </w:style>
  <w:style w:type="paragraph" w:customStyle="1" w:styleId="ManualHeading1">
    <w:name w:val="Manual Heading 1"/>
    <w:basedOn w:val="Normal"/>
    <w:next w:val="Text1"/>
    <w:rsid w:val="009B7138"/>
    <w:pPr>
      <w:keepNext/>
      <w:tabs>
        <w:tab w:val="left" w:pos="850"/>
      </w:tabs>
      <w:spacing w:before="360"/>
      <w:ind w:left="850" w:hanging="850"/>
      <w:outlineLvl w:val="0"/>
    </w:pPr>
    <w:rPr>
      <w:b/>
      <w:smallCaps/>
    </w:rPr>
  </w:style>
  <w:style w:type="paragraph" w:customStyle="1" w:styleId="ManualHeading2">
    <w:name w:val="Manual Heading 2"/>
    <w:basedOn w:val="Normal"/>
    <w:next w:val="Text1"/>
    <w:rsid w:val="009B7138"/>
    <w:pPr>
      <w:keepNext/>
      <w:tabs>
        <w:tab w:val="left" w:pos="850"/>
      </w:tabs>
      <w:ind w:left="850" w:hanging="850"/>
      <w:outlineLvl w:val="1"/>
    </w:pPr>
    <w:rPr>
      <w:b/>
    </w:rPr>
  </w:style>
  <w:style w:type="paragraph" w:customStyle="1" w:styleId="ManualHeading3">
    <w:name w:val="Manual Heading 3"/>
    <w:basedOn w:val="Normal"/>
    <w:next w:val="Text1"/>
    <w:rsid w:val="009B7138"/>
    <w:pPr>
      <w:keepNext/>
      <w:tabs>
        <w:tab w:val="left" w:pos="850"/>
      </w:tabs>
      <w:ind w:left="850" w:hanging="850"/>
      <w:outlineLvl w:val="2"/>
    </w:pPr>
    <w:rPr>
      <w:i/>
    </w:rPr>
  </w:style>
  <w:style w:type="paragraph" w:customStyle="1" w:styleId="ManualHeading4">
    <w:name w:val="Manual Heading 4"/>
    <w:basedOn w:val="Normal"/>
    <w:next w:val="Text1"/>
    <w:rsid w:val="009B7138"/>
    <w:pPr>
      <w:keepNext/>
      <w:tabs>
        <w:tab w:val="left" w:pos="850"/>
      </w:tabs>
      <w:ind w:left="850" w:hanging="850"/>
      <w:outlineLvl w:val="3"/>
    </w:pPr>
  </w:style>
  <w:style w:type="paragraph" w:customStyle="1" w:styleId="ChapterTitle">
    <w:name w:val="ChapterTitle"/>
    <w:basedOn w:val="Normal"/>
    <w:next w:val="Normal"/>
    <w:rsid w:val="009B7138"/>
    <w:pPr>
      <w:keepNext/>
      <w:spacing w:after="360"/>
      <w:jc w:val="center"/>
    </w:pPr>
    <w:rPr>
      <w:b/>
      <w:sz w:val="32"/>
    </w:rPr>
  </w:style>
  <w:style w:type="paragraph" w:customStyle="1" w:styleId="PartTitle">
    <w:name w:val="PartTitle"/>
    <w:basedOn w:val="Normal"/>
    <w:next w:val="ChapterTitle"/>
    <w:rsid w:val="009B7138"/>
    <w:pPr>
      <w:keepNext/>
      <w:pageBreakBefore/>
      <w:spacing w:after="360"/>
      <w:jc w:val="center"/>
    </w:pPr>
    <w:rPr>
      <w:b/>
      <w:sz w:val="36"/>
    </w:rPr>
  </w:style>
  <w:style w:type="paragraph" w:customStyle="1" w:styleId="SectionTitle">
    <w:name w:val="SectionTitle"/>
    <w:basedOn w:val="Normal"/>
    <w:next w:val="Heading1"/>
    <w:rsid w:val="009B7138"/>
    <w:pPr>
      <w:keepNext/>
      <w:spacing w:after="360"/>
      <w:jc w:val="center"/>
    </w:pPr>
    <w:rPr>
      <w:b/>
      <w:smallCaps/>
      <w:sz w:val="28"/>
    </w:rPr>
  </w:style>
  <w:style w:type="paragraph" w:customStyle="1" w:styleId="TableTitle">
    <w:name w:val="Table Title"/>
    <w:basedOn w:val="Normal"/>
    <w:next w:val="Normal"/>
    <w:rsid w:val="009B7138"/>
    <w:pPr>
      <w:jc w:val="center"/>
    </w:pPr>
    <w:rPr>
      <w:b/>
    </w:rPr>
  </w:style>
  <w:style w:type="character" w:customStyle="1" w:styleId="Marker">
    <w:name w:val="Marker"/>
    <w:basedOn w:val="DefaultParagraphFont"/>
    <w:rsid w:val="00DE6299"/>
    <w:rPr>
      <w:color w:val="0000FF"/>
      <w:shd w:val="clear" w:color="auto" w:fill="auto"/>
    </w:rPr>
  </w:style>
  <w:style w:type="character" w:customStyle="1" w:styleId="Marker1">
    <w:name w:val="Marker1"/>
    <w:basedOn w:val="DefaultParagraphFont"/>
    <w:rsid w:val="009B7138"/>
    <w:rPr>
      <w:color w:val="008000"/>
      <w:shd w:val="clear" w:color="auto" w:fill="auto"/>
    </w:rPr>
  </w:style>
  <w:style w:type="character" w:customStyle="1" w:styleId="Marker2">
    <w:name w:val="Marker2"/>
    <w:basedOn w:val="DefaultParagraphFont"/>
    <w:rsid w:val="009B7138"/>
    <w:rPr>
      <w:color w:val="FF0000"/>
      <w:shd w:val="clear" w:color="auto" w:fill="auto"/>
    </w:rPr>
  </w:style>
  <w:style w:type="paragraph" w:customStyle="1" w:styleId="Point0number">
    <w:name w:val="Point 0 (number)"/>
    <w:basedOn w:val="Normal"/>
    <w:rsid w:val="009B7138"/>
    <w:pPr>
      <w:numPr>
        <w:numId w:val="17"/>
      </w:numPr>
    </w:pPr>
  </w:style>
  <w:style w:type="paragraph" w:customStyle="1" w:styleId="Point1number">
    <w:name w:val="Point 1 (number)"/>
    <w:basedOn w:val="Normal"/>
    <w:rsid w:val="009B7138"/>
    <w:pPr>
      <w:numPr>
        <w:ilvl w:val="2"/>
        <w:numId w:val="17"/>
      </w:numPr>
    </w:pPr>
  </w:style>
  <w:style w:type="paragraph" w:customStyle="1" w:styleId="Point2number">
    <w:name w:val="Point 2 (number)"/>
    <w:basedOn w:val="Normal"/>
    <w:rsid w:val="009B7138"/>
    <w:pPr>
      <w:numPr>
        <w:ilvl w:val="4"/>
        <w:numId w:val="17"/>
      </w:numPr>
    </w:pPr>
  </w:style>
  <w:style w:type="paragraph" w:customStyle="1" w:styleId="Point3number">
    <w:name w:val="Point 3 (number)"/>
    <w:basedOn w:val="Normal"/>
    <w:rsid w:val="009B7138"/>
    <w:pPr>
      <w:numPr>
        <w:ilvl w:val="6"/>
        <w:numId w:val="17"/>
      </w:numPr>
    </w:pPr>
  </w:style>
  <w:style w:type="paragraph" w:customStyle="1" w:styleId="Point0letter">
    <w:name w:val="Point 0 (letter)"/>
    <w:basedOn w:val="Normal"/>
    <w:rsid w:val="009B7138"/>
    <w:pPr>
      <w:numPr>
        <w:ilvl w:val="1"/>
        <w:numId w:val="17"/>
      </w:numPr>
    </w:pPr>
  </w:style>
  <w:style w:type="paragraph" w:customStyle="1" w:styleId="Point1letter">
    <w:name w:val="Point 1 (letter)"/>
    <w:basedOn w:val="Normal"/>
    <w:rsid w:val="009B7138"/>
    <w:pPr>
      <w:numPr>
        <w:ilvl w:val="3"/>
        <w:numId w:val="17"/>
      </w:numPr>
    </w:pPr>
  </w:style>
  <w:style w:type="paragraph" w:customStyle="1" w:styleId="Point2letter">
    <w:name w:val="Point 2 (letter)"/>
    <w:basedOn w:val="Normal"/>
    <w:rsid w:val="009B7138"/>
    <w:pPr>
      <w:numPr>
        <w:ilvl w:val="5"/>
        <w:numId w:val="17"/>
      </w:numPr>
    </w:pPr>
  </w:style>
  <w:style w:type="paragraph" w:customStyle="1" w:styleId="Point3letter">
    <w:name w:val="Point 3 (letter)"/>
    <w:basedOn w:val="Normal"/>
    <w:rsid w:val="009B7138"/>
    <w:pPr>
      <w:numPr>
        <w:ilvl w:val="7"/>
        <w:numId w:val="17"/>
      </w:numPr>
    </w:pPr>
  </w:style>
  <w:style w:type="paragraph" w:customStyle="1" w:styleId="Point4letter">
    <w:name w:val="Point 4 (letter)"/>
    <w:basedOn w:val="Normal"/>
    <w:rsid w:val="009B7138"/>
    <w:pPr>
      <w:numPr>
        <w:ilvl w:val="8"/>
        <w:numId w:val="17"/>
      </w:numPr>
    </w:pPr>
  </w:style>
  <w:style w:type="paragraph" w:customStyle="1" w:styleId="Bullet0">
    <w:name w:val="Bullet 0"/>
    <w:basedOn w:val="Normal"/>
    <w:rsid w:val="009B7138"/>
    <w:pPr>
      <w:numPr>
        <w:numId w:val="18"/>
      </w:numPr>
    </w:pPr>
  </w:style>
  <w:style w:type="paragraph" w:customStyle="1" w:styleId="Bullet1">
    <w:name w:val="Bullet 1"/>
    <w:basedOn w:val="Normal"/>
    <w:rsid w:val="009B7138"/>
    <w:pPr>
      <w:numPr>
        <w:numId w:val="19"/>
      </w:numPr>
    </w:pPr>
  </w:style>
  <w:style w:type="paragraph" w:customStyle="1" w:styleId="Bullet2">
    <w:name w:val="Bullet 2"/>
    <w:basedOn w:val="Normal"/>
    <w:rsid w:val="009B7138"/>
    <w:pPr>
      <w:numPr>
        <w:numId w:val="20"/>
      </w:numPr>
    </w:pPr>
  </w:style>
  <w:style w:type="paragraph" w:customStyle="1" w:styleId="Bullet3">
    <w:name w:val="Bullet 3"/>
    <w:basedOn w:val="Normal"/>
    <w:rsid w:val="009B7138"/>
    <w:pPr>
      <w:numPr>
        <w:numId w:val="21"/>
      </w:numPr>
    </w:pPr>
  </w:style>
  <w:style w:type="paragraph" w:customStyle="1" w:styleId="Bullet4">
    <w:name w:val="Bullet 4"/>
    <w:basedOn w:val="Normal"/>
    <w:rsid w:val="009B7138"/>
    <w:pPr>
      <w:numPr>
        <w:numId w:val="22"/>
      </w:numPr>
    </w:pPr>
  </w:style>
  <w:style w:type="paragraph" w:customStyle="1" w:styleId="Langue">
    <w:name w:val="Langue"/>
    <w:basedOn w:val="Normal"/>
    <w:next w:val="Rfrenceinterne"/>
    <w:rsid w:val="009B7138"/>
    <w:pPr>
      <w:framePr w:wrap="around" w:vAnchor="page" w:hAnchor="text" w:xAlign="center" w:y="14741"/>
      <w:spacing w:before="0" w:after="600"/>
      <w:jc w:val="center"/>
    </w:pPr>
    <w:rPr>
      <w:b/>
      <w:caps/>
    </w:rPr>
  </w:style>
  <w:style w:type="paragraph" w:customStyle="1" w:styleId="Nomdelinstitution">
    <w:name w:val="Nom de l'institution"/>
    <w:basedOn w:val="Normal"/>
    <w:next w:val="Emission"/>
    <w:rsid w:val="009B7138"/>
    <w:pPr>
      <w:spacing w:before="0" w:after="0"/>
      <w:jc w:val="left"/>
    </w:pPr>
    <w:rPr>
      <w:rFonts w:ascii="Arial" w:hAnsi="Arial" w:cs="Arial"/>
    </w:rPr>
  </w:style>
  <w:style w:type="paragraph" w:customStyle="1" w:styleId="Emission">
    <w:name w:val="Emission"/>
    <w:basedOn w:val="Normal"/>
    <w:next w:val="Rfrenceinstitutionnelle"/>
    <w:rsid w:val="009B7138"/>
    <w:pPr>
      <w:spacing w:before="0" w:after="0"/>
      <w:ind w:left="5103"/>
      <w:jc w:val="left"/>
    </w:pPr>
  </w:style>
  <w:style w:type="paragraph" w:customStyle="1" w:styleId="Rfrenceinstitutionnelle">
    <w:name w:val="Référence institutionnelle"/>
    <w:basedOn w:val="Normal"/>
    <w:next w:val="Confidentialit"/>
    <w:rsid w:val="009B7138"/>
    <w:pPr>
      <w:spacing w:before="0" w:after="240"/>
      <w:ind w:left="5103"/>
      <w:jc w:val="left"/>
    </w:pPr>
  </w:style>
  <w:style w:type="paragraph" w:customStyle="1" w:styleId="Pagedecouverture">
    <w:name w:val="Page de couverture"/>
    <w:basedOn w:val="Normal"/>
    <w:next w:val="Normal"/>
    <w:rsid w:val="009B7138"/>
    <w:pPr>
      <w:spacing w:before="0" w:after="0"/>
    </w:pPr>
  </w:style>
  <w:style w:type="paragraph" w:customStyle="1" w:styleId="Declassification">
    <w:name w:val="Declassification"/>
    <w:basedOn w:val="Normal"/>
    <w:next w:val="Normal"/>
    <w:rsid w:val="009B7138"/>
    <w:pPr>
      <w:spacing w:before="0" w:after="0"/>
    </w:pPr>
  </w:style>
  <w:style w:type="paragraph" w:customStyle="1" w:styleId="Disclaimer">
    <w:name w:val="Disclaimer"/>
    <w:basedOn w:val="Normal"/>
    <w:rsid w:val="009B7138"/>
    <w:pPr>
      <w:framePr w:w="8220" w:wrap="notBeside" w:hAnchor="margin" w:xAlign="center" w:y="10401"/>
      <w:pBdr>
        <w:top w:val="single" w:sz="6" w:space="4" w:color="auto"/>
        <w:left w:val="single" w:sz="6" w:space="7" w:color="auto"/>
        <w:bottom w:val="single" w:sz="6" w:space="4" w:color="auto"/>
        <w:right w:val="single" w:sz="6" w:space="7" w:color="auto"/>
      </w:pBdr>
      <w:shd w:val="clear" w:color="FFFFFF" w:fill="auto"/>
    </w:pPr>
  </w:style>
  <w:style w:type="paragraph" w:customStyle="1" w:styleId="SecurityMarking">
    <w:name w:val="SecurityMarking"/>
    <w:basedOn w:val="Normal"/>
    <w:rsid w:val="009B7138"/>
    <w:pPr>
      <w:spacing w:before="0" w:after="0" w:line="276" w:lineRule="auto"/>
      <w:ind w:left="5103"/>
      <w:jc w:val="left"/>
    </w:pPr>
    <w:rPr>
      <w:sz w:val="28"/>
    </w:rPr>
  </w:style>
  <w:style w:type="paragraph" w:customStyle="1" w:styleId="DateMarking">
    <w:name w:val="DateMarking"/>
    <w:basedOn w:val="Normal"/>
    <w:rsid w:val="009B7138"/>
    <w:pPr>
      <w:spacing w:before="0" w:after="0" w:line="276" w:lineRule="auto"/>
      <w:ind w:left="5103"/>
      <w:jc w:val="left"/>
    </w:pPr>
    <w:rPr>
      <w:i/>
      <w:sz w:val="28"/>
    </w:rPr>
  </w:style>
  <w:style w:type="paragraph" w:customStyle="1" w:styleId="ReleasableTo">
    <w:name w:val="ReleasableTo"/>
    <w:basedOn w:val="Normal"/>
    <w:rsid w:val="009B7138"/>
    <w:pPr>
      <w:spacing w:before="0" w:after="0" w:line="276" w:lineRule="auto"/>
      <w:ind w:left="5103"/>
      <w:jc w:val="left"/>
    </w:pPr>
    <w:rPr>
      <w:i/>
      <w:sz w:val="28"/>
    </w:rPr>
  </w:style>
  <w:style w:type="paragraph" w:customStyle="1" w:styleId="Annexetitreexpos">
    <w:name w:val="Annexe titre (exposé)"/>
    <w:basedOn w:val="Normal"/>
    <w:next w:val="Normal"/>
    <w:rsid w:val="009B7138"/>
    <w:pPr>
      <w:jc w:val="center"/>
    </w:pPr>
    <w:rPr>
      <w:b/>
      <w:u w:val="single"/>
    </w:rPr>
  </w:style>
  <w:style w:type="paragraph" w:customStyle="1" w:styleId="Annexetitre">
    <w:name w:val="Annexe titre"/>
    <w:basedOn w:val="Normal"/>
    <w:next w:val="Normal"/>
    <w:rsid w:val="009B7138"/>
    <w:pPr>
      <w:jc w:val="center"/>
    </w:pPr>
    <w:rPr>
      <w:b/>
      <w:u w:val="single"/>
    </w:rPr>
  </w:style>
  <w:style w:type="paragraph" w:customStyle="1" w:styleId="Annexetitrefichefinancire">
    <w:name w:val="Annexe titre (fiche financière)"/>
    <w:basedOn w:val="Normal"/>
    <w:next w:val="Normal"/>
    <w:rsid w:val="009B7138"/>
    <w:pPr>
      <w:jc w:val="center"/>
    </w:pPr>
    <w:rPr>
      <w:b/>
      <w:u w:val="single"/>
    </w:rPr>
  </w:style>
  <w:style w:type="paragraph" w:customStyle="1" w:styleId="Applicationdirecte">
    <w:name w:val="Application directe"/>
    <w:basedOn w:val="Normal"/>
    <w:next w:val="Fait"/>
    <w:rsid w:val="009B7138"/>
    <w:pPr>
      <w:spacing w:before="480"/>
    </w:pPr>
  </w:style>
  <w:style w:type="paragraph" w:customStyle="1" w:styleId="Avertissementtitre">
    <w:name w:val="Avertissement titre"/>
    <w:basedOn w:val="Normal"/>
    <w:next w:val="Normal"/>
    <w:rsid w:val="009B7138"/>
    <w:pPr>
      <w:keepNext/>
      <w:spacing w:before="480"/>
    </w:pPr>
    <w:rPr>
      <w:u w:val="single"/>
    </w:rPr>
  </w:style>
  <w:style w:type="paragraph" w:customStyle="1" w:styleId="Confidence">
    <w:name w:val="Confidence"/>
    <w:basedOn w:val="Normal"/>
    <w:next w:val="Normal"/>
    <w:rsid w:val="009B7138"/>
    <w:pPr>
      <w:spacing w:before="360"/>
      <w:jc w:val="center"/>
    </w:pPr>
  </w:style>
  <w:style w:type="paragraph" w:customStyle="1" w:styleId="Confidentialit">
    <w:name w:val="Confidentialité"/>
    <w:basedOn w:val="Normal"/>
    <w:next w:val="TypedudocumentPagedecouverture"/>
    <w:rsid w:val="009B7138"/>
    <w:pPr>
      <w:spacing w:before="240" w:after="240"/>
      <w:ind w:left="5103"/>
      <w:jc w:val="left"/>
    </w:pPr>
    <w:rPr>
      <w:i/>
      <w:sz w:val="32"/>
    </w:rPr>
  </w:style>
  <w:style w:type="paragraph" w:customStyle="1" w:styleId="Considrant">
    <w:name w:val="Considérant"/>
    <w:basedOn w:val="Normal"/>
    <w:rsid w:val="009B7138"/>
    <w:pPr>
      <w:numPr>
        <w:numId w:val="23"/>
      </w:numPr>
    </w:pPr>
  </w:style>
  <w:style w:type="paragraph" w:customStyle="1" w:styleId="Corrigendum">
    <w:name w:val="Corrigendum"/>
    <w:basedOn w:val="Normal"/>
    <w:next w:val="Normal"/>
    <w:rsid w:val="009B7138"/>
    <w:pPr>
      <w:spacing w:before="0" w:after="240"/>
      <w:jc w:val="left"/>
    </w:pPr>
  </w:style>
  <w:style w:type="paragraph" w:customStyle="1" w:styleId="Datedadoption">
    <w:name w:val="Date d'adoption"/>
    <w:basedOn w:val="Normal"/>
    <w:next w:val="Titreobjet"/>
    <w:rsid w:val="009B7138"/>
    <w:pPr>
      <w:spacing w:before="360" w:after="0"/>
      <w:jc w:val="center"/>
    </w:pPr>
    <w:rPr>
      <w:b/>
    </w:rPr>
  </w:style>
  <w:style w:type="paragraph" w:customStyle="1" w:styleId="Exposdesmotifstitre">
    <w:name w:val="Exposé des motifs titre"/>
    <w:basedOn w:val="Normal"/>
    <w:next w:val="Normal"/>
    <w:rsid w:val="009B7138"/>
    <w:pPr>
      <w:jc w:val="center"/>
    </w:pPr>
    <w:rPr>
      <w:b/>
      <w:u w:val="single"/>
    </w:rPr>
  </w:style>
  <w:style w:type="paragraph" w:customStyle="1" w:styleId="Fait">
    <w:name w:val="Fait à"/>
    <w:basedOn w:val="Normal"/>
    <w:next w:val="Institutionquisigne"/>
    <w:rsid w:val="009B7138"/>
    <w:pPr>
      <w:keepNext/>
      <w:spacing w:after="0"/>
    </w:pPr>
  </w:style>
  <w:style w:type="paragraph" w:customStyle="1" w:styleId="Formuledadoption">
    <w:name w:val="Formule d'adoption"/>
    <w:basedOn w:val="Normal"/>
    <w:next w:val="Titrearticle"/>
    <w:rsid w:val="009B7138"/>
    <w:pPr>
      <w:keepNext/>
    </w:pPr>
  </w:style>
  <w:style w:type="paragraph" w:customStyle="1" w:styleId="Institutionquiagit">
    <w:name w:val="Institution qui agit"/>
    <w:basedOn w:val="Normal"/>
    <w:next w:val="Normal"/>
    <w:rsid w:val="009B7138"/>
    <w:pPr>
      <w:keepNext/>
      <w:spacing w:before="600"/>
    </w:pPr>
  </w:style>
  <w:style w:type="paragraph" w:customStyle="1" w:styleId="Institutionquisigne">
    <w:name w:val="Institution qui signe"/>
    <w:basedOn w:val="Normal"/>
    <w:next w:val="Personnequisigne"/>
    <w:rsid w:val="009B7138"/>
    <w:pPr>
      <w:keepNext/>
      <w:tabs>
        <w:tab w:val="left" w:pos="4252"/>
      </w:tabs>
      <w:spacing w:before="720" w:after="0"/>
    </w:pPr>
    <w:rPr>
      <w:i/>
    </w:rPr>
  </w:style>
  <w:style w:type="paragraph" w:customStyle="1" w:styleId="ManualConsidrant">
    <w:name w:val="Manual Considérant"/>
    <w:basedOn w:val="Normal"/>
    <w:rsid w:val="009B7138"/>
    <w:pPr>
      <w:ind w:left="709" w:hanging="709"/>
    </w:pPr>
  </w:style>
  <w:style w:type="paragraph" w:customStyle="1" w:styleId="Personnequisigne">
    <w:name w:val="Personne qui signe"/>
    <w:basedOn w:val="Normal"/>
    <w:next w:val="Institutionquisigne"/>
    <w:rsid w:val="009B7138"/>
    <w:pPr>
      <w:tabs>
        <w:tab w:val="left" w:pos="4252"/>
      </w:tabs>
      <w:spacing w:before="0" w:after="0"/>
      <w:jc w:val="left"/>
    </w:pPr>
    <w:rPr>
      <w:i/>
    </w:rPr>
  </w:style>
  <w:style w:type="paragraph" w:customStyle="1" w:styleId="Rfrenceinterinstitutionnelle">
    <w:name w:val="Référence interinstitutionnelle"/>
    <w:basedOn w:val="Normal"/>
    <w:next w:val="Statut"/>
    <w:rsid w:val="009B7138"/>
    <w:pPr>
      <w:spacing w:before="0" w:after="0"/>
      <w:ind w:left="5103"/>
      <w:jc w:val="left"/>
    </w:pPr>
  </w:style>
  <w:style w:type="paragraph" w:customStyle="1" w:styleId="Rfrenceinterne">
    <w:name w:val="Référence interne"/>
    <w:basedOn w:val="Normal"/>
    <w:next w:val="Rfrenceinterinstitutionnelle"/>
    <w:rsid w:val="009B7138"/>
    <w:pPr>
      <w:spacing w:before="0" w:after="0"/>
      <w:ind w:left="5103"/>
      <w:jc w:val="left"/>
    </w:pPr>
  </w:style>
  <w:style w:type="paragraph" w:customStyle="1" w:styleId="Statut">
    <w:name w:val="Statut"/>
    <w:basedOn w:val="Normal"/>
    <w:next w:val="Typedudocument"/>
    <w:rsid w:val="009B7138"/>
    <w:pPr>
      <w:spacing w:before="360" w:after="0"/>
      <w:jc w:val="center"/>
    </w:pPr>
  </w:style>
  <w:style w:type="paragraph" w:customStyle="1" w:styleId="Titrearticle">
    <w:name w:val="Titre article"/>
    <w:basedOn w:val="Normal"/>
    <w:next w:val="Normal"/>
    <w:rsid w:val="009B7138"/>
    <w:pPr>
      <w:keepNext/>
      <w:spacing w:before="360"/>
      <w:jc w:val="center"/>
    </w:pPr>
    <w:rPr>
      <w:i/>
    </w:rPr>
  </w:style>
  <w:style w:type="paragraph" w:customStyle="1" w:styleId="Titreobjet">
    <w:name w:val="Titre objet"/>
    <w:basedOn w:val="Normal"/>
    <w:next w:val="IntrtEEE"/>
    <w:rsid w:val="009B7138"/>
    <w:pPr>
      <w:spacing w:before="360" w:after="360"/>
      <w:jc w:val="center"/>
    </w:pPr>
    <w:rPr>
      <w:b/>
    </w:rPr>
  </w:style>
  <w:style w:type="paragraph" w:customStyle="1" w:styleId="Typedudocument">
    <w:name w:val="Type du document"/>
    <w:basedOn w:val="Normal"/>
    <w:next w:val="Titreobjet"/>
    <w:rsid w:val="009B7138"/>
    <w:pPr>
      <w:spacing w:before="360" w:after="0"/>
      <w:jc w:val="center"/>
    </w:pPr>
    <w:rPr>
      <w:b/>
    </w:rPr>
  </w:style>
  <w:style w:type="character" w:customStyle="1" w:styleId="Added">
    <w:name w:val="Added"/>
    <w:basedOn w:val="DefaultParagraphFont"/>
    <w:rsid w:val="009B7138"/>
    <w:rPr>
      <w:b/>
      <w:u w:val="single"/>
      <w:shd w:val="clear" w:color="auto" w:fill="auto"/>
    </w:rPr>
  </w:style>
  <w:style w:type="character" w:customStyle="1" w:styleId="Deleted">
    <w:name w:val="Deleted"/>
    <w:basedOn w:val="DefaultParagraphFont"/>
    <w:rsid w:val="009B7138"/>
    <w:rPr>
      <w:strike/>
      <w:dstrike w:val="0"/>
      <w:shd w:val="clear" w:color="auto" w:fill="auto"/>
    </w:rPr>
  </w:style>
  <w:style w:type="paragraph" w:customStyle="1" w:styleId="Address">
    <w:name w:val="Address"/>
    <w:basedOn w:val="Normal"/>
    <w:next w:val="Normal"/>
    <w:rsid w:val="009B7138"/>
    <w:pPr>
      <w:keepLines/>
      <w:spacing w:line="360" w:lineRule="auto"/>
      <w:ind w:left="3402"/>
      <w:jc w:val="left"/>
    </w:pPr>
  </w:style>
  <w:style w:type="paragraph" w:customStyle="1" w:styleId="Objetexterne">
    <w:name w:val="Objet externe"/>
    <w:basedOn w:val="Normal"/>
    <w:next w:val="Normal"/>
    <w:rsid w:val="009B7138"/>
    <w:rPr>
      <w:i/>
      <w:caps/>
    </w:rPr>
  </w:style>
  <w:style w:type="paragraph" w:customStyle="1" w:styleId="Supertitre">
    <w:name w:val="Supertitre"/>
    <w:basedOn w:val="Normal"/>
    <w:next w:val="Normal"/>
    <w:rsid w:val="009B7138"/>
    <w:pPr>
      <w:spacing w:before="0" w:after="600"/>
      <w:jc w:val="center"/>
    </w:pPr>
    <w:rPr>
      <w:b/>
    </w:rPr>
  </w:style>
  <w:style w:type="paragraph" w:customStyle="1" w:styleId="Languesfaisantfoi">
    <w:name w:val="Langues faisant foi"/>
    <w:basedOn w:val="Normal"/>
    <w:next w:val="Normal"/>
    <w:rsid w:val="009B7138"/>
    <w:pPr>
      <w:spacing w:before="360" w:after="0"/>
      <w:jc w:val="center"/>
    </w:pPr>
  </w:style>
  <w:style w:type="paragraph" w:customStyle="1" w:styleId="Rfrencecroise">
    <w:name w:val="Référence croisée"/>
    <w:basedOn w:val="Normal"/>
    <w:rsid w:val="009B7138"/>
    <w:pPr>
      <w:spacing w:before="0" w:after="0"/>
      <w:jc w:val="center"/>
    </w:pPr>
  </w:style>
  <w:style w:type="paragraph" w:customStyle="1" w:styleId="Fichefinanciretitre">
    <w:name w:val="Fiche financière titre"/>
    <w:basedOn w:val="Normal"/>
    <w:next w:val="Normal"/>
    <w:rsid w:val="009B7138"/>
    <w:pPr>
      <w:jc w:val="center"/>
    </w:pPr>
    <w:rPr>
      <w:b/>
      <w:u w:val="single"/>
    </w:rPr>
  </w:style>
  <w:style w:type="paragraph" w:customStyle="1" w:styleId="DatedadoptionPagedecouverture">
    <w:name w:val="Date d'adoption (Page de couverture)"/>
    <w:basedOn w:val="Datedadoption"/>
    <w:next w:val="TitreobjetPagedecouverture"/>
    <w:rsid w:val="009B7138"/>
  </w:style>
  <w:style w:type="paragraph" w:customStyle="1" w:styleId="RfrenceinterinstitutionnellePagedecouverture">
    <w:name w:val="Référence interinstitutionnelle (Page de couverture)"/>
    <w:basedOn w:val="Rfrenceinterinstitutionnelle"/>
    <w:next w:val="Confidentialit"/>
    <w:rsid w:val="009B7138"/>
  </w:style>
  <w:style w:type="paragraph" w:customStyle="1" w:styleId="StatutPagedecouverture">
    <w:name w:val="Statut (Page de couverture)"/>
    <w:basedOn w:val="Statut"/>
    <w:next w:val="TypedudocumentPagedecouverture"/>
    <w:rsid w:val="009B7138"/>
  </w:style>
  <w:style w:type="paragraph" w:customStyle="1" w:styleId="TitreobjetPagedecouverture">
    <w:name w:val="Titre objet (Page de couverture)"/>
    <w:basedOn w:val="Titreobjet"/>
    <w:next w:val="IntrtEEEPagedecouverture"/>
    <w:rsid w:val="009B7138"/>
  </w:style>
  <w:style w:type="paragraph" w:customStyle="1" w:styleId="TypedudocumentPagedecouverture">
    <w:name w:val="Type du document (Page de couverture)"/>
    <w:basedOn w:val="Typedudocument"/>
    <w:next w:val="TitreobjetPagedecouverture"/>
    <w:rsid w:val="009B7138"/>
  </w:style>
  <w:style w:type="paragraph" w:customStyle="1" w:styleId="Volume">
    <w:name w:val="Volume"/>
    <w:basedOn w:val="Normal"/>
    <w:next w:val="Confidentialit"/>
    <w:rsid w:val="009B7138"/>
    <w:pPr>
      <w:spacing w:before="0" w:after="240"/>
      <w:ind w:left="5103"/>
      <w:jc w:val="left"/>
    </w:pPr>
  </w:style>
  <w:style w:type="paragraph" w:customStyle="1" w:styleId="IntrtEEE">
    <w:name w:val="Intérêt EEE"/>
    <w:basedOn w:val="Languesfaisantfoi"/>
    <w:next w:val="Normal"/>
    <w:rsid w:val="009B7138"/>
    <w:pPr>
      <w:spacing w:after="240"/>
    </w:pPr>
  </w:style>
  <w:style w:type="paragraph" w:customStyle="1" w:styleId="Accompagnant">
    <w:name w:val="Accompagnant"/>
    <w:basedOn w:val="Normal"/>
    <w:next w:val="Typeacteprincipal"/>
    <w:rsid w:val="009B7138"/>
    <w:pPr>
      <w:spacing w:before="0" w:after="240"/>
      <w:jc w:val="center"/>
    </w:pPr>
    <w:rPr>
      <w:b/>
      <w:i/>
    </w:rPr>
  </w:style>
  <w:style w:type="paragraph" w:customStyle="1" w:styleId="Typeacteprincipal">
    <w:name w:val="Type acte principal"/>
    <w:basedOn w:val="Normal"/>
    <w:next w:val="Objetacteprincipal"/>
    <w:rsid w:val="009B7138"/>
    <w:pPr>
      <w:spacing w:before="0" w:after="240"/>
      <w:jc w:val="center"/>
    </w:pPr>
    <w:rPr>
      <w:b/>
    </w:rPr>
  </w:style>
  <w:style w:type="paragraph" w:customStyle="1" w:styleId="Objetacteprincipal">
    <w:name w:val="Objet acte principal"/>
    <w:basedOn w:val="Normal"/>
    <w:next w:val="Titrearticle"/>
    <w:rsid w:val="009B7138"/>
    <w:pPr>
      <w:spacing w:before="0" w:after="360"/>
      <w:jc w:val="center"/>
    </w:pPr>
    <w:rPr>
      <w:b/>
    </w:rPr>
  </w:style>
  <w:style w:type="paragraph" w:customStyle="1" w:styleId="IntrtEEEPagedecouverture">
    <w:name w:val="Intérêt EEE (Page de couverture)"/>
    <w:basedOn w:val="IntrtEEE"/>
    <w:next w:val="Rfrencecroise"/>
    <w:rsid w:val="009B7138"/>
  </w:style>
  <w:style w:type="paragraph" w:customStyle="1" w:styleId="AccompagnantPagedecouverture">
    <w:name w:val="Accompagnant (Page de couverture)"/>
    <w:basedOn w:val="Accompagnant"/>
    <w:next w:val="TypeacteprincipalPagedecouverture"/>
    <w:rsid w:val="009B7138"/>
  </w:style>
  <w:style w:type="paragraph" w:customStyle="1" w:styleId="TypeacteprincipalPagedecouverture">
    <w:name w:val="Type acte principal (Page de couverture)"/>
    <w:basedOn w:val="Typeacteprincipal"/>
    <w:next w:val="ObjetacteprincipalPagedecouverture"/>
    <w:rsid w:val="009B7138"/>
  </w:style>
  <w:style w:type="paragraph" w:customStyle="1" w:styleId="ObjetacteprincipalPagedecouverture">
    <w:name w:val="Objet acte principal (Page de couverture)"/>
    <w:basedOn w:val="Objetacteprincipal"/>
    <w:next w:val="Rfrencecroise"/>
    <w:rsid w:val="009B7138"/>
  </w:style>
  <w:style w:type="paragraph" w:customStyle="1" w:styleId="LanguesfaisantfoiPagedecouverture">
    <w:name w:val="Langues faisant foi (Page de couverture)"/>
    <w:basedOn w:val="Normal"/>
    <w:next w:val="Normal"/>
    <w:rsid w:val="009B7138"/>
    <w:pPr>
      <w:spacing w:before="360" w:after="0"/>
      <w:jc w:val="center"/>
    </w:pPr>
  </w:style>
  <w:style w:type="character" w:customStyle="1" w:styleId="Heading5Char">
    <w:name w:val="Heading 5 Char"/>
    <w:basedOn w:val="DefaultParagraphFont"/>
    <w:link w:val="Heading5"/>
    <w:uiPriority w:val="9"/>
    <w:semiHidden/>
    <w:rsid w:val="00ED2110"/>
    <w:rPr>
      <w:rFonts w:ascii="Times New Roman" w:eastAsiaTheme="majorEastAsia" w:hAnsi="Times New Roman" w:cs="Times New Roman"/>
      <w:sz w:val="24"/>
      <w:lang w:val="da-DK"/>
    </w:rPr>
  </w:style>
  <w:style w:type="character" w:customStyle="1" w:styleId="Heading6Char">
    <w:name w:val="Heading 6 Char"/>
    <w:basedOn w:val="DefaultParagraphFont"/>
    <w:link w:val="Heading6"/>
    <w:uiPriority w:val="9"/>
    <w:semiHidden/>
    <w:rsid w:val="00ED2110"/>
    <w:rPr>
      <w:rFonts w:ascii="Times New Roman" w:eastAsiaTheme="majorEastAsia" w:hAnsi="Times New Roman" w:cs="Times New Roman"/>
      <w:iCs/>
      <w:sz w:val="24"/>
      <w:lang w:val="da-DK"/>
    </w:rPr>
  </w:style>
  <w:style w:type="character" w:customStyle="1" w:styleId="Heading7Char">
    <w:name w:val="Heading 7 Char"/>
    <w:basedOn w:val="DefaultParagraphFont"/>
    <w:link w:val="Heading7"/>
    <w:uiPriority w:val="9"/>
    <w:semiHidden/>
    <w:rsid w:val="00ED2110"/>
    <w:rPr>
      <w:rFonts w:ascii="Times New Roman" w:eastAsiaTheme="majorEastAsia" w:hAnsi="Times New Roman" w:cs="Times New Roman"/>
      <w:iCs/>
      <w:sz w:val="24"/>
      <w:lang w:val="da-DK"/>
    </w:rPr>
  </w:style>
  <w:style w:type="paragraph" w:customStyle="1" w:styleId="ManualHeading5">
    <w:name w:val="Manual Heading 5"/>
    <w:basedOn w:val="Normal"/>
    <w:next w:val="Text2"/>
    <w:rsid w:val="00ED2110"/>
    <w:pPr>
      <w:keepNext/>
      <w:tabs>
        <w:tab w:val="left" w:pos="1417"/>
      </w:tabs>
      <w:ind w:left="1417" w:hanging="1417"/>
      <w:outlineLvl w:val="4"/>
    </w:pPr>
  </w:style>
  <w:style w:type="paragraph" w:customStyle="1" w:styleId="ManualHeading6">
    <w:name w:val="Manual Heading 6"/>
    <w:basedOn w:val="Normal"/>
    <w:next w:val="Text2"/>
    <w:rsid w:val="00ED2110"/>
    <w:pPr>
      <w:keepNext/>
      <w:tabs>
        <w:tab w:val="left" w:pos="1417"/>
      </w:tabs>
      <w:ind w:left="1417" w:hanging="1417"/>
      <w:outlineLvl w:val="5"/>
    </w:pPr>
  </w:style>
  <w:style w:type="paragraph" w:customStyle="1" w:styleId="ManualHeading7">
    <w:name w:val="Manual Heading 7"/>
    <w:basedOn w:val="Normal"/>
    <w:next w:val="Text2"/>
    <w:rsid w:val="00ED2110"/>
    <w:pPr>
      <w:keepNext/>
      <w:tabs>
        <w:tab w:val="left" w:pos="1417"/>
      </w:tabs>
      <w:ind w:left="1417" w:hanging="1417"/>
      <w:outlineLvl w:val="6"/>
    </w:pPr>
  </w:style>
  <w:style w:type="paragraph" w:customStyle="1" w:styleId="Text5">
    <w:name w:val="Text 5"/>
    <w:basedOn w:val="Normal"/>
    <w:rsid w:val="00ED2110"/>
    <w:pPr>
      <w:ind w:left="3118"/>
    </w:pPr>
  </w:style>
  <w:style w:type="paragraph" w:customStyle="1" w:styleId="Text6">
    <w:name w:val="Text 6"/>
    <w:basedOn w:val="Normal"/>
    <w:rsid w:val="00ED2110"/>
    <w:pPr>
      <w:ind w:left="3685"/>
    </w:pPr>
  </w:style>
  <w:style w:type="paragraph" w:customStyle="1" w:styleId="Point5">
    <w:name w:val="Point 5"/>
    <w:basedOn w:val="Normal"/>
    <w:rsid w:val="00ED2110"/>
    <w:pPr>
      <w:ind w:left="3685" w:hanging="567"/>
    </w:pPr>
  </w:style>
  <w:style w:type="paragraph" w:customStyle="1" w:styleId="Tiret5">
    <w:name w:val="Tiret 5"/>
    <w:basedOn w:val="Point5"/>
    <w:rsid w:val="00ED2110"/>
    <w:pPr>
      <w:numPr>
        <w:numId w:val="27"/>
      </w:numPr>
    </w:pPr>
  </w:style>
  <w:style w:type="paragraph" w:customStyle="1" w:styleId="NumPar5">
    <w:name w:val="NumPar 5"/>
    <w:basedOn w:val="Normal"/>
    <w:next w:val="Text2"/>
    <w:rsid w:val="00ED2110"/>
    <w:pPr>
      <w:numPr>
        <w:ilvl w:val="4"/>
        <w:numId w:val="30"/>
      </w:numPr>
    </w:pPr>
  </w:style>
  <w:style w:type="paragraph" w:customStyle="1" w:styleId="NumPar6">
    <w:name w:val="NumPar 6"/>
    <w:basedOn w:val="Normal"/>
    <w:next w:val="Text2"/>
    <w:rsid w:val="00ED2110"/>
    <w:pPr>
      <w:numPr>
        <w:ilvl w:val="5"/>
        <w:numId w:val="30"/>
      </w:numPr>
    </w:pPr>
  </w:style>
  <w:style w:type="paragraph" w:customStyle="1" w:styleId="NumPar7">
    <w:name w:val="NumPar 7"/>
    <w:basedOn w:val="Normal"/>
    <w:next w:val="Text2"/>
    <w:rsid w:val="00ED2110"/>
    <w:pPr>
      <w:numPr>
        <w:ilvl w:val="6"/>
        <w:numId w:val="30"/>
      </w:numPr>
    </w:pPr>
  </w:style>
  <w:style w:type="paragraph" w:customStyle="1" w:styleId="ManualNumPar5">
    <w:name w:val="Manual NumPar 5"/>
    <w:basedOn w:val="Normal"/>
    <w:next w:val="Text2"/>
    <w:rsid w:val="00ED2110"/>
    <w:pPr>
      <w:ind w:left="1417" w:hanging="1417"/>
    </w:pPr>
  </w:style>
  <w:style w:type="paragraph" w:customStyle="1" w:styleId="ManualNumPar6">
    <w:name w:val="Manual NumPar 6"/>
    <w:basedOn w:val="Normal"/>
    <w:next w:val="Text2"/>
    <w:rsid w:val="00ED2110"/>
    <w:pPr>
      <w:ind w:left="1417" w:hanging="1417"/>
    </w:pPr>
  </w:style>
  <w:style w:type="paragraph" w:customStyle="1" w:styleId="ManualNumPar7">
    <w:name w:val="Manual NumPar 7"/>
    <w:basedOn w:val="Normal"/>
    <w:next w:val="Text2"/>
    <w:rsid w:val="00ED2110"/>
    <w:pPr>
      <w:ind w:left="1417" w:hanging="141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5017256">
      <w:bodyDiv w:val="1"/>
      <w:marLeft w:val="0"/>
      <w:marRight w:val="0"/>
      <w:marTop w:val="0"/>
      <w:marBottom w:val="0"/>
      <w:divBdr>
        <w:top w:val="none" w:sz="0" w:space="0" w:color="auto"/>
        <w:left w:val="none" w:sz="0" w:space="0" w:color="auto"/>
        <w:bottom w:val="none" w:sz="0" w:space="0" w:color="auto"/>
        <w:right w:val="none" w:sz="0" w:space="0" w:color="auto"/>
      </w:divBdr>
    </w:div>
    <w:div w:id="13444292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theme" Target="theme/theme1.xml"/><Relationship Id="rId2" Type="http://schemas.openxmlformats.org/officeDocument/2006/relationships/styles" Target="styles.xml"/><Relationship Id="rId20"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3.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ublic\Documents\Templates\COM.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COM.dotm</Template>
  <TotalTime>1</TotalTime>
  <Pages>3</Pages>
  <Words>401</Words>
  <Characters>2613</Characters>
  <Application>Microsoft Office Word</Application>
  <DocSecurity>0</DocSecurity>
  <Lines>52</Lines>
  <Paragraphs>28</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VAPPER Rea (FISMA)</dc:creator>
  <cp:keywords/>
  <dc:description/>
  <cp:lastModifiedBy>VAPPER Rea (FISMA)</cp:lastModifiedBy>
  <cp:revision>2</cp:revision>
  <dcterms:created xsi:type="dcterms:W3CDTF">2022-03-08T14:31:00Z</dcterms:created>
  <dcterms:modified xsi:type="dcterms:W3CDTF">2022-03-08T14:31:00Z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ategory">
    <vt:lpwstr>COM/AA</vt:lpwstr>
  </property>
  <property fmtid="{D5CDD505-2E9C-101B-9397-08002B2CF9AE}" pid="3" name="Version">
    <vt:lpwstr>7.0.9.0</vt:lpwstr>
  </property>
  <property fmtid="{D5CDD505-2E9C-101B-9397-08002B2CF9AE}" pid="4" name="Last edited using">
    <vt:lpwstr>LW 7.0.1, Build 20200226</vt:lpwstr>
  </property>
  <property fmtid="{D5CDD505-2E9C-101B-9397-08002B2CF9AE}" pid="5" name="Created using">
    <vt:lpwstr>LW 7.0.1, Build 20190916</vt:lpwstr>
  </property>
  <property fmtid="{D5CDD505-2E9C-101B-9397-08002B2CF9AE}" pid="6" name="Part">
    <vt:lpwstr>1</vt:lpwstr>
  </property>
  <property fmtid="{D5CDD505-2E9C-101B-9397-08002B2CF9AE}" pid="7" name="Total parts">
    <vt:lpwstr>1</vt:lpwstr>
  </property>
  <property fmtid="{D5CDD505-2E9C-101B-9397-08002B2CF9AE}" pid="8" name="Level of sensitivity">
    <vt:lpwstr>Standard treatment</vt:lpwstr>
  </property>
  <property fmtid="{D5CDD505-2E9C-101B-9397-08002B2CF9AE}" pid="9" name="LWTemplateID">
    <vt:lpwstr>SJ-004</vt:lpwstr>
  </property>
  <property fmtid="{D5CDD505-2E9C-101B-9397-08002B2CF9AE}" pid="10" name="DQCStatus">
    <vt:lpwstr>Green (DQC version 03)</vt:lpwstr>
  </property>
</Properties>
</file>