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„II LISA</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Juhised</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5577576F" w14:textId="5D2BDE02" w:rsidR="00BC5CD5"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38688" w:history="1">
        <w:r w:rsidR="00BC5CD5" w:rsidRPr="00DE41AF">
          <w:rPr>
            <w:rStyle w:val="Hyperlink"/>
            <w:rFonts w:ascii="Times New Roman" w:hAnsi="Times New Roman" w:cs="Times New Roman"/>
          </w:rPr>
          <w:t>I.</w:t>
        </w:r>
        <w:r w:rsidR="00BC5CD5">
          <w:rPr>
            <w:lang w:val="en-US"/>
          </w:rPr>
          <w:tab/>
        </w:r>
        <w:r w:rsidR="00BC5CD5" w:rsidRPr="00DE41AF">
          <w:rPr>
            <w:rStyle w:val="Hyperlink"/>
            <w:rFonts w:ascii="Times New Roman" w:hAnsi="Times New Roman"/>
          </w:rPr>
          <w:t>Üldised juhised</w:t>
        </w:r>
        <w:r w:rsidR="00BC5CD5">
          <w:rPr>
            <w:webHidden/>
          </w:rPr>
          <w:tab/>
        </w:r>
        <w:r w:rsidR="00BC5CD5">
          <w:rPr>
            <w:webHidden/>
          </w:rPr>
          <w:fldChar w:fldCharType="begin"/>
        </w:r>
        <w:r w:rsidR="00BC5CD5">
          <w:rPr>
            <w:webHidden/>
          </w:rPr>
          <w:instrText xml:space="preserve"> PAGEREF _Toc96338688 \h </w:instrText>
        </w:r>
        <w:r w:rsidR="00BC5CD5">
          <w:rPr>
            <w:webHidden/>
          </w:rPr>
        </w:r>
        <w:r w:rsidR="00BC5CD5">
          <w:rPr>
            <w:webHidden/>
          </w:rPr>
          <w:fldChar w:fldCharType="separate"/>
        </w:r>
        <w:r w:rsidR="00BC5CD5">
          <w:rPr>
            <w:webHidden/>
          </w:rPr>
          <w:t>2</w:t>
        </w:r>
        <w:r w:rsidR="00BC5CD5">
          <w:rPr>
            <w:webHidden/>
          </w:rPr>
          <w:fldChar w:fldCharType="end"/>
        </w:r>
      </w:hyperlink>
    </w:p>
    <w:p w14:paraId="5E622027" w14:textId="6197B983" w:rsidR="00BC5CD5" w:rsidRDefault="00AC30C9">
      <w:pPr>
        <w:pStyle w:val="TOC2"/>
        <w:rPr>
          <w:lang w:val="en-US"/>
        </w:rPr>
      </w:pPr>
      <w:hyperlink w:anchor="_Toc96338689" w:history="1">
        <w:r w:rsidR="00BC5CD5" w:rsidRPr="00DE41AF">
          <w:rPr>
            <w:rStyle w:val="Hyperlink"/>
            <w:rFonts w:ascii="Times New Roman" w:hAnsi="Times New Roman" w:cs="Times New Roman"/>
          </w:rPr>
          <w:t>I.1</w:t>
        </w:r>
        <w:r w:rsidR="00BC5CD5">
          <w:rPr>
            <w:lang w:val="en-US"/>
          </w:rPr>
          <w:tab/>
        </w:r>
        <w:r w:rsidR="00BC5CD5" w:rsidRPr="00DE41AF">
          <w:rPr>
            <w:rStyle w:val="Hyperlink"/>
            <w:rFonts w:ascii="Times New Roman" w:hAnsi="Times New Roman"/>
          </w:rPr>
          <w:t>Ülesehitus</w:t>
        </w:r>
        <w:r w:rsidR="00BC5CD5">
          <w:rPr>
            <w:webHidden/>
          </w:rPr>
          <w:tab/>
        </w:r>
        <w:r w:rsidR="00BC5CD5">
          <w:rPr>
            <w:webHidden/>
          </w:rPr>
          <w:fldChar w:fldCharType="begin"/>
        </w:r>
        <w:r w:rsidR="00BC5CD5">
          <w:rPr>
            <w:webHidden/>
          </w:rPr>
          <w:instrText xml:space="preserve"> PAGEREF _Toc96338689 \h </w:instrText>
        </w:r>
        <w:r w:rsidR="00BC5CD5">
          <w:rPr>
            <w:webHidden/>
          </w:rPr>
        </w:r>
        <w:r w:rsidR="00BC5CD5">
          <w:rPr>
            <w:webHidden/>
          </w:rPr>
          <w:fldChar w:fldCharType="separate"/>
        </w:r>
        <w:r w:rsidR="00BC5CD5">
          <w:rPr>
            <w:webHidden/>
          </w:rPr>
          <w:t>2</w:t>
        </w:r>
        <w:r w:rsidR="00BC5CD5">
          <w:rPr>
            <w:webHidden/>
          </w:rPr>
          <w:fldChar w:fldCharType="end"/>
        </w:r>
      </w:hyperlink>
    </w:p>
    <w:p w14:paraId="75786868" w14:textId="087446DF" w:rsidR="00BC5CD5" w:rsidRDefault="00AC30C9">
      <w:pPr>
        <w:pStyle w:val="TOC2"/>
        <w:rPr>
          <w:lang w:val="en-US"/>
        </w:rPr>
      </w:pPr>
      <w:hyperlink w:anchor="_Toc96338690" w:history="1">
        <w:r w:rsidR="00BC5CD5" w:rsidRPr="00DE41AF">
          <w:rPr>
            <w:rStyle w:val="Hyperlink"/>
            <w:rFonts w:ascii="Times New Roman" w:hAnsi="Times New Roman" w:cs="Times New Roman"/>
          </w:rPr>
          <w:t>I.2</w:t>
        </w:r>
        <w:r w:rsidR="00BC5CD5">
          <w:rPr>
            <w:lang w:val="en-US"/>
          </w:rPr>
          <w:tab/>
        </w:r>
        <w:r w:rsidR="00BC5CD5" w:rsidRPr="00DE41AF">
          <w:rPr>
            <w:rStyle w:val="Hyperlink"/>
            <w:rFonts w:ascii="Times New Roman" w:hAnsi="Times New Roman"/>
          </w:rPr>
          <w:t>Viited</w:t>
        </w:r>
        <w:r w:rsidR="00BC5CD5">
          <w:rPr>
            <w:webHidden/>
          </w:rPr>
          <w:tab/>
        </w:r>
        <w:r w:rsidR="00BC5CD5">
          <w:rPr>
            <w:webHidden/>
          </w:rPr>
          <w:fldChar w:fldCharType="begin"/>
        </w:r>
        <w:r w:rsidR="00BC5CD5">
          <w:rPr>
            <w:webHidden/>
          </w:rPr>
          <w:instrText xml:space="preserve"> PAGEREF _Toc96338690 \h </w:instrText>
        </w:r>
        <w:r w:rsidR="00BC5CD5">
          <w:rPr>
            <w:webHidden/>
          </w:rPr>
        </w:r>
        <w:r w:rsidR="00BC5CD5">
          <w:rPr>
            <w:webHidden/>
          </w:rPr>
          <w:fldChar w:fldCharType="separate"/>
        </w:r>
        <w:r w:rsidR="00BC5CD5">
          <w:rPr>
            <w:webHidden/>
          </w:rPr>
          <w:t>2</w:t>
        </w:r>
        <w:r w:rsidR="00BC5CD5">
          <w:rPr>
            <w:webHidden/>
          </w:rPr>
          <w:fldChar w:fldCharType="end"/>
        </w:r>
      </w:hyperlink>
    </w:p>
    <w:p w14:paraId="274A61BB" w14:textId="19E97C90" w:rsidR="00BC5CD5" w:rsidRDefault="00AC30C9">
      <w:pPr>
        <w:pStyle w:val="TOC2"/>
        <w:rPr>
          <w:lang w:val="en-US"/>
        </w:rPr>
      </w:pPr>
      <w:hyperlink w:anchor="_Toc96338691" w:history="1">
        <w:r w:rsidR="00BC5CD5" w:rsidRPr="00DE41AF">
          <w:rPr>
            <w:rStyle w:val="Hyperlink"/>
            <w:rFonts w:ascii="Times New Roman" w:hAnsi="Times New Roman" w:cs="Times New Roman"/>
          </w:rPr>
          <w:t>I.3</w:t>
        </w:r>
        <w:r w:rsidR="00BC5CD5">
          <w:rPr>
            <w:lang w:val="en-US"/>
          </w:rPr>
          <w:tab/>
        </w:r>
        <w:r w:rsidR="00BC5CD5" w:rsidRPr="00DE41AF">
          <w:rPr>
            <w:rStyle w:val="Hyperlink"/>
            <w:rFonts w:ascii="Times New Roman" w:hAnsi="Times New Roman"/>
          </w:rPr>
          <w:t>Raamatupidamisstandardid</w:t>
        </w:r>
        <w:r w:rsidR="00BC5CD5">
          <w:rPr>
            <w:webHidden/>
          </w:rPr>
          <w:tab/>
        </w:r>
        <w:r w:rsidR="00BC5CD5">
          <w:rPr>
            <w:webHidden/>
          </w:rPr>
          <w:fldChar w:fldCharType="begin"/>
        </w:r>
        <w:r w:rsidR="00BC5CD5">
          <w:rPr>
            <w:webHidden/>
          </w:rPr>
          <w:instrText xml:space="preserve"> PAGEREF _Toc96338691 \h </w:instrText>
        </w:r>
        <w:r w:rsidR="00BC5CD5">
          <w:rPr>
            <w:webHidden/>
          </w:rPr>
        </w:r>
        <w:r w:rsidR="00BC5CD5">
          <w:rPr>
            <w:webHidden/>
          </w:rPr>
          <w:fldChar w:fldCharType="separate"/>
        </w:r>
        <w:r w:rsidR="00BC5CD5">
          <w:rPr>
            <w:webHidden/>
          </w:rPr>
          <w:t>3</w:t>
        </w:r>
        <w:r w:rsidR="00BC5CD5">
          <w:rPr>
            <w:webHidden/>
          </w:rPr>
          <w:fldChar w:fldCharType="end"/>
        </w:r>
      </w:hyperlink>
    </w:p>
    <w:p w14:paraId="6B9417D3" w14:textId="256C628C" w:rsidR="00BC5CD5" w:rsidRDefault="00AC30C9">
      <w:pPr>
        <w:pStyle w:val="TOC2"/>
        <w:rPr>
          <w:lang w:val="en-US"/>
        </w:rPr>
      </w:pPr>
      <w:hyperlink w:anchor="_Toc96338692" w:history="1">
        <w:r w:rsidR="00BC5CD5" w:rsidRPr="00DE41AF">
          <w:rPr>
            <w:rStyle w:val="Hyperlink"/>
            <w:rFonts w:ascii="Times New Roman" w:hAnsi="Times New Roman" w:cs="Times New Roman"/>
          </w:rPr>
          <w:t>I.4</w:t>
        </w:r>
        <w:r w:rsidR="00BC5CD5">
          <w:rPr>
            <w:lang w:val="en-US"/>
          </w:rPr>
          <w:tab/>
        </w:r>
        <w:r w:rsidR="00BC5CD5" w:rsidRPr="00DE41AF">
          <w:rPr>
            <w:rStyle w:val="Hyperlink"/>
            <w:rFonts w:ascii="Times New Roman" w:hAnsi="Times New Roman"/>
          </w:rPr>
          <w:t>Konsolideerimise ulatus</w:t>
        </w:r>
        <w:r w:rsidR="00BC5CD5">
          <w:rPr>
            <w:webHidden/>
          </w:rPr>
          <w:tab/>
        </w:r>
        <w:r w:rsidR="00BC5CD5">
          <w:rPr>
            <w:webHidden/>
          </w:rPr>
          <w:fldChar w:fldCharType="begin"/>
        </w:r>
        <w:r w:rsidR="00BC5CD5">
          <w:rPr>
            <w:webHidden/>
          </w:rPr>
          <w:instrText xml:space="preserve"> PAGEREF _Toc96338692 \h </w:instrText>
        </w:r>
        <w:r w:rsidR="00BC5CD5">
          <w:rPr>
            <w:webHidden/>
          </w:rPr>
        </w:r>
        <w:r w:rsidR="00BC5CD5">
          <w:rPr>
            <w:webHidden/>
          </w:rPr>
          <w:fldChar w:fldCharType="separate"/>
        </w:r>
        <w:r w:rsidR="00BC5CD5">
          <w:rPr>
            <w:webHidden/>
          </w:rPr>
          <w:t>3</w:t>
        </w:r>
        <w:r w:rsidR="00BC5CD5">
          <w:rPr>
            <w:webHidden/>
          </w:rPr>
          <w:fldChar w:fldCharType="end"/>
        </w:r>
      </w:hyperlink>
    </w:p>
    <w:p w14:paraId="2B62F223" w14:textId="324F14DE" w:rsidR="00BC5CD5" w:rsidRDefault="00AC30C9">
      <w:pPr>
        <w:pStyle w:val="TOC2"/>
        <w:rPr>
          <w:lang w:val="en-US"/>
        </w:rPr>
      </w:pPr>
      <w:hyperlink w:anchor="_Toc96338693" w:history="1">
        <w:r w:rsidR="00BC5CD5" w:rsidRPr="00DE41AF">
          <w:rPr>
            <w:rStyle w:val="Hyperlink"/>
            <w:rFonts w:ascii="Times New Roman" w:hAnsi="Times New Roman" w:cs="Times New Roman"/>
          </w:rPr>
          <w:t>I.5</w:t>
        </w:r>
        <w:r w:rsidR="00BC5CD5">
          <w:rPr>
            <w:lang w:val="en-US"/>
          </w:rPr>
          <w:tab/>
        </w:r>
        <w:r w:rsidR="00BC5CD5" w:rsidRPr="00DE41AF">
          <w:rPr>
            <w:rStyle w:val="Hyperlink"/>
            <w:rFonts w:ascii="Times New Roman" w:hAnsi="Times New Roman"/>
          </w:rPr>
          <w:t>Nummerdamine ja muud tavad</w:t>
        </w:r>
        <w:r w:rsidR="00BC5CD5">
          <w:rPr>
            <w:webHidden/>
          </w:rPr>
          <w:tab/>
        </w:r>
        <w:r w:rsidR="00BC5CD5">
          <w:rPr>
            <w:webHidden/>
          </w:rPr>
          <w:fldChar w:fldCharType="begin"/>
        </w:r>
        <w:r w:rsidR="00BC5CD5">
          <w:rPr>
            <w:webHidden/>
          </w:rPr>
          <w:instrText xml:space="preserve"> PAGEREF _Toc96338693 \h </w:instrText>
        </w:r>
        <w:r w:rsidR="00BC5CD5">
          <w:rPr>
            <w:webHidden/>
          </w:rPr>
        </w:r>
        <w:r w:rsidR="00BC5CD5">
          <w:rPr>
            <w:webHidden/>
          </w:rPr>
          <w:fldChar w:fldCharType="separate"/>
        </w:r>
        <w:r w:rsidR="00BC5CD5">
          <w:rPr>
            <w:webHidden/>
          </w:rPr>
          <w:t>3</w:t>
        </w:r>
        <w:r w:rsidR="00BC5CD5">
          <w:rPr>
            <w:webHidden/>
          </w:rPr>
          <w:fldChar w:fldCharType="end"/>
        </w:r>
      </w:hyperlink>
    </w:p>
    <w:p w14:paraId="0DF0058E" w14:textId="3A9E5EBB" w:rsidR="00BC5CD5" w:rsidRDefault="00AC30C9">
      <w:pPr>
        <w:pStyle w:val="TOC2"/>
        <w:rPr>
          <w:lang w:val="en-US"/>
        </w:rPr>
      </w:pPr>
      <w:hyperlink w:anchor="_Toc96338694" w:history="1">
        <w:r w:rsidR="00BC5CD5" w:rsidRPr="00DE41AF">
          <w:rPr>
            <w:rStyle w:val="Hyperlink"/>
            <w:rFonts w:ascii="Times New Roman" w:hAnsi="Times New Roman" w:cs="Times New Roman"/>
          </w:rPr>
          <w:t>II.</w:t>
        </w:r>
        <w:r w:rsidR="00BC5CD5">
          <w:rPr>
            <w:lang w:val="en-US"/>
          </w:rPr>
          <w:tab/>
        </w:r>
        <w:r w:rsidR="00BC5CD5" w:rsidRPr="00DE41AF">
          <w:rPr>
            <w:rStyle w:val="Hyperlink"/>
            <w:rFonts w:ascii="Times New Roman" w:hAnsi="Times New Roman"/>
          </w:rPr>
          <w:t>Vormidega seotud juhised</w:t>
        </w:r>
        <w:r w:rsidR="00BC5CD5">
          <w:rPr>
            <w:webHidden/>
          </w:rPr>
          <w:tab/>
        </w:r>
        <w:r w:rsidR="00BC5CD5">
          <w:rPr>
            <w:webHidden/>
          </w:rPr>
          <w:fldChar w:fldCharType="begin"/>
        </w:r>
        <w:r w:rsidR="00BC5CD5">
          <w:rPr>
            <w:webHidden/>
          </w:rPr>
          <w:instrText xml:space="preserve"> PAGEREF _Toc96338694 \h </w:instrText>
        </w:r>
        <w:r w:rsidR="00BC5CD5">
          <w:rPr>
            <w:webHidden/>
          </w:rPr>
        </w:r>
        <w:r w:rsidR="00BC5CD5">
          <w:rPr>
            <w:webHidden/>
          </w:rPr>
          <w:fldChar w:fldCharType="separate"/>
        </w:r>
        <w:r w:rsidR="00BC5CD5">
          <w:rPr>
            <w:webHidden/>
          </w:rPr>
          <w:t>4</w:t>
        </w:r>
        <w:r w:rsidR="00BC5CD5">
          <w:rPr>
            <w:webHidden/>
          </w:rPr>
          <w:fldChar w:fldCharType="end"/>
        </w:r>
      </w:hyperlink>
    </w:p>
    <w:p w14:paraId="4C11CE16" w14:textId="538831B6" w:rsidR="00BC5CD5" w:rsidRDefault="00AC30C9">
      <w:pPr>
        <w:pStyle w:val="TOC2"/>
        <w:rPr>
          <w:lang w:val="en-US"/>
        </w:rPr>
      </w:pPr>
      <w:hyperlink w:anchor="_Toc96338695" w:history="1">
        <w:r w:rsidR="00BC5CD5" w:rsidRPr="00DE41AF">
          <w:rPr>
            <w:rStyle w:val="Hyperlink"/>
            <w:rFonts w:ascii="Times New Roman" w:hAnsi="Times New Roman" w:cs="Times New Roman"/>
          </w:rPr>
          <w:t>II.1</w:t>
        </w:r>
        <w:r w:rsidR="00BC5CD5">
          <w:rPr>
            <w:lang w:val="en-US"/>
          </w:rPr>
          <w:tab/>
        </w:r>
        <w:r w:rsidR="00BC5CD5" w:rsidRPr="00DE41AF">
          <w:rPr>
            <w:rStyle w:val="Hyperlink"/>
            <w:rFonts w:ascii="Times New Roman" w:hAnsi="Times New Roman"/>
          </w:rPr>
          <w:t>Z 01.00 – Organisatsiooniline struktuur (ORG)</w:t>
        </w:r>
        <w:r w:rsidR="00BC5CD5">
          <w:rPr>
            <w:webHidden/>
          </w:rPr>
          <w:tab/>
        </w:r>
        <w:r w:rsidR="00BC5CD5">
          <w:rPr>
            <w:webHidden/>
          </w:rPr>
          <w:fldChar w:fldCharType="begin"/>
        </w:r>
        <w:r w:rsidR="00BC5CD5">
          <w:rPr>
            <w:webHidden/>
          </w:rPr>
          <w:instrText xml:space="preserve"> PAGEREF _Toc96338695 \h </w:instrText>
        </w:r>
        <w:r w:rsidR="00BC5CD5">
          <w:rPr>
            <w:webHidden/>
          </w:rPr>
        </w:r>
        <w:r w:rsidR="00BC5CD5">
          <w:rPr>
            <w:webHidden/>
          </w:rPr>
          <w:fldChar w:fldCharType="separate"/>
        </w:r>
        <w:r w:rsidR="00BC5CD5">
          <w:rPr>
            <w:webHidden/>
          </w:rPr>
          <w:t>4</w:t>
        </w:r>
        <w:r w:rsidR="00BC5CD5">
          <w:rPr>
            <w:webHidden/>
          </w:rPr>
          <w:fldChar w:fldCharType="end"/>
        </w:r>
      </w:hyperlink>
    </w:p>
    <w:p w14:paraId="621BEFFE" w14:textId="541C9AC4" w:rsidR="00BC5CD5" w:rsidRDefault="00AC30C9">
      <w:pPr>
        <w:pStyle w:val="TOC2"/>
        <w:rPr>
          <w:lang w:val="en-US"/>
        </w:rPr>
      </w:pPr>
      <w:hyperlink w:anchor="_Toc96338696" w:history="1">
        <w:r w:rsidR="00BC5CD5" w:rsidRPr="00DE41AF">
          <w:rPr>
            <w:rStyle w:val="Hyperlink"/>
            <w:rFonts w:ascii="Times New Roman" w:hAnsi="Times New Roman" w:cs="Times New Roman"/>
          </w:rPr>
          <w:t>II.2</w:t>
        </w:r>
        <w:r w:rsidR="00BC5CD5">
          <w:rPr>
            <w:lang w:val="en-US"/>
          </w:rPr>
          <w:tab/>
        </w:r>
        <w:r w:rsidR="00BC5CD5" w:rsidRPr="00DE41AF">
          <w:rPr>
            <w:rStyle w:val="Hyperlink"/>
            <w:rFonts w:ascii="Times New Roman" w:hAnsi="Times New Roman"/>
          </w:rPr>
          <w:t>Z 02.00 – Kohustuste struktuur (LIAB)</w:t>
        </w:r>
        <w:r w:rsidR="00BC5CD5">
          <w:rPr>
            <w:webHidden/>
          </w:rPr>
          <w:tab/>
        </w:r>
        <w:r w:rsidR="00BC5CD5">
          <w:rPr>
            <w:webHidden/>
          </w:rPr>
          <w:fldChar w:fldCharType="begin"/>
        </w:r>
        <w:r w:rsidR="00BC5CD5">
          <w:rPr>
            <w:webHidden/>
          </w:rPr>
          <w:instrText xml:space="preserve"> PAGEREF _Toc96338696 \h </w:instrText>
        </w:r>
        <w:r w:rsidR="00BC5CD5">
          <w:rPr>
            <w:webHidden/>
          </w:rPr>
        </w:r>
        <w:r w:rsidR="00BC5CD5">
          <w:rPr>
            <w:webHidden/>
          </w:rPr>
          <w:fldChar w:fldCharType="separate"/>
        </w:r>
        <w:r w:rsidR="00BC5CD5">
          <w:rPr>
            <w:webHidden/>
          </w:rPr>
          <w:t>7</w:t>
        </w:r>
        <w:r w:rsidR="00BC5CD5">
          <w:rPr>
            <w:webHidden/>
          </w:rPr>
          <w:fldChar w:fldCharType="end"/>
        </w:r>
      </w:hyperlink>
    </w:p>
    <w:p w14:paraId="64D2C07B" w14:textId="2A771C81" w:rsidR="00BC5CD5" w:rsidRDefault="00AC30C9">
      <w:pPr>
        <w:pStyle w:val="TOC2"/>
        <w:rPr>
          <w:lang w:val="en-US"/>
        </w:rPr>
      </w:pPr>
      <w:hyperlink w:anchor="_Toc96338697" w:history="1">
        <w:r w:rsidR="00BC5CD5" w:rsidRPr="00DE41AF">
          <w:rPr>
            <w:rStyle w:val="Hyperlink"/>
            <w:rFonts w:ascii="Times New Roman" w:hAnsi="Times New Roman" w:cs="Times New Roman"/>
          </w:rPr>
          <w:t>II.3</w:t>
        </w:r>
        <w:r w:rsidR="00BC5CD5">
          <w:rPr>
            <w:lang w:val="en-US"/>
          </w:rPr>
          <w:tab/>
        </w:r>
        <w:r w:rsidR="00BC5CD5" w:rsidRPr="00DE41AF">
          <w:rPr>
            <w:rStyle w:val="Hyperlink"/>
            <w:rFonts w:ascii="Times New Roman" w:hAnsi="Times New Roman"/>
          </w:rPr>
          <w:t>Z 03.00 – Omavahendite nõuded (OWN)</w:t>
        </w:r>
        <w:r w:rsidR="00BC5CD5">
          <w:rPr>
            <w:webHidden/>
          </w:rPr>
          <w:tab/>
        </w:r>
        <w:r w:rsidR="00BC5CD5">
          <w:rPr>
            <w:webHidden/>
          </w:rPr>
          <w:fldChar w:fldCharType="begin"/>
        </w:r>
        <w:r w:rsidR="00BC5CD5">
          <w:rPr>
            <w:webHidden/>
          </w:rPr>
          <w:instrText xml:space="preserve"> PAGEREF _Toc96338697 \h </w:instrText>
        </w:r>
        <w:r w:rsidR="00BC5CD5">
          <w:rPr>
            <w:webHidden/>
          </w:rPr>
        </w:r>
        <w:r w:rsidR="00BC5CD5">
          <w:rPr>
            <w:webHidden/>
          </w:rPr>
          <w:fldChar w:fldCharType="separate"/>
        </w:r>
        <w:r w:rsidR="00BC5CD5">
          <w:rPr>
            <w:webHidden/>
          </w:rPr>
          <w:t>14</w:t>
        </w:r>
        <w:r w:rsidR="00BC5CD5">
          <w:rPr>
            <w:webHidden/>
          </w:rPr>
          <w:fldChar w:fldCharType="end"/>
        </w:r>
      </w:hyperlink>
    </w:p>
    <w:p w14:paraId="042F2D64" w14:textId="28E7855C" w:rsidR="00BC5CD5" w:rsidRDefault="00AC30C9">
      <w:pPr>
        <w:pStyle w:val="TOC2"/>
        <w:rPr>
          <w:lang w:val="en-US"/>
        </w:rPr>
      </w:pPr>
      <w:hyperlink w:anchor="_Toc96338698" w:history="1">
        <w:r w:rsidR="00BC5CD5" w:rsidRPr="00DE41AF">
          <w:rPr>
            <w:rStyle w:val="Hyperlink"/>
            <w:rFonts w:ascii="Times New Roman" w:hAnsi="Times New Roman" w:cs="Times New Roman"/>
          </w:rPr>
          <w:t>II.4</w:t>
        </w:r>
        <w:r w:rsidR="00BC5CD5">
          <w:rPr>
            <w:lang w:val="en-US"/>
          </w:rPr>
          <w:tab/>
        </w:r>
        <w:r w:rsidR="00BC5CD5" w:rsidRPr="00DE41AF">
          <w:rPr>
            <w:rStyle w:val="Hyperlink"/>
            <w:rFonts w:ascii="Times New Roman" w:hAnsi="Times New Roman"/>
          </w:rPr>
          <w:t>Z 04.00 – Grupisisesed vastastikused finantsseosed (IFC)</w:t>
        </w:r>
        <w:r w:rsidR="00BC5CD5">
          <w:rPr>
            <w:webHidden/>
          </w:rPr>
          <w:tab/>
        </w:r>
        <w:r w:rsidR="00BC5CD5">
          <w:rPr>
            <w:webHidden/>
          </w:rPr>
          <w:fldChar w:fldCharType="begin"/>
        </w:r>
        <w:r w:rsidR="00BC5CD5">
          <w:rPr>
            <w:webHidden/>
          </w:rPr>
          <w:instrText xml:space="preserve"> PAGEREF _Toc96338698 \h </w:instrText>
        </w:r>
        <w:r w:rsidR="00BC5CD5">
          <w:rPr>
            <w:webHidden/>
          </w:rPr>
        </w:r>
        <w:r w:rsidR="00BC5CD5">
          <w:rPr>
            <w:webHidden/>
          </w:rPr>
          <w:fldChar w:fldCharType="separate"/>
        </w:r>
        <w:r w:rsidR="00BC5CD5">
          <w:rPr>
            <w:webHidden/>
          </w:rPr>
          <w:t>18</w:t>
        </w:r>
        <w:r w:rsidR="00BC5CD5">
          <w:rPr>
            <w:webHidden/>
          </w:rPr>
          <w:fldChar w:fldCharType="end"/>
        </w:r>
      </w:hyperlink>
    </w:p>
    <w:p w14:paraId="20ED0EBA" w14:textId="15D41B96" w:rsidR="00BC5CD5" w:rsidRDefault="00AC30C9">
      <w:pPr>
        <w:pStyle w:val="TOC2"/>
        <w:rPr>
          <w:lang w:val="en-US"/>
        </w:rPr>
      </w:pPr>
      <w:hyperlink w:anchor="_Toc96338699" w:history="1">
        <w:r w:rsidR="00BC5CD5" w:rsidRPr="00DE41AF">
          <w:rPr>
            <w:rStyle w:val="Hyperlink"/>
            <w:rFonts w:ascii="Times New Roman" w:hAnsi="Times New Roman" w:cs="Times New Roman"/>
          </w:rPr>
          <w:t>II.5</w:t>
        </w:r>
        <w:r w:rsidR="00BC5CD5">
          <w:rPr>
            <w:lang w:val="en-US"/>
          </w:rPr>
          <w:tab/>
        </w:r>
        <w:r w:rsidR="00BC5CD5" w:rsidRPr="00DE41AF">
          <w:rPr>
            <w:rStyle w:val="Hyperlink"/>
            <w:rFonts w:ascii="Times New Roman" w:hAnsi="Times New Roman"/>
          </w:rPr>
          <w:t>Z 05.01 ja Z 05.02 – Suuremad vastaspooled (MCP)</w:t>
        </w:r>
        <w:r w:rsidR="00BC5CD5">
          <w:rPr>
            <w:webHidden/>
          </w:rPr>
          <w:tab/>
        </w:r>
        <w:r w:rsidR="00BC5CD5">
          <w:rPr>
            <w:webHidden/>
          </w:rPr>
          <w:fldChar w:fldCharType="begin"/>
        </w:r>
        <w:r w:rsidR="00BC5CD5">
          <w:rPr>
            <w:webHidden/>
          </w:rPr>
          <w:instrText xml:space="preserve"> PAGEREF _Toc96338699 \h </w:instrText>
        </w:r>
        <w:r w:rsidR="00BC5CD5">
          <w:rPr>
            <w:webHidden/>
          </w:rPr>
        </w:r>
        <w:r w:rsidR="00BC5CD5">
          <w:rPr>
            <w:webHidden/>
          </w:rPr>
          <w:fldChar w:fldCharType="separate"/>
        </w:r>
        <w:r w:rsidR="00BC5CD5">
          <w:rPr>
            <w:webHidden/>
          </w:rPr>
          <w:t>20</w:t>
        </w:r>
        <w:r w:rsidR="00BC5CD5">
          <w:rPr>
            <w:webHidden/>
          </w:rPr>
          <w:fldChar w:fldCharType="end"/>
        </w:r>
      </w:hyperlink>
    </w:p>
    <w:p w14:paraId="415AAE4B" w14:textId="357C8D36" w:rsidR="00BC5CD5" w:rsidRDefault="00AC30C9">
      <w:pPr>
        <w:pStyle w:val="TOC2"/>
        <w:rPr>
          <w:lang w:val="en-US"/>
        </w:rPr>
      </w:pPr>
      <w:hyperlink w:anchor="_Toc96338700" w:history="1">
        <w:r w:rsidR="00BC5CD5" w:rsidRPr="00DE41AF">
          <w:rPr>
            <w:rStyle w:val="Hyperlink"/>
            <w:rFonts w:ascii="Times New Roman" w:hAnsi="Times New Roman" w:cs="Times New Roman"/>
          </w:rPr>
          <w:t>II.6</w:t>
        </w:r>
        <w:r w:rsidR="00BC5CD5">
          <w:rPr>
            <w:lang w:val="en-US"/>
          </w:rPr>
          <w:tab/>
        </w:r>
        <w:r w:rsidR="00BC5CD5" w:rsidRPr="00DE41AF">
          <w:rPr>
            <w:rStyle w:val="Hyperlink"/>
            <w:rFonts w:ascii="Times New Roman" w:hAnsi="Times New Roman"/>
          </w:rPr>
          <w:t>Z 06.00 – Hoiuste tagamine (DIS)</w:t>
        </w:r>
        <w:r w:rsidR="00BC5CD5">
          <w:rPr>
            <w:webHidden/>
          </w:rPr>
          <w:tab/>
        </w:r>
        <w:r w:rsidR="00BC5CD5">
          <w:rPr>
            <w:webHidden/>
          </w:rPr>
          <w:fldChar w:fldCharType="begin"/>
        </w:r>
        <w:r w:rsidR="00BC5CD5">
          <w:rPr>
            <w:webHidden/>
          </w:rPr>
          <w:instrText xml:space="preserve"> PAGEREF _Toc96338700 \h </w:instrText>
        </w:r>
        <w:r w:rsidR="00BC5CD5">
          <w:rPr>
            <w:webHidden/>
          </w:rPr>
        </w:r>
        <w:r w:rsidR="00BC5CD5">
          <w:rPr>
            <w:webHidden/>
          </w:rPr>
          <w:fldChar w:fldCharType="separate"/>
        </w:r>
        <w:r w:rsidR="00BC5CD5">
          <w:rPr>
            <w:webHidden/>
          </w:rPr>
          <w:t>22</w:t>
        </w:r>
        <w:r w:rsidR="00BC5CD5">
          <w:rPr>
            <w:webHidden/>
          </w:rPr>
          <w:fldChar w:fldCharType="end"/>
        </w:r>
      </w:hyperlink>
    </w:p>
    <w:p w14:paraId="4EDD39FA" w14:textId="741FCDF9" w:rsidR="00BC5CD5" w:rsidRDefault="00AC30C9">
      <w:pPr>
        <w:pStyle w:val="TOC2"/>
        <w:rPr>
          <w:lang w:val="en-US"/>
        </w:rPr>
      </w:pPr>
      <w:hyperlink w:anchor="_Toc96338701" w:history="1">
        <w:r w:rsidR="00BC5CD5" w:rsidRPr="00DE41AF">
          <w:rPr>
            <w:rStyle w:val="Hyperlink"/>
            <w:rFonts w:ascii="Times New Roman" w:hAnsi="Times New Roman" w:cs="Times New Roman"/>
          </w:rPr>
          <w:t>II.7</w:t>
        </w:r>
        <w:r w:rsidR="00BC5CD5">
          <w:rPr>
            <w:lang w:val="en-US"/>
          </w:rPr>
          <w:tab/>
        </w:r>
        <w:r w:rsidR="00BC5CD5" w:rsidRPr="00DE41AF">
          <w:rPr>
            <w:rStyle w:val="Hyperlink"/>
            <w:rFonts w:ascii="Times New Roman" w:hAnsi="Times New Roman"/>
          </w:rPr>
          <w:t>Kriitilised funktsioonid ja põhiäriliinid</w:t>
        </w:r>
        <w:r w:rsidR="00BC5CD5">
          <w:rPr>
            <w:webHidden/>
          </w:rPr>
          <w:tab/>
        </w:r>
        <w:r w:rsidR="00BC5CD5">
          <w:rPr>
            <w:webHidden/>
          </w:rPr>
          <w:fldChar w:fldCharType="begin"/>
        </w:r>
        <w:r w:rsidR="00BC5CD5">
          <w:rPr>
            <w:webHidden/>
          </w:rPr>
          <w:instrText xml:space="preserve"> PAGEREF _Toc96338701 \h </w:instrText>
        </w:r>
        <w:r w:rsidR="00BC5CD5">
          <w:rPr>
            <w:webHidden/>
          </w:rPr>
        </w:r>
        <w:r w:rsidR="00BC5CD5">
          <w:rPr>
            <w:webHidden/>
          </w:rPr>
          <w:fldChar w:fldCharType="separate"/>
        </w:r>
        <w:r w:rsidR="00BC5CD5">
          <w:rPr>
            <w:webHidden/>
          </w:rPr>
          <w:t>25</w:t>
        </w:r>
        <w:r w:rsidR="00BC5CD5">
          <w:rPr>
            <w:webHidden/>
          </w:rPr>
          <w:fldChar w:fldCharType="end"/>
        </w:r>
      </w:hyperlink>
    </w:p>
    <w:p w14:paraId="180617A5" w14:textId="0C55C682" w:rsidR="00BC5CD5" w:rsidRDefault="00AC30C9">
      <w:pPr>
        <w:pStyle w:val="TOC2"/>
        <w:rPr>
          <w:lang w:val="en-US"/>
        </w:rPr>
      </w:pPr>
      <w:hyperlink w:anchor="_Toc96338702" w:history="1">
        <w:r w:rsidR="00BC5CD5" w:rsidRPr="00DE41AF">
          <w:rPr>
            <w:rStyle w:val="Hyperlink"/>
            <w:rFonts w:ascii="Times New Roman" w:hAnsi="Times New Roman" w:cs="Times New Roman"/>
          </w:rPr>
          <w:t>II.8</w:t>
        </w:r>
        <w:r w:rsidR="00BC5CD5">
          <w:rPr>
            <w:lang w:val="en-US"/>
          </w:rPr>
          <w:tab/>
        </w:r>
        <w:r w:rsidR="00BC5CD5" w:rsidRPr="00DE41AF">
          <w:rPr>
            <w:rStyle w:val="Hyperlink"/>
            <w:rFonts w:ascii="Times New Roman" w:hAnsi="Times New Roman"/>
          </w:rPr>
          <w:t>Z 08.00 – Kriitilised teenused (SERV)</w:t>
        </w:r>
        <w:r w:rsidR="00BC5CD5">
          <w:rPr>
            <w:webHidden/>
          </w:rPr>
          <w:tab/>
        </w:r>
        <w:r w:rsidR="00BC5CD5">
          <w:rPr>
            <w:webHidden/>
          </w:rPr>
          <w:fldChar w:fldCharType="begin"/>
        </w:r>
        <w:r w:rsidR="00BC5CD5">
          <w:rPr>
            <w:webHidden/>
          </w:rPr>
          <w:instrText xml:space="preserve"> PAGEREF _Toc96338702 \h </w:instrText>
        </w:r>
        <w:r w:rsidR="00BC5CD5">
          <w:rPr>
            <w:webHidden/>
          </w:rPr>
        </w:r>
        <w:r w:rsidR="00BC5CD5">
          <w:rPr>
            <w:webHidden/>
          </w:rPr>
          <w:fldChar w:fldCharType="separate"/>
        </w:r>
        <w:r w:rsidR="00BC5CD5">
          <w:rPr>
            <w:webHidden/>
          </w:rPr>
          <w:t>34</w:t>
        </w:r>
        <w:r w:rsidR="00BC5CD5">
          <w:rPr>
            <w:webHidden/>
          </w:rPr>
          <w:fldChar w:fldCharType="end"/>
        </w:r>
      </w:hyperlink>
    </w:p>
    <w:p w14:paraId="3CC5D707" w14:textId="2E2926B6" w:rsidR="00BC5CD5" w:rsidRDefault="00AC30C9">
      <w:pPr>
        <w:pStyle w:val="TOC2"/>
        <w:rPr>
          <w:lang w:val="en-US"/>
        </w:rPr>
      </w:pPr>
      <w:hyperlink w:anchor="_Toc96338703" w:history="1">
        <w:r w:rsidR="00BC5CD5" w:rsidRPr="00DE41AF">
          <w:rPr>
            <w:rStyle w:val="Hyperlink"/>
            <w:rFonts w:ascii="Times New Roman" w:hAnsi="Times New Roman" w:cs="Times New Roman"/>
          </w:rPr>
          <w:t>II.9</w:t>
        </w:r>
        <w:r w:rsidR="00BC5CD5">
          <w:rPr>
            <w:lang w:val="en-US"/>
          </w:rPr>
          <w:tab/>
        </w:r>
        <w:r w:rsidR="00BC5CD5" w:rsidRPr="00DE41AF">
          <w:rPr>
            <w:rStyle w:val="Hyperlink"/>
            <w:rFonts w:ascii="Times New Roman" w:hAnsi="Times New Roman"/>
          </w:rPr>
          <w:t>Z 09.00 – Finantsturutaristute teenused – pakkujad ja kasutajad – kaardistus kriitiliste funktsioonide järgi</w:t>
        </w:r>
        <w:r w:rsidR="00BC5CD5">
          <w:rPr>
            <w:webHidden/>
          </w:rPr>
          <w:tab/>
        </w:r>
        <w:r w:rsidR="00BC5CD5">
          <w:rPr>
            <w:webHidden/>
          </w:rPr>
          <w:fldChar w:fldCharType="begin"/>
        </w:r>
        <w:r w:rsidR="00BC5CD5">
          <w:rPr>
            <w:webHidden/>
          </w:rPr>
          <w:instrText xml:space="preserve"> PAGEREF _Toc96338703 \h </w:instrText>
        </w:r>
        <w:r w:rsidR="00BC5CD5">
          <w:rPr>
            <w:webHidden/>
          </w:rPr>
        </w:r>
        <w:r w:rsidR="00BC5CD5">
          <w:rPr>
            <w:webHidden/>
          </w:rPr>
          <w:fldChar w:fldCharType="separate"/>
        </w:r>
        <w:r w:rsidR="00BC5CD5">
          <w:rPr>
            <w:webHidden/>
          </w:rPr>
          <w:t>38</w:t>
        </w:r>
        <w:r w:rsidR="00BC5CD5">
          <w:rPr>
            <w:webHidden/>
          </w:rPr>
          <w:fldChar w:fldCharType="end"/>
        </w:r>
      </w:hyperlink>
    </w:p>
    <w:p w14:paraId="0CD70954" w14:textId="163D839C" w:rsidR="00BC5CD5" w:rsidRDefault="00AC30C9">
      <w:pPr>
        <w:pStyle w:val="TOC2"/>
        <w:rPr>
          <w:lang w:val="en-US"/>
        </w:rPr>
      </w:pPr>
      <w:hyperlink w:anchor="_Toc96338704" w:history="1">
        <w:r w:rsidR="00BC5CD5" w:rsidRPr="00DE41AF">
          <w:rPr>
            <w:rStyle w:val="Hyperlink"/>
            <w:rFonts w:ascii="Times New Roman" w:hAnsi="Times New Roman" w:cs="Times New Roman"/>
          </w:rPr>
          <w:t>II.10</w:t>
        </w:r>
        <w:r w:rsidR="00BC5CD5">
          <w:rPr>
            <w:lang w:val="en-US"/>
          </w:rPr>
          <w:tab/>
        </w:r>
        <w:r w:rsidR="00BC5CD5" w:rsidRPr="00DE41AF">
          <w:rPr>
            <w:rStyle w:val="Hyperlink"/>
            <w:rFonts w:ascii="Times New Roman" w:hAnsi="Times New Roman"/>
          </w:rPr>
          <w:t>Kriitilised infosüsteemid</w:t>
        </w:r>
        <w:r w:rsidR="00BC5CD5">
          <w:rPr>
            <w:webHidden/>
          </w:rPr>
          <w:tab/>
        </w:r>
        <w:r w:rsidR="00BC5CD5">
          <w:rPr>
            <w:webHidden/>
          </w:rPr>
          <w:fldChar w:fldCharType="begin"/>
        </w:r>
        <w:r w:rsidR="00BC5CD5">
          <w:rPr>
            <w:webHidden/>
          </w:rPr>
          <w:instrText xml:space="preserve"> PAGEREF _Toc96338704 \h </w:instrText>
        </w:r>
        <w:r w:rsidR="00BC5CD5">
          <w:rPr>
            <w:webHidden/>
          </w:rPr>
        </w:r>
        <w:r w:rsidR="00BC5CD5">
          <w:rPr>
            <w:webHidden/>
          </w:rPr>
          <w:fldChar w:fldCharType="separate"/>
        </w:r>
        <w:r w:rsidR="00BC5CD5">
          <w:rPr>
            <w:webHidden/>
          </w:rPr>
          <w:t>40</w:t>
        </w:r>
        <w:r w:rsidR="00BC5CD5">
          <w:rPr>
            <w:webHidden/>
          </w:rPr>
          <w:fldChar w:fldCharType="end"/>
        </w:r>
      </w:hyperlink>
    </w:p>
    <w:p w14:paraId="04631A3A" w14:textId="7572F03D"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38688"/>
      <w:r>
        <w:rPr>
          <w:rFonts w:ascii="Times New Roman" w:hAnsi="Times New Roman"/>
          <w:szCs w:val="20"/>
        </w:rPr>
        <w:lastRenderedPageBreak/>
        <w:t>Üldised juhised</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38689"/>
      <w:r>
        <w:rPr>
          <w:rFonts w:ascii="Times New Roman" w:hAnsi="Times New Roman"/>
          <w:szCs w:val="20"/>
        </w:rPr>
        <w:t>Ülesehitus</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Raamistik koosneb 15 vormist, mis on esitatud kolmes plokis.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„Üldised andmed“, milles antakse ülevaade grupi ja tema ettevõtjate organisatsioonilisest struktuurist, varade jaotumisest ja riskipositsiooni summadest. See plokk koosneb vormist „Z 01.00 – Organisatsiooniline struktuur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„Andmed bilansiliste ja bilansiväliste kirjete kohta“, milles antakse finantsandmeid kohustuste, omavahendite, grupi ettevõtjate vaheliste finantsseoste, suuremate vastaspoolte ees olevate kohustuste ja suuremate vastaspooltega seotud bilansiväliste kirjete ning hoiuste tagamise kohta. See plokk koosneb kuuest vormist:</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Kohustuste struktuur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Omavahendite nõuded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Grupisisesed vastastikused finantsseosed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kaks vormi suuremate vastaspoolte kohta: „Z 05.01 – Suuremad kohustuste vastaspooled (Z-MCP 1)“ ja „Z 05.02 – Suuremad bilansivälised vastaspooled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Hoiuste tagamine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„Kriitilised funktsioonid“, milles antakse ülevaade kriitilistest funktsioonidest ning kaardistatakse need juriidiliste isikute, põhiäriliinide, kriitiliste teenuste, finantsturutaristute ja infosüsteemide järgi. See plokk koosneb seitsmest vormist:</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neli vormi kriitiliste funktsioonide kindlakstegemise ning nende põhiäriliinide ja grupi ettevõtjate järgi kaardistamise kohta: „Z 07.01 – Majanduslike funktsioonide kriitilisuse hinnang (Z-FUNC 1)“, „Z 07.02 – Kriitiliste funktsioonide kaardistus juriidiliste isikute järgi (Z-FUNC 2)“, „Z 07.03 – Põhiäriliinide kaardistus juriidiliste isikute järgi (Z-FUNC 3)“ ja „Z 07.04 – Kriitiliste funktsioonide kaardistus põhiäriliinide järgi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Kriitilised teenused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Finantsturutaristute teenused – pakkujad ja kasutajad – kaardistus kriitiliste funktsioonide järgi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kaks vormi kriitiliste infosüsteemide kohta: „Z 10.01 – Kriitilised infosüsteemid (üldine teave) (Z-CIS 1)“ ja „Z 10.02 – Infosüsteemide kaardistamine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38690"/>
      <w:r>
        <w:rPr>
          <w:rFonts w:ascii="Times New Roman" w:hAnsi="Times New Roman"/>
          <w:szCs w:val="20"/>
        </w:rPr>
        <w:t>Viited</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Käesolevas lisas kasutatakse järgmisi lühendeid:</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 Rahvusvaheliste Arvelduste Panga Baseli pangajärelevalve komitee;</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 Rahvusvaheliste Arvelduste Panga makse- ja arveldussüsteemide komitee;</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sz w:val="20"/>
          <w:szCs w:val="20"/>
        </w:rPr>
        <w:t>FINREP – komisjoni rakendusmääruse (EL) 2021/451</w:t>
      </w:r>
      <w:r>
        <w:rPr>
          <w:rStyle w:val="FootnoteReference"/>
          <w:rFonts w:ascii="Times New Roman" w:hAnsi="Times New Roman"/>
          <w:sz w:val="20"/>
          <w:szCs w:val="20"/>
        </w:rPr>
        <w:footnoteReference w:id="1"/>
      </w:r>
      <w:r>
        <w:rPr>
          <w:rFonts w:ascii="Times New Roman" w:hAnsi="Times New Roman"/>
          <w:sz w:val="20"/>
          <w:szCs w:val="20"/>
        </w:rPr>
        <w:t xml:space="preserve"> III ja IV lisas esitatud finantsandmete vormid ning kõnealuse rakendusmääruse V lisas esitatud lisajuhised;</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COREP (OF) – komisjoni rakendusmääruse (EL) 2021/451 I lisa (vormid) ja II lisa (juhised);</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 komisjoni rakendusmääruse (EL) 2021/451 X lisa (vormid) ja XI lisa (juhised);</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 finantsstabiilsuse nõukogu;</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 rahvusvahelised raamatupidamisstandardid, nagu on osutatud Euroopa Parlamendi ja nõukogu määruse (EÜ) nr 1606/2002</w:t>
      </w:r>
      <w:r>
        <w:rPr>
          <w:vertAlign w:val="superscript"/>
        </w:rPr>
        <w:footnoteReference w:id="2"/>
      </w:r>
      <w:r>
        <w:rPr>
          <w:rFonts w:ascii="Times New Roman" w:hAnsi="Times New Roman"/>
          <w:color w:val="000000" w:themeColor="text1"/>
          <w:sz w:val="20"/>
          <w:szCs w:val="20"/>
        </w:rPr>
        <w:t xml:space="preserve"> artiklis 2;</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 rahvusvahelised finantsaruandlusstandardid, nagu on osutatud määruse (EÜ) nr 1606/2002 artiklis 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LEI-kood – juriidilise isiku tunnuskood</w:t>
      </w:r>
      <w:r>
        <w:rPr>
          <w:rStyle w:val="FootnoteReference"/>
          <w:color w:val="000000" w:themeColor="text1"/>
          <w:lang w:eastAsia="en-GB"/>
        </w:rPr>
        <w:footnoteReference w:id="3"/>
      </w:r>
      <w:r>
        <w:rPr>
          <w:rFonts w:ascii="Times New Roman" w:hAnsi="Times New Roman"/>
          <w:color w:val="000000" w:themeColor="text1"/>
          <w:sz w:val="20"/>
          <w:szCs w:val="20"/>
        </w:rPr>
        <w:t>. Kui asjaomase vastaspoole puhul on juriidilise isiku ülemaailmne tunnus (LEI) olemas, kasutatakse kõnealuse vastaspoole identifitseerimiseks seda;</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 riiklikud üldtunnustatud raamatupidamispõhimõtted, mis on välja töötatud nõukogu direktiivi 86/635/EMÜ</w:t>
      </w:r>
      <w:r>
        <w:rPr>
          <w:rStyle w:val="FootnoteReference"/>
          <w:color w:val="000000" w:themeColor="text1"/>
          <w:lang w:eastAsia="en-GB"/>
        </w:rPr>
        <w:footnoteReference w:id="4"/>
      </w:r>
      <w:r>
        <w:rPr>
          <w:rFonts w:ascii="Times New Roman" w:hAnsi="Times New Roman"/>
          <w:color w:val="000000" w:themeColor="text1"/>
          <w:sz w:val="20"/>
          <w:szCs w:val="20"/>
        </w:rPr>
        <w:t xml:space="preserve"> alusel.</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38691"/>
      <w:r>
        <w:rPr>
          <w:rFonts w:ascii="Times New Roman" w:hAnsi="Times New Roman"/>
          <w:szCs w:val="20"/>
        </w:rPr>
        <w:t>Raamatupidamisstandardid</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Kui käesolevas lisas ei ole teisiti märgitud, annavad asutused aru kõikidest summadest, tuginedes raamatupidamisraamistikule, mida nad kasutavad finantsteabe edastamiseks kooskõlas rakendusmääruse (EL) 2021/451 artiklitega 9–11. Asutused, mis ei pea andma finantsandmetest aru kooskõlas kõnealuse määrusega, kohaldavad oma vastava raamatupidamisraamistiku eeskirju.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Asutuste puhul, mis annavad aru IFRSi alusel, on lisatud viited asjaomasele IFRSile.</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38692"/>
      <w:r>
        <w:rPr>
          <w:rFonts w:ascii="Times New Roman" w:hAnsi="Times New Roman"/>
          <w:szCs w:val="20"/>
        </w:rPr>
        <w:t>Konsolideerimise ulatus</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Käesolevas raamistikus viidatakse olenevalt vormist:</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konsolideerimisele raamatupidamise konsolideerimise alusel (ettevõtjad, mis on hõlmatud konsolideeritud finantsaruannetega kooskõlas kohaldatava raamatupidamisraamistikuga);</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usaldatavusnõuetekohasele konsolideerimisele (ettevõtjad, mis kuuluvad konsolideerimise alla kooskõlas Euroopa Parlamendi ja nõukogu määruse (EL) nr 575/2013</w:t>
      </w:r>
      <w:r>
        <w:rPr>
          <w:rStyle w:val="FootnoteReference"/>
          <w:rFonts w:ascii="Times New Roman" w:hAnsi="Times New Roman"/>
          <w:sz w:val="20"/>
          <w:szCs w:val="20"/>
        </w:rPr>
        <w:footnoteReference w:id="5"/>
      </w:r>
      <w:r>
        <w:rPr>
          <w:rFonts w:ascii="Times New Roman" w:hAnsi="Times New Roman"/>
          <w:sz w:val="20"/>
          <w:szCs w:val="20"/>
        </w:rPr>
        <w:t xml:space="preserve"> esimese osa II jaotise 2. peatükiga) liidu emaettevõtja tasandil;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konsolideerimisele kriisilahendusaluse ettevõtja tasandil kriisilahendusaluse grupi puhul.</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Iga vormi puhul järgivad asutused konsolideerimise alust või aluseid, mida kohaldatakse kooskõlas selle määruse artikliga 4.</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38693"/>
      <w:r>
        <w:rPr>
          <w:rFonts w:ascii="Times New Roman" w:hAnsi="Times New Roman"/>
          <w:szCs w:val="20"/>
        </w:rPr>
        <w:t>Nummerdamine ja muud tavad</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Käesoleva lisa juhistes järgitakse vormide veergudele, ridadele ja lahtritele viitamisel allpool sätestatud märgistustavasid, mille puhul kasutatakse numbrilisi koode. Need numbrilised koodid on valideerimise eeskirjades laialdaselt kasutusel.</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Kasutatakse järgmist üldist esitusviisi:</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{vorm;rida;veerg}, et viidata vormi veergudele, ridadele ja lahtritele;</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{rida;veerg} kui ühe vormi sees tehtavate valideerimiste korral kasutatakse ainult selles vormis sisalduvaid andmepunkte, siis vormile ei viidata;</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lastRenderedPageBreak/>
        <w:t>{vorm;rida} ainult ühte veergu sisaldavate vormide puhul viidatakse ainult ridadele.</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Tärni kasutatakse selle tähistamiseks, et eelnevalt kindlaks määratud rida või veerg kuulub valideerimisele.</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Kui andmekirje ei ole nende ettevõtjate puhul, kelle kohta aruanne esitatakse, asjakohane, jäetakse vastav väli tühjaks.</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Kui käesoleva lisa juhistes viidatakse primaarvõtmele, tähendab see veergu või veergude kombinatsiooni, millega identifitseeritakse üheselt kõik vorm read. Primaarvõti sisaldab vormi iga rea kohta kordumatut väärtust. See ei tohi sisaldada väärtust null.</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38694"/>
      <w:r>
        <w:rPr>
          <w:rFonts w:ascii="Times New Roman" w:hAnsi="Times New Roman"/>
          <w:szCs w:val="20"/>
        </w:rPr>
        <w:t>Vormidega seotud juhised</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38695"/>
      <w:bookmarkEnd w:id="10"/>
      <w:r>
        <w:rPr>
          <w:rFonts w:ascii="Times New Roman" w:hAnsi="Times New Roman"/>
          <w:szCs w:val="20"/>
        </w:rPr>
        <w:t>Z 01.00 – Organisatsiooniline struktuur (ORG)</w:t>
      </w:r>
      <w:bookmarkEnd w:id="11"/>
    </w:p>
    <w:p w14:paraId="677C5E01" w14:textId="77777777" w:rsidR="00E13CE3" w:rsidRPr="00D92B3C" w:rsidRDefault="00E13CE3" w:rsidP="00EC261B">
      <w:pPr>
        <w:pStyle w:val="Instructionsberschrift3"/>
      </w:pPr>
      <w:r>
        <w:t>Üldised märkused</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Selles vormis antakse ülevaade grupi õiguslikust ja omanike struktuurist. Esitatakse üks vorm seoses kõikide grupi ettevõtjatega, kes vastavad käesoleva määruse artikli 4 lõike 2 punktis a sätestatud miinimumkünnisele. Selles vormis identifitseeritakse üksnes juriidilised isikud. </w:t>
      </w:r>
    </w:p>
    <w:p w14:paraId="14ECDB9F" w14:textId="77777777" w:rsidR="00E13CE3" w:rsidRPr="00D92B3C" w:rsidRDefault="00AF189E" w:rsidP="00EC261B">
      <w:pPr>
        <w:pStyle w:val="Instructionsberschrift3"/>
      </w:pPr>
      <w:r>
        <w:t>Juhised konkreetsete kirjete kohta</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50"/>
        <w:gridCol w:w="8276"/>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Veerud</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Juhised</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Ettevõtja</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Nimi</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Ettevõtja nimi. Ametlik nimi, mis on esitatud ettevõtja dokumentides, sealhulgas õiguslik vorm.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Kood</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Ettevõtja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Kood peab olema kordumatu ja seda tuleb kasutada järjepidevalt kõikides vormides. Koodil peab alati olema väärtus.</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Ettevõtja 20kohaline tähtnumbriline LEI-kood, kui see on olemas.</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Ettevõtja liik</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Ettevõtja liik on prioriteetsuse järjekorras üks järgmistest.</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Krediidiasutus</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See kategooria hõlmab määruse (EL) nr 575/2013 artikli 4 lõike 1 punktis 1 määratletud krediidiasutusi, välja arvatud Euroopa Parlamendi ja nõukogu direktiivi 2013/36/EL</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artikli 2 lõikes 5 osutatud ettevõtjad.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Investeerimisühing, mille suhtes kohaldatakse direktiivi 2013/36/EL artikli 28 lõikes 2 sätestatud </w:t>
            </w:r>
            <w:r>
              <w:rPr>
                <w:rFonts w:ascii="Times New Roman" w:hAnsi="Times New Roman"/>
                <w:color w:val="000000" w:themeColor="text1"/>
                <w:sz w:val="20"/>
                <w:szCs w:val="20"/>
              </w:rPr>
              <w:lastRenderedPageBreak/>
              <w:t>algkapitali nõuet</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See kategooria hõlmab määruse (EL) nr 575/2013 artikli 4 lõike 1 punktis 2 määratletud investeerimisühinguid, mille suhtes kohaldatakse direktiivi 2013/36/EL artikli 28 lõikes 2 sätestatud algkapitali nõuet.</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Investeerimisühing, mille suhtes ei kohaldata direktiivi 2013/36/EL artikli 28 lõikes 2 sätestatud algkapitali nõuet</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Finantseerimisasutus</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See kategooria hõlmab määruse (EL) nr 575/2013 artikli 4 lõike 1 punktis 26 määratletud finantseerimisasutusi, välja arvatud need, mis on liigitatud punktis e kirjeldatud valdusettevõtjateks.</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Valdusettevõtja</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See kategooria hõlmab järgmisi ettevõtjaid:</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finantsvaldusettevõtja määruse (EL) nr 575/2013 artikli 4 lõike 1 punkti 20 tähenduses;</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segafinantsvaldusettevõtja määruse (EL) nr 575/2013 artikli 4 lõike 1 punkti 21 tähenduses;</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segavaldusettevõtja määruse (EL) nr 575/2013 artikli 4 lõike 1 punkti 22 tähenduses;</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liikmesriigis emaettevõtjana tegutsev finantsvaldusettevõtja määruse (EL) nr 575/2013 artikli 4 lõike 1 punkti 30 tähenduses;</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ELis emaettevõtjana tegutsev finantsvaldusettevõtja määruse (EL) nr 575/2013 artikli 4 lõike 1 punkti 31 tähenduses;</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liikmesriigis emaettevõtjana tegutsev segafinantsvaldusettevõtja määruse (EL) nr 575/2013 artikli 4 lõike 1 punkti 32 tähenduses;</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ELis emaettevõtjana tegutsev segafinantsvaldusettevõtja määruse (EL) nr 575/2013 artikli 4 lõike 1 punkti 33 tähenduses.</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Kindlustusandja</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See kategooria hõlmab kindlustusandjaid </w:t>
            </w:r>
            <w:r>
              <w:rPr>
                <w:rFonts w:ascii="Times New Roman" w:hAnsi="Times New Roman"/>
                <w:color w:val="19161B"/>
                <w:sz w:val="20"/>
                <w:szCs w:val="20"/>
              </w:rPr>
              <w:t>Euroopa Parlamendi ja nõukogu direktiivi 2009/138/EÜ</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 xml:space="preserve"> artikli 13 kohase määratluse järgi.</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Muud liiki ettevõtja, kui ettevõtja ei kuulu ühtegi eespool nimetatud kategooriasse.</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Riik</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Ettevõtja asutamisriigi – liikmesriik või kolmas riik – kahetäheline kood standardi ISO 3166-1 järgi.</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Usaldatavusnäitajatega hõlmatud</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Kasutatakse järgmisi lühendeid:</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jah;</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ei.</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Kapitalinõuete määruse artikli 7 kohane erand</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Kasutatakse järgmisi lühendeid:</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kui pädev asutus on loobunud määruse (EL) nr 575/2013 artikli 6 lõike 1 kohaldamisest kooskõlas määruse (EL) nr 575/2013 artikliga 7;</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muud juhud.</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Kapitalinõuete määruse artikli 10 kohane erand</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Kasutatakse järgmisi lühendeid:</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Y – kui pädev asutus on kohaldanud erandit määruse (EL) nr 575/2013 artikli 10 alusel;</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muud juhud.</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Varad kokku</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Varad kokku, nagu on määratletud FINREPi puhul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Koguriskipositsioon</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Koguriskipositsioon, nagu on määratletud COREP (OF)-i puhul: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Kirjet ei kajastata ettevõtjate puhul, kes ei ole krediidiasutused või investeerimisühingud, ja ettevõtjate puhul, kelle suhtes kohaldatakse erandit määruse (EL) nr 575/2013 artikli 7 või 10 alusel.</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Finantsvõimenduse määra riskipositsioon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Finantsvõimenduse määra koguriskipositsioon, nagu on määratletud COREP (LR)-i puhul: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Kirjet ei kajastata ettevõtjate puhul, kes ei ole krediidiasutused või investeerimisühingud, ja ettevõtjate puhul, kelle suhtes kohaldatakse erandit määruse (EL) nr 575/2013 artikli 7 või 10 alusel.</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Raamatupidamisstandard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Ettevõtja kohaldatavad raamatupidamisstandardid. Kasutatakse järgmisi lühendeid:</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Osa konsolideeritud koguvaras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Summa, mis vastab ettevõtja osale selle grupi konsolideeritud varade kogusummas, mida aruandes käsitletakse.</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Osa konsolideeritud koguriskipositsioonis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Summa,  mis vastab ettevõtja osale selle grupi konsolideeritud koguriskipositsioonis, mida aruandes käsitletakse.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Osa konsolideeritud finantsvõimenduse määra riskipositsioonis</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Summa,  mis vastab ettevõtja osale selle grupi konsolideeritud finantsvõimenduse määra koguriskipositsioonis, mida aruandes käsitletakse.</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Asjaomane juriidiline isik</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Märgitakse, kas ettevõtja on asjaomane juriidiline isik käesoleva määruse artikli 2 kohase määratluse järgi.</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Otsene emaettevõtja</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Ettevõtja otsene emaettevõtja. Kajastatakse üksnes otsene emaettevõtja, kellel on ettevõtjas rohkem kui 5 % hääleõigustest.</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Kui ettevõtjal on rohkem kui üks otsene emaettevõtja, kajastatakse üksnes see otsene emaettevõtja, kelle osa kapitalis või asjakohasel juhul hääleõigustes on suurim.</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Nimi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Ettevõtja otsese emaettevõtja nimi.</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Kood</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Emaettevõtja kood. Krediidiasutuste ja investeerimisühingute korral on kood 20kohaline tähtnumbriline LEI-kood. Teiste ettevõtjate korral on kood 20kohaline tähtnumbriline LEI-kood või selle puudumisel liidus kohaldatava ühtse kodifitseerimise kohane kood või selle puudumisel riiklik </w:t>
            </w:r>
            <w:r>
              <w:rPr>
                <w:rFonts w:ascii="Times New Roman" w:hAnsi="Times New Roman"/>
                <w:color w:val="000000" w:themeColor="text1"/>
                <w:sz w:val="20"/>
                <w:szCs w:val="20"/>
              </w:rPr>
              <w:lastRenderedPageBreak/>
              <w:t>kood.</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Kood peab olema kordumatu ja seda tuleb kasutada järjepidevalt kõikides vormides. Koodil peab alati olema väärtus.</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LEI-kood</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Ettevõtja 20kohaline tähtnumbriline LEI-kood, kui see on olemas.</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Aktsia- või osakapital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Otsese emaettevõtja aktsia- või osakapital ettevõtjas, v.a reservid.</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Hääleõigused ettevõtjas</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Otsesele emaettevõtjale ettevõtjas kuuluvate hääleõiguste protsent.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Seda teavet nõutakse üksnes siis, kui üks aktsia või osa ei võrdu ühe häälega (seega hääleõigused ei võrdu aktsia- või osakapitaliga).</w:t>
            </w:r>
          </w:p>
        </w:tc>
      </w:tr>
    </w:tbl>
    <w:p w14:paraId="7D57015D" w14:textId="77777777" w:rsidR="00E13CE3" w:rsidRPr="00BC5CD5"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38696"/>
      <w:r>
        <w:rPr>
          <w:rFonts w:ascii="Times New Roman" w:hAnsi="Times New Roman"/>
          <w:szCs w:val="20"/>
        </w:rPr>
        <w:t>Z 02.00 – Kohustuste struktuur (LIAB)</w:t>
      </w:r>
      <w:bookmarkEnd w:id="12"/>
      <w:bookmarkEnd w:id="13"/>
    </w:p>
    <w:p w14:paraId="5599ADA4" w14:textId="77777777" w:rsidR="005B4526" w:rsidRPr="00D92B3C" w:rsidRDefault="005B4526" w:rsidP="00EC261B">
      <w:pPr>
        <w:pStyle w:val="Instructionsberschrift3"/>
      </w:pPr>
      <w:r>
        <w:t>Üldised märkused</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Selles vormis nõutakse üksikasjalikke andmeid ettevõtja või grupi kohustuste struktuuri kohta. Kohustused jaotatakse kohustuste ja nõudeõiguste teisendamisest välja jäävateks kohustusteks ning kohustusteks, mis ei jää kohustuste ja nõudeõiguste teisendamisest välja. Seejärel jaotatakse need kohustuste klasside, vastaspoolte klasside ja tähtaegade järgi.</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Kui selles vormis on nähtud ette tähtaegade järgi jaotamine, käsitletakse järelejäänud tähtajana aega kuni lepingulise tähtajani. Erandina sellest:</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kui kohustuste instrument sisaldab omaniku jaoks tagasivõtuvõimalust, mille saab täitmisele pöörata enne instrumendi esialgset tähtaega, määratakse instrumendi tähtajaks kõige varasem võimalik kuupäev, mil omanik saab kasutada tagasivõtuvõimalust ja taotleda instrumendi tagasivõtmist või tagasimaksmist;</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kui kohustuste instrument sisaldab emitendi jaoks ajendit instrument enne instrumendi esialgset tähtaega tagasi nõuda, tagasi võtta, tagasi maksta või tagasi osta, määratakse instrumendi tähtajaks kõige varasem võimalik kuupäev, millal emitent saab seda võimalust kasutada ning taotleda instrumendi tagasivõtmist või tagasimaksmist;</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kui instrument sisaldab emitendi jaoks tagasiostuõigust, mille kasutamise kuupäeva pole kindlaks määratud, või kui tagasiostuõigus tekib seoses kindlate sündmustega, esitatakse konservatiivselt hinnatud tõenäoline tagasiostuõiguse kuupäev; selleks ei võeta arvesse regulatiivseid ega maksualaseid tagasiostuõigusi.</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Põhisumma vahemaksete puhul jagatakse põhisumma vastavatesse tähtajavahemikesse. Kui see on asjakohane, käsitletakse tähtaega põhisumma ja kogunenud intressi puhul eraldi.</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Selles vormis kajastatud summad on tasumata summad. Nõude või instrumendi tasumata summa on nõude või instrumendi põhisumma ja kogunenud intressi summa kokku. Tasumisele kuuluv tasumata summa võrdub selle nõude väärtusega, mille võlausaldaja võib maksejõuetusmenetluse alusel esitada.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Tuletisinstrumentidest tulenevad bilansilised kohustused (kajastatud real 0330) kajastatakse siiski bilansiliste jääkmaksumustena. Bilansiline jääkmaksumus on FINREPi jaoks olenevalt asjaoludest kas IFRSi või NGAAPi alusel määratletud bilansiline jääkmaksumus. Muul juhul kasutatakse NGAAPi aruandluskorra kohaseid näitajaid. </w:t>
      </w:r>
    </w:p>
    <w:p w14:paraId="2CF3C59A" w14:textId="77777777" w:rsidR="00E13CE3" w:rsidRPr="00D92B3C" w:rsidRDefault="00E13CE3" w:rsidP="00EC261B">
      <w:pPr>
        <w:pStyle w:val="Instructionsberschrift3"/>
      </w:pPr>
      <w:r>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Veerud</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Juhised</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Kodumajapidamised</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FINREPi V lisa 1. osa punkti 42 alapunkt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Üksikisikud või üksikisikute rühmad kui tarbijad ja kui tootjad, kes pakuvad kaupu ja mittefinantsteenuseid oma lõpptarbimiseks, ning kui turukaupade ja finants- ja mittefinantsteenuste tootjad, tingimusel et nende tegevusvaldkond ei vasta kvaasiettevõtete tegevusvaldkonnale. Siia kuuluvad ka kodumajapidamisi teenindavad kasumitaotluseta asutused, kes peamiselt tegelevad turuväliste kaupade tootmise ja teenuste osutamisega teatavatele kodumajapidamiste rühmadele.</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Finantssektorivälised äriühingud (VKEd)</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Komisjoni 6. mai 2003. aasta soovituse</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xml:space="preserve"> lisa I jaotise artikli 2 lõige 1; FINREPi V lisa 1. osa punkti 5 alapunkt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Ettevõtted, millel on vähem kui 250 töötajat ja mille aastakäive ei ületa 50 miljonit eurot ja/või aasta bilansimaht ei ületa 43 miljonit eurot.</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Finantssektorivälised äriühingud (muud kui VKEd)</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FINREPi V lisa 1. osa punkti 42 alapunkt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Äriühingud ja kvaasiäriühingud, kes ei tegele finantsvahendusega, vaid peamiselt turustatava kauba tootmise ja mittefinantsteenuste osutamisega Euroopa Keskpanga määruse (EL)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 xml:space="preserve"> alusel.</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Välja arvatud veerus 0020 kajastatud VKEd.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Krediidiasutused</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FINREPi V lisa 1. osa punkti 42 alapunkt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Krediidiasutused määruse (EL) nr 575/2013 artikli 4 lõike 1 punkti 1 tähenduses ja mitmepoolsed arengupangad.</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Muud finantssektori äriühingud</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FINREPi V lisa 1. osa punkti 42 alapunkt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Kõik finantssektori äriühingud ja kvaasiäriühingud, kes ei ole krediidiasutused, näiteks investeerimisühingud, investeerimisfondid, kindlustusandjad, pensionifondid, ühiseks investeerimiseks loodud ettevõtjad ja kliiringukojad, ning ülejäänud finantsvahendajad, finantsvahenduse abiettevõtjad, varasid hoidvad finantsasutused ja laenuandjad.</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Valitsemissektor ja keskpangad</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FINREPi V lisa 1. osa punkti 42 alapunktid a ja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Keskpangad ja keskvalitsused, osariikide/liidumaade või piirkondlikud valitsused, kohalikud omavalitsused, sealhulgas haldusorganid ja mittetulunduslikud ettevõtted, kuid välja arvatud nende valitsemisasutuste hallatavad avalikud ja mitteavalikud äriühingud, mis tegelevad äritegevusega (need kajastatakse sõltuvalt nende tegevusest kirjete „krediidiasutused“, „muud finantssektori äriühingud“ või „finantssektorivälised äriühingud“ all); sotsiaalkindlustusfondid; rahvusvahelised organisatsioonid, nagu Euroopa Liidu institutsioonid, Rahvusvaheline Valuutafond ja Rahvusvaheliste Arvelduste Pank.</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Tuvastamata, kauplemiskohas noteeritud</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Kui väärtpaberi omaniku isik ei ole teada tingituna sellest, et instrumendid on noteeritud </w:t>
            </w:r>
            <w:r>
              <w:rPr>
                <w:rFonts w:ascii="Times New Roman" w:hAnsi="Times New Roman"/>
                <w:color w:val="000000" w:themeColor="text1"/>
                <w:sz w:val="20"/>
                <w:szCs w:val="20"/>
              </w:rPr>
              <w:lastRenderedPageBreak/>
              <w:t>kauplemiskohas, mis on määratletud Euroopa Parlamendi ja nõukogu direktiivis 2014/65/EL,</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xml:space="preserve"> märgitakse summad sellesse veergu.</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Tuvastamata, kauplemiskohas noteerimata</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Kui väärtpaberi omaniku isik ei ole teada ja instrumendid ei ole kauplemiskohas noteeritud, märgitakse summad sellesse veergu ja edasine vastaspoolte järgi jaotamine ei ole nõutav. Ettevõtjad annavad endast parima, et vastaspooled tuvastada ja seda veergu võimalikult vähe kasutada.</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Kokku</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millest: grupisisesed</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Kohustused lõpliku emaettevõtja konsolideeritud finantsaruannetega hõlmatud ettevõtjate ees (erinevalt seadusega nõutavast konsolideerimise ulatusest).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millest: kohustused, mida reguleerib kolmanda riigi õigus, v.a grupisisesed</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Need hõlmavad kolmanda riigi õigusega reguleeritavate ja/või kolmandas riigis asutatud grupi ettevõtjate emiteeritud kohustuste brutosummasid. Grupisisesed kohustused jäetakse välja.</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Kui kriisilahendusasutus on kinnitanud, et ta on kindlaks teinud, et kooskõlas Euroopa Parlamendi ja nõukogu direktiivi 2014/59/EL</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artikli 55 lõike 1 kolmanda lõiguga kehtib selle kolmanda riigi õiguse alusel kriisilahendusasutuse mis tahes otsus kohustuse allahindamiseks või konverteerimiseks, ei kajastata seda kohustust selles veerus.</w:t>
            </w:r>
          </w:p>
        </w:tc>
      </w:tr>
    </w:tbl>
    <w:p w14:paraId="784CE850" w14:textId="77777777" w:rsidR="0081175C" w:rsidRPr="00BC5CD5"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Read</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Juhised</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Kohustused, mis jäävad kohustuste ja nõudeõiguste teisendamisest välja</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lõikes 2 on märgitud, et kriisilahendusasutused ei kasuta võlgade allahindamise ega konverteerimise õigust kohustuste suhtes, mis jäävad kohustuste ja nõudeõiguste teisendamise kohaldamisalast välja, olenemata sellest, kas neid reguleeritakse liikmesriigi või kolmanda riigi õigusega.</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Tagatud hoiused</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Tagatud hoiuste summa, nagu on määratletud Euroopa Parlamendi ja nõukogu direktiivi 2014/49/EL</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artikli 2 lõike 1 punktis 5, välja arvatud selle direktiivi artikli 6 lõikes 2 määratletud ajutised suured kontojäägid.</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Tagatud kohustused – kollateraliseeritud osa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 b</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Tagatud kohustused, sealhulgas tagasiostulepingud (repolepingud), pandikirjad ja kohustused finantsinstrumentide kujul, mis moodustavad lahutamatu osa tagatiste kogumist ning mis on siseriikliku õiguse kohaselt tagatud sarnaselt pandikirjadega.</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 nõue tagada, et kõik pandikirja tagatiste kogumiga seotud tagatud varad jäävad mõjutamata, segregeerituks ja piisava rahastusega, ega direktiivi 2014/59/EL artikli 44 lõike 2 punkti b kohane välistus ei takista kriisilahendusasutusi, kui see on asjakohane, kasutamast oma volitusi seoses tagatud kohustuse mis tahes osaga või sellise kohustuse mis tahes osaga, millega seoses on panditud </w:t>
            </w:r>
            <w:r>
              <w:rPr>
                <w:rFonts w:ascii="Times New Roman" w:hAnsi="Times New Roman"/>
                <w:color w:val="000000" w:themeColor="text1"/>
                <w:sz w:val="20"/>
                <w:szCs w:val="20"/>
              </w:rPr>
              <w:lastRenderedPageBreak/>
              <w:t>tagatis, mis ületab selle vara, pandi, pandiõiguse või tagatise väärtust, mille suhtes see on tagatud. Nende tagatud kohustuste sellist tagamata summat ei kajastata sellel real, vaid real 0340, kus see kuulub edasisele jaotamisele.</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Keskpanga kohustusi, mis on hõlmatud tagatiste kogumiga (</w:t>
            </w:r>
            <w:r>
              <w:rPr>
                <w:rFonts w:ascii="Times New Roman" w:hAnsi="Times New Roman"/>
                <w:color w:val="1A171C"/>
                <w:sz w:val="20"/>
                <w:szCs w:val="20"/>
              </w:rPr>
              <w:t>näiteks põhilised refinantseerimisoperatsioonid, pikaajalised refinantseerimisoperatsioonid, pikemaajalised sihtotstarbelised refinantseerimisoperatsioonid jne</w:t>
            </w:r>
            <w:r>
              <w:rPr>
                <w:rFonts w:ascii="Times New Roman" w:hAnsi="Times New Roman"/>
                <w:color w:val="000000" w:themeColor="text1"/>
                <w:sz w:val="20"/>
                <w:szCs w:val="20"/>
              </w:rPr>
              <w:t xml:space="preserve">), käsitletakse tagatud kohustustena.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Eraldi kohustuste liik on tagatiste positsioonid, mis on saadud ja bilansis kajastatud. Kui sellised tagatiste positsioonid on seaduslikult seotud varade positsiooniga, käsitletakse neid selle aruande puhul tagatud kohustustena.</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Klientide kohustused, kui on maksejõuetuse korral kaitstud</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 c</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Kohustused, mis on krediidiasutusele või investeerimisühingule või direktiivi 2014/59/EL artikli 1 lõike 1 punktis b, c või d osutatud ettevõtjale tekkinud seoses klientide vara või klientide raha, kaasa arvatud Euroopa Parlamendi ja nõukogu direktiivi 2009/65/EÜ</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artikli 1 lõikes 2 määratletud eurofondide või Euroopa Parlamendi ja nõukogu direktiivi 2011/61/EL</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xml:space="preserve"> artikli 4 lõike 1 punktis a määratletud AIFide nimel hoitava klientide vara või klientide raha hoidmisega, tingimusel et niisugune klient on kohaldatava maksejõuetusõiguse alusel kaitstud.</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Usaldussuhtest tulenevad kohustused, kui on maksejõuetuse korral kaitstud</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 d</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Kohustused, mis on tekkinud asutuse või direktiivi 2014/59/EL artikli 1 lõike 1 punktis b, c või d osutatud ettevõtja (kui usaldusisiku) ja mõne teise isiku (kui kasusaaja) vahelise usaldussuhte alusel, tingimusel et niisugune kasusaaja on kaitstud kohaldatava maksejõuetus- või tsiviilõiguse alusel.</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Asutuse kohustused &lt; 7 päeva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 e</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Asutuste, välja arvatud sama raamatupidamisgrupi ettevõtjate ees olevad kohustused, mille esialgne tähtaeg on lühem kui seitse päeva.</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Süsteemi (operaatori) ja keskse vastaspoole kohustused &lt; 7 päeva</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 f</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Kohustised kas vastavalt Euroopa Parlamendi ja nõukogu direktiivile 98/26/EÜ</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xml:space="preserve"> määratud süsteemide või süsteemikorraldajate või nendes osalejate ees seoses sellises süsteemis osalemisega või Euroopa Parlamendi ja nõukogu määruse (EL) nr 648/2012</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artikli 14 kohase liidu tegevusloaga kesksete vastaspoolte ees ja kolmandate riikide kesksete vastaspoolte ees, keda Euroopa Väärtpaberiturujärelevalve kõnealuse määruse artikli 25 kohaselt tunnustab, kui nende kohustiste järelejäänud tähtaeg on vähem kui seitse päeva.</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Töötaja kohustused</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punkti g alapunkt i</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Kohustused töötajate ees seoses palgavõlgnevuse, pensionihüvitise või muu fikseeritud tasuga, välja </w:t>
            </w:r>
            <w:r>
              <w:rPr>
                <w:rFonts w:ascii="Times New Roman" w:hAnsi="Times New Roman"/>
                <w:color w:val="000000" w:themeColor="text1"/>
                <w:sz w:val="20"/>
                <w:szCs w:val="20"/>
              </w:rPr>
              <w:lastRenderedPageBreak/>
              <w:t>arvatud muutuvtasu, mis ei ole reguleeritud kollektiivlepinguga. Seda ei kohaldata siiski direktiivi 2013/36/EL artikli 92 lõikes 2 kindlaks määratud olulise riski võtjate muutuvtasu suhtes.</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Operatsioonide igapäevase toimimise puhul kriitilised kohustused</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punkti g alapunkt ii</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Kohustused kaubakrediiti andnud võlausaldaja ees seoses krediidiasutuse või investeerimisühingu või direktiivi 2014/59/EL artikli 1 lõike 1 punktis b, c või d osutatud ettevõtja igapäevaseks tegevuseks vältimatult vajalike kaupade või teenuste pakkumisega, sealhulgas IT-teenused, kommunaalteenused ning ruumide rent, teenindus ja korrashoid.</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Maksu- ja sotsiaalkindlustusasutuste kohustused, kui on eelistatud</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punkti g alapunkt iii</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Kohustused maksu- ja sotsiaalkindlustusasutuste ees, kui selliste asutuste nõudeõigused rahuldatakse kohaldatava õiguse alusel eelisjärjekorras.</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Hoiuste tagamise skeemi kohustused</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punkti g alapunkt iv</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Kohustused hoiuste tagamise skeemide ees, mille aluseks on direktiivi 2014/49/EL kohased osamaksed.</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Kohustused kriisilahendusaluse grupi muude üksuste ees</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artikli 44 lõike 2 punkt h</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Kohustused krediidiasutuste või investeerimisühingute või direktiivi 2014/59/EL artikli 1 lõike 1 punktis b, c või d osutatud ettevõtjate ees, kes kuuluvad samasse kriisilahendusalusesse gruppi, kuid ei ole ise kriisilahendusalused ettevõtjad, olenemata kohustuste lõpptähtajast, välja arvatud juhul, kui nende kohustuste nõudeõiguse järk on madalam kui tavalistel tagamata kohustustel vastavalt asjakohasele siseriiklikule õigusele, millega reguleeritakse direktiivi 2014/59/EL ülevõtmise kuupäeval kohalduvat tavalist maksejõuetusmenetlust.</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väljajäetud kohustus on tuletisinstrumendist tulenev kohustus, kajastatakse kohustuste netopositsioone, võttes arvesse määruse (EL) nr 575/2013 artiklis 429c sätestatud usaldatavusnõuetele vastava tasaarvestamise eeskirju.</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Kohustused, mis ei jää kohustuste ja nõudeõiguste teisendamisest välja</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Hoiused, tagamata, aga eeliskohtlemisel</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2014/59/EL artikkel 108</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Direktiivi 2014/49/EL artikli 2 lõike 1 punktis 3 määratletud hoiused, mis ei kvalifitseeru kohustuste ja nõudeõiguste teisendamisest väljajätmiseks (direktiivi 2014/59/EL artikli 44 lõike 2 punkt a), ent mille puhul on kooskõlas direktiivi 2014/59/EL artikliga 108 ette nähtud eeliskohtlemine.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Hoiused, tagamata ja muud kui eeliskohtlemisel</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Direktiivi 2014/49/EL artikli 2 lõike 1 punktis 3 määratletud hoiused, mis ei kvalifitseeru kohustuste ja nõudeõiguste teisendamisest väljajätmiseks ega eeliskohtlemiseks direktiivi 2014/59/EL artikli 44 lõike 2 või artikli 108 alusel.</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Bilansilised kohustused, mis tulenevad tuletisinstrumentidest</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Tuletisinstrumentidest tulenevate kohustuste bilansiline väärtus.</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Kohustuste netopositsioonide summa, võttes arvesse lepingulisi tasaarvestusi, pärast turuväärtuse meetodil korrigeerimisi, enne tagatise tasaarvestamist</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Vaikimisi on see tuletisinstrumentide kohustuste kõikide netoturuväärtuste summa lepingulise tasaarvestatavate tehingute kogumi kohta. Üksnes juhul, kui tasaarvestatavate tehingute kogumi netoturuväärtus on kohustus, tuleb tasaarvestatavate tehingute kogum kajastada. Tuletisinstrumente, </w:t>
            </w:r>
            <w:r>
              <w:rPr>
                <w:rFonts w:ascii="Times New Roman" w:hAnsi="Times New Roman"/>
                <w:color w:val="000000" w:themeColor="text1"/>
                <w:sz w:val="20"/>
                <w:szCs w:val="20"/>
              </w:rPr>
              <w:lastRenderedPageBreak/>
              <w:t>mis ei kuulu tasaarvestuskorra alla, käsitletakse ühe lepinguna, st sellisena, nagu oleks tegu üksnes ühe tuletisinstrumendi tasaarvestatavate tehingute kogumiga.</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Kohustuste netopositsioonide summa, võttes arvesse lepingulisi tasaarvestusi, pärast turuväärtuse meetodil korrigeerimisi, pärast tagatise tasaarvestamist</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Real 0331 esitatud väärtust korrigeeritakse selle riskipositsiooni tagamiseks esitatud tagatisega, mis toob kaasa nende netoturuväärtuste summa pärast tagatise tasaarvestamist selle turuväärtuses.</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Kohustuste netopositsioonide summa, võttes arvesse lepingulisi tasaarvestusi, pärast turuväärtuse meetodil korrigeerimisi, pärast tagatise tasaarvestamist, hõlmates hinnangulisi tasaarvestussummasid</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Kooskõlas komisjoni delegeeritud määrusega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täiendav tasaarvestussumma, mis hõlmab tuletisinstrumendilepingute vastaspoolte kantud kahjumeid või kulusid või nende saadud kasumeid seoses lepingute oluliste tingimuste majandusliku ekvivalendi ja nende lõpetatud lepingute kohaste poolte optsiooniõiguste asendamise või saamisega.</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Kooskõlas kõnealuse delegeeritud määrusega tasaarvestussumma kindlaksmääramiseks nõutavad hinnangud võivad osutuda eraldi üsna keeruliseks. Seega võib selle asemel kasutada asendusväärtuseid, mis võivad põhineda kättesaadavatel andmetel, näiteks tururiski usaldatavusnõuetel. Kui tuletisinstrumentide kohustuste jaoks tasaarvestussumma arvutamine osutub võimatuks, peab kajastatud summa võrduma real 0332 kajastatud summaga.</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Kohustuste netopositsioonide summa, võttes arvesse usaldatavusnõuetele vastava tasaarvestamise eeskirju</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Kajastatakse tuletisinstrumentide kohustuste netopositsioone, võttes arvesse määruse (EL) nr 575/2013 artiklis 429c sätestatud usaldatavusnõuetele vastava tasaarvestamise eeskirju (seoses finantsvõimenduse määra koguriskipositsiooni näitaja arvutamisega).</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Kollateraliseerimata tagatud kohustused</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Tagatud kohustuste summa või selliste kohustuste summa, millega seoses on panditud tagatis, mis ületab selle vara, pandi, pandiõiguse või tagatise väärtust, mille suhtes see on tagatud. See hõlmab igasuguste kollateraliseeritud kohustuste nii-öelda alakollateraliseeritud osa, näiteks pandikirjade või repotehingute alakollateraliseeritud osa.</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Struktureeritud väärtpaberid</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Struktureeritud väärtpaberid on sel eesmärgil määratletud kui võlakohustused, mis sisaldavad tuletisinstrumendi tunnustega väärtpaberite komponenti ning mille tulusus on seotud alusvara või indeksiga (avalik või kohandatud, näiteks aktsiad või võlakirjad, fikseeritud tulumäärad või krediit, valuuta, toore jne). Struktureeritud väärtpaberid ei hõlma võlainstrumente, mis sisaldavad üksnes ostu- või müügioptsioone, st instrumendi väärtus ei sõltu tuletisinstrumendi tunnustega väärtpaberi komponendist.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Kõrgema nõudeõiguse järgu tagatiseta kohustused</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See hõlmab kõiki kõrgema nõudeõiguse järgu tagatiseta instrumente, mis ei kuulu struktureeritud väärtpaberite kategooriasse.</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Kõrgema nõudeõiguse järgu mitte-eelistatud kohustused</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Järgmiste kohustuste summa:</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tagamata nõuded, mis tulenevad võlainstrumentidest, mis vastavad direktiivi 2014/59/EL artikli 108 lõike 2 punktides a, b ja c ning artikli 108 lõikes 3 sätestatud tingimustele;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tagamata nõuded, mis tulenevad võlainstrumentidest, millele on osutatud direktiivi </w:t>
            </w:r>
            <w:r>
              <w:rPr>
                <w:rFonts w:ascii="Times New Roman" w:hAnsi="Times New Roman"/>
                <w:color w:val="000000" w:themeColor="text1"/>
                <w:sz w:val="20"/>
                <w:szCs w:val="20"/>
              </w:rPr>
              <w:lastRenderedPageBreak/>
              <w:t xml:space="preserve">2014/59/EL artikli 108 lõike 5 esimese lõigu punktis b;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võlainstrumendid, mis kuuluvad madalaimasse prioriteetsuse järku tavapäraste tagamata nõuete hulgas, mis tulenevad võlainstrumentidest, millele on osutatud direktiivi 2014/59/EL artikli 108 lõikes 7 ja mille puhul liikmesriik on kooskõlas selle lõikega märkinud, et nad kuuluvad samasse järku kui nõuded, mis vastavad direktiivi 2014/59/EL artikli 108 lõike 2 punktides a, b ja c ning artikli 108 lõikes 3 sätestatud tingimustele.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Allutatud kohustused</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Kohustused, mis makstakse tagasi riigi maksejõuetusõiguse alusel üksnes pärast seda, kui kõikidele tavapäraste klasside võlausaldajatele ja  kõrgema nõudeõiguse järgu eelistatud võlausaldajatele on täielikult tagasi makstud. See hõlmab nii lepingu kui ka seaduse alusel allutatud kohustusi. Valdusettevõtjate korral võidakse selles kategoorias kajastada ka allutamata võlaväärtpabereid (st struktuurne allutamine).</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Sellesse kategooriasse kaasatakse üksnes allutatud instrumendid, mida ei kajastata omavahenditena.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See rida hõlmab ka seda osa allutatud kohustustest, mis kvalifitseerub põhimõtteliselt omavahenditeks, aga mida ei ole hõlmatud omavahenditega tulenevalt järkjärgulise kasutuselt kõrvaldamise sätetest, nagu määruse (EL) nr 575/2013 artikkel 64 (järelejäänud tähtaeg) või määruse (EL) nr 575/2013 10. osa (varem kehtinud nõuete ajutise kohaldamise mõju).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Muud omavahendite ja kõlblike kohustuste miinimumnõuete kohaselt kõlblikud kohustused</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Mis tahes instrument, mis on kõlblik direktiivi 2014/59/EL artiklis 45 sätestatud nõude täitmiseks, kuid mida ei kajastata ridadel 0320 ja 0340–0370.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Mitterahalised kohustused</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See rida hõlmab mitterahalisi kohustusi, mis ei ole seotud võlainstrumentidega, mille omanikud saab kaasata kohustuste ja nõudeõiguste teisendamisse praktilistel põhjustel, nagu eraldised, mis on seotud ettevõtja suhtes toimuvate kohtumenetlustega.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Muud kohustused</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Kõik kohustused, mida ei ole kajastatud ridadel 0100–0390.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Omavahendid</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artikli 4 lõike 1 punkt 118 ja artikkel 72</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Sama määratlus nagu COREP (OF)-i puhul: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Esimese taseme põhiomavahendid</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artikkel 50</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Sama määratlus nagu COREP (OF)-i puhul: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millest: kapitaliinstrumendid / osa- või aktsiakapital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Seaduslikud instrumendid, mis moodustavad esimese taseme põhiomavahendid (või nende osa) kapitaliinstrumentide / aktsia- või osakapitali kujul.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millest:</w:t>
            </w:r>
            <w:r>
              <w:rPr>
                <w:rFonts w:ascii="Times New Roman" w:hAnsi="Times New Roman"/>
                <w:b/>
                <w:bCs/>
                <w:color w:val="000000" w:themeColor="text1"/>
                <w:sz w:val="20"/>
                <w:szCs w:val="20"/>
              </w:rPr>
              <w:t xml:space="preserve"> lihtaktsiatega samasse nõudeõiguse järku kuuluvad instrumendid</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Seaduslikud instrumendid, mis moodustavad esimese taseme põhiomavahendid (või nende osa) muude instrumentide kujul kui kapitaliinstrumendid / aktsia- või osakapital, aga mis kuuluvad selle kategooriaga samasse nõudeõiguse järku.</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Täiendavad esimese taseme omavahendid</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artikkel 61</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Sama määratlus nagu COREP (OF)-i puhul: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millest: </w:t>
            </w:r>
            <w:r>
              <w:rPr>
                <w:rFonts w:ascii="Times New Roman" w:hAnsi="Times New Roman"/>
                <w:b/>
                <w:color w:val="000000" w:themeColor="text1"/>
                <w:sz w:val="20"/>
                <w:szCs w:val="20"/>
              </w:rPr>
              <w:t>omavahenditena kajastatud allutatud kohustused (osa)</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Seaduslikud instrumendid, mis moodustavad täiendavad esimese taseme omavahendid (või nende osa).</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Teise taseme omavahendid</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artikkel 71</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Sama määratlus nagu COREP (OF)-i puhul: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millest: omavahenditena kajastatud allutatud kohustused (osa)</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Sellise jaotusega tehakse kindlaks seaduslikud instrumendid, mis moodustavad teise taseme omavahendid (või nende osa).</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Kohustused ja omavahendid, sealhulgas tuletisinstrumentide kohustused, kokku</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Kõikide selles vormis kajastatud kohustuste summa ja regulatiivsete omavahendite summa. Sel eesmärgil liidetakse kokku kõik summad eespool esitatud ridadelt. Tuletisinstrumentide puhul kasutatakse väärtust, mis on esitatud real 0334 „Kohustuste netopositsioonide summa, võttes arvesse usaldatavusnõuetele vastava tasaarvestamise eeskirju“.</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38697"/>
      <w:r>
        <w:rPr>
          <w:rFonts w:ascii="Times New Roman" w:hAnsi="Times New Roman"/>
          <w:szCs w:val="20"/>
        </w:rPr>
        <w:t>Z 03.00 – Omavahendite nõuded (OWN)</w:t>
      </w:r>
      <w:bookmarkEnd w:id="14"/>
      <w:bookmarkEnd w:id="15"/>
    </w:p>
    <w:p w14:paraId="1EB4E523" w14:textId="77777777" w:rsidR="00F73F97" w:rsidRPr="00D92B3C" w:rsidRDefault="00F73F97" w:rsidP="00EC261B">
      <w:pPr>
        <w:pStyle w:val="Instructionsberschrift3"/>
      </w:pPr>
      <w:r>
        <w:t>Üldised märkused</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vormiga kogutakse teavet ettevõtja või grupi omavahendite nõuete kohta.</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Kogu esitatud teave kajastab aruandekuupäeval kohaldatavaid omavahendite nõudeid.</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Selles vormis kajastatud teise samba nõudeid käsitlev teave põhineb uusimal kättesaadaval ametlikul järelevalvealase läbivaatamise ja hindamise (SREP) kirjal, mille pädev asutus on edastanud.</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Kui ettevõtja, mida aruandes käsitletakse, ei pea individuaalsel tasandil kohaldama kapitalinõudeid, esitab ta andmeid üksnes real 0110.</w:t>
      </w:r>
    </w:p>
    <w:p w14:paraId="4CE17C26" w14:textId="77777777" w:rsidR="00E13CE3" w:rsidRPr="00D92B3C" w:rsidRDefault="00E13CE3" w:rsidP="00EC261B">
      <w:pPr>
        <w:pStyle w:val="Instructionsberschrift3"/>
      </w:pPr>
      <w:r>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724"/>
        <w:gridCol w:w="8302"/>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Read</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Juhised</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Koguriskipositsioon</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artikli 92 lõige 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Vt vormi Z 01.00 veerg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Koguriskipositsioon, nagu on määratletud COREP (OF)-i puhul: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Osa konsolideeritud koguriskipositsioonis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Vt vormi Z 01.00 veerg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Seda kirjet kajastatakse üksnes ettevõtjate puhul, kelle suhtes ei kohaldata individuaalsel tasandil kapitalinõudeid.</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Koguriskipositsiooni näitaja</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Määruse (EL) nr 575/2013 artikli 429 lõige 4.</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Algkapitali ja finantsvõimenduse määra nõuded</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Algkapital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Direktiivi 2013/36/EL artiklid 12 ja 28–31 ning määruse (EL) nr 575/2013 artikkel 93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Sellise algkapitali summa, mida nõutakse asutusena tegevuse alustamise loa eeltingimusena.</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Finantsvõimenduse määra nõue</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artikli 92 lõike 1 punkti d kohane finantsvõimenduse määra nõue, mida kohaldatakse ettevõtja või grupi suhtes, väljendatuna protsendina koguriskipositsiooni näitajast. Aruandvad üksused, kes jätavad välja krediidiasutuse või investeerimisühingu keskpanga suhtes olevad riskipositsioonid, nagu on osutatud määruse (EL) nr 575/2013 artikli 429a lõike 1 punktis n, esitavad korrigeeritud finantsvõimenduse määra nõude vastavalt kõnealuse määruse artikli 429a lõikele 7. Kui ametlikku nõuet ei kehti, jätavad ettevõtjad selle lahtri tühjaks.</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Järelevalvealase läbivaatamise ja hindamise kohase kogu kapitalinõude (TSCR) määr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määruse (EL) nr 575/2013 artikli 92 lõike 1 punktis c kindlaks määratud koguomavahendite suhtarv (8 %);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täiendavate omavahendite nõuete (teise samba nõuded – P2R) suhtarv, mis on määratud kindlaks vastavalt direktiivi 2013/36/EL artiklile 104a ja Euroopa Pangandusjärelevalve suunistele järelevalvealase läbivaatamise ja hindamise ning järelevalvealaste stressitestide ühise menetluse ja metoodika kohta – konsolideeritud versioon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See kirje kajastab järelevalvealase läbivaatamise ja hindamise kogu kapitalinõude (TSCR) määra, mille pädev asutus on asutusele teatanud. TSCR on määratletud EBA SREP GLi punktis 1.2.</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Kui pädev asutus ei ole täiendavate omavahendite nõuetest teatanud, tuleb esitada üksnes punkti i kohased andmed.</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koosneb esimese taseme põhiomavahenditest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Järgmiste alapunktide i ja ii summa:</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esimese taseme põhiomavahendite suhtarv (4,5 %), nagu on sätestatud määruse (EL) nr 575/2013 artikli 92 lõike 1 punktis a;</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täiendavate omavahendite nõude suhtarvu osa, millele on viidatud rea 0300 punktis ii ja mida peab pädeva asutuse nõudmisel hoidma esimese taseme põhiomavahendite kujul.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Kui pädev asutus ei ole esimese taseme põhiomavahendite kujul hoitavate täiendavate omavahendite nõuetest teatanud, tuleb esitada üksnes punkti i kohased andmed.</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koosneb esimese taseme omavahenditest</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esimese taseme omavahendite suhtarv (6 %), nagu on sätestatud määruse (EL) nr 575/2013 artikli 92 lõike 1 punktis b;</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täiendavate omavahendite nõude suhtarvu osa, millele on viidatud rea 0300 punktis ii ja mida peab pädeva asutuse nõudmisel hoidma esimese taseme omavahendite kujul.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Kui pädev asutus ei ole esimese taseme omavahendite kujul hoitavate täiendavate omavahendite nõuetest teatanud, tuleb esitada üksnes punkti i kohased andmed.</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Kombineeritud puhvri nõuded</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2013/36/EL artikli 128 punkt 6</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Kapitali säilitamise puhver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2013/36/EL artikli 128 punkt 1 ja artikkel 129</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Vastavalt kõnealuse direktiivi artikli 129 lõikele 1 on kapitali säilitamise puhver esimese taseme põhiomavahendite täiendav summa. Tulenevalt asjaolust, et kapitali säilitamise puhvri määr 2,5 % on stabiilne, kajastatakse seda summat selles lahtris.</w:t>
            </w:r>
          </w:p>
          <w:p w14:paraId="09409E4E" w14:textId="77777777" w:rsidR="00046CD0" w:rsidRPr="00AC30C9"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Liikmesriigi tasandil kindlaks tehtud makrotasandi usaldatavusriski  või süsteemse riskiga seotud säilitamise puhver</w:t>
            </w:r>
          </w:p>
          <w:p w14:paraId="76B66FEC" w14:textId="77777777" w:rsidR="005337DD" w:rsidRPr="00BC5CD5"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Määruse (EL) nr 575/2013 artikli 458 lõike 2 punkti d alapunkt iv</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Selles lahtris kajastatakse liikmesriigi tasandil kindlaks tehtud makrotasandi usaldatavusriski või süsteemse riskiga seotud säilitamise puhvri summat, mida võib vastavalt määruse (EL) nr 575/2013 artiklile 458 nõuda lisaks kapitali säilitamise puhvrile.</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Kajastatav summa on omavahendite summa, mida on vaja vastava kapitalipuhvri nõude täitmiseks aruandekuupäeva seisuga.</w:t>
            </w:r>
          </w:p>
          <w:p w14:paraId="30AC9E9B" w14:textId="77777777" w:rsidR="005337DD" w:rsidRPr="00BC5CD5"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Asutusepõhine vastutsükliline kapitalipuhver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2013/36/EL artikli 128 punkt 2 ning artiklid 130 ja 135–140</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Kajastatav summa on omavahendite summa, mida on vaja vastava kapitalipuhvri nõude täitmiseks aruandekuupäeva seisuga.</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Süsteemse riski puhver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2013/36/EL artikli 128 punkt 5 ning artiklid 133 ja 134</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Kajastatav summa on omavahendite summa, mida on vaja vastava kapitalipuhvri nõude täitmiseks aruandekuupäeva seisuga.</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Globaalse süsteemselt olulise ettevõtja puhver</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2013/36/EL artikli 128 punkt 3 ja artikkel 131</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Kajastatav summa on omavahendite summa, mida on vaja vastava kapitalipuhvri nõude täitmiseks aruandekuupäeva seisuga.</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Muu süsteemselt olulise ettevõtja puhver</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2013/36/EL artikli 128 punkt 4 ja artikkel 131</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Kajastatav summa on omavahendite summa, mida on vaja vastava kapitalipuhvri nõude täitmiseks aruandekuupäeva seisuga.</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Üldise kapitalinõude (OCR) määr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TSCRi määr, millele on viidatud real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kui see on õiguspäraselt kohaldatav, kombineeritud puhvri nõude määr, millele on viidatud direktiivi 2013/36/EL artikli 128 punktis 6.</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See kirje kajastab üldise kapitalinõude (OCR) määra, nagu on määratletud EBA SREP GLi punktis 1.2.</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Kui puhvri nõuet ei kohaldata, esitatakse üksnes punkti i kohased andmed.</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koosneb esimese taseme põhiomavahenditest</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TSCRi määr, mis koosneb real 0310 viidatud esimese taseme põhiomavahenditest;</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kui see on õiguspäraselt kohaldatav, kombineeritud puhvri nõude määr, millele on viidatud direktiivi 2013/36/EL artikli 128 punktis 6.</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Kui puhvri nõuet ei kohaldata, esitatakse üksnes punkti i kohased andmed.</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koosneb esimese taseme omavahenditest</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TSCRi määr, mis koosneb real 0320 viidatud esimese taseme omavahenditest;</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kui see on õiguspäraselt kohaldatav, kombineeritud puhvri nõude määr, millele on viidatud direktiivi 2013/36/EL artikli 128 punktis 6.</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Kui puhvri nõuet ei kohaldata, esitatakse üksnes punkti i kohased andmed.</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ja teise samba suunised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üldise kapitalinõude määr, millele on viidatud real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kui see on asjakohane, siis EBA SREP GLis määratletud teise samba suunised; need hõlmatakse üksnes siis, kui pädev asutus on need asutusele edastanud.</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pädev asutus ei ole teise samba suuniseid edastanud, tuleb esitada üksnes punkti i kohased andmed.</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koosneb esimese taseme põhiomavahenditest</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üldise kapitalinõude määr, mis koosneb real 0510 viidatud esimese taseme põhiomavahenditest;</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kui see on asjakohane, siis teise samba suuniste osa, millele on viidatud rea 0600 punktis ii ja mida peab pädeva asutuse nõudmisel hoidma esimese taseme põhiomavahendite kujul. Teise samba suunised hõlmatakse üksnes siis, kui pädev asutus on need asutusele edastanud.</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pädev asutus ei ole teise samba suuniseid edastanud, tuleb esitada üksnes punkti i kohased andmed.</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ja P2G: koosneb esimese taseme omavahenditest</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Järgmiste alapunktide i ja ii summa:</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üldise kapitalinõude määr, mis koosneb real 0520 viidatud esimese taseme omavahenditest;</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kui see on asjakohane, siis teise samba suuniste osa, millele on viidatud rea 600 punktis ii ja mida peab pädeva asutuse nõudmisel hoidma esimese taseme omavahendite kujul. Teise samba suunised hõlmatakse üksnes siis, kui pädev asutus on need asutusele edastanud.</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Kui pädev asutus ei ole teise samba suuniseid edastanud, tuleb esitada üksnes punkti i kohased andmed.</w:t>
            </w:r>
          </w:p>
        </w:tc>
      </w:tr>
    </w:tbl>
    <w:p w14:paraId="4396EC85" w14:textId="77777777" w:rsidR="00FE3E96" w:rsidRPr="00BC5CD5"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38698"/>
      <w:r>
        <w:rPr>
          <w:rFonts w:ascii="Times New Roman" w:hAnsi="Times New Roman"/>
          <w:szCs w:val="20"/>
        </w:rPr>
        <w:t>Z 04.00 – Grupisisesed vastastikused finantsseosed (IFC)</w:t>
      </w:r>
      <w:bookmarkEnd w:id="16"/>
      <w:bookmarkEnd w:id="17"/>
    </w:p>
    <w:p w14:paraId="651647D3" w14:textId="77777777" w:rsidR="00E13CE3" w:rsidRPr="00D92B3C" w:rsidRDefault="00AD2380" w:rsidP="00EC261B">
      <w:pPr>
        <w:pStyle w:val="Instructionsberschrift3"/>
      </w:pPr>
      <w:r>
        <w:t>Üldised märkused</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Selles vormis nõutakse teavet kohustuste ja nõudeõiguste teisendamisest välja mittejäävate grupisiseste kohustuste, kapitaliinstrumentide ja garantiide kohta.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Kajastada tuleb kõik konsolideeritud finantsaruannetega hõlmatud asjaomaste juriidiliste isikute vahelised vastastikused finantsseosed. Kajastatud summad liidetakse, kui need puudutavad samu vastaspooli (nii emitent või garantii saanud ettevõtja kui ka võlausaldaja, omanik või garantii andja) ja sama liiki kohustusi, kapitaliinstrumente või garantiisid.</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0020, 0040 ja 0050 kajastatud väärtuste kombinatsioon moodustab primaarvõtme, mis peab olema vormi iga rea puhul kordumatu.</w:t>
      </w:r>
    </w:p>
    <w:p w14:paraId="2B305CA8" w14:textId="77777777" w:rsidR="00E13CE3" w:rsidRPr="00D92B3C" w:rsidRDefault="00E13CE3" w:rsidP="00715DAB">
      <w:pPr>
        <w:pStyle w:val="Instructionsberschrift3"/>
      </w:pPr>
      <w:r>
        <w:t>Juhised konkreetsete kirjete kohta</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Veerud</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Juhised</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 või garantii saanud ettevõtja</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Juriidiline isik, kes emiteerib kohustused või kapitaliinstrumendi või on garantii saanud ettevõtja.</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Ettevõtja nimi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Peab erinema veerus 0030 esitatud ettevõtja nimest.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Emitendi või garantii saaja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 peab olema kordumatu ja seda tuleb kasutada järjepidevalt kõikides vormides.</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 peab erinema veerus 0040 esitatud koodist.</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Võlausaldaja, omanik või garantii andja</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Juriidiline isik, kes on kohustuse võlausaldaja, omab kapitaliinstrumenti või annab garantii.</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Ettevõtja nimi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Peab erinema veerus 0010 esitatud ettevõtja nimest.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Võlausaldaja, omaniku või garantii andja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 peab olema kordumatu ja seda tuleb kasutada järjepidevalt kõikides vormides.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Peab erinema veerus 0020 esitatud koodist.</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Vastastikune finantsseos</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See väli kirjeldab asjaomaste juriidiliste isikute vastastikuseid finantsseoseid.</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Liik</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Tuleb valida järgmisest loetelust.</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Grupisisesed kohustused</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Hoiused, tagamata, aga eeliskohtlemisel</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0310 puhul</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Hoiused, tagamata ja muud kui eeliskohtlemisel</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0320 puhul</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Tuletisinstrumentidest tulenevad kohustused (tasaarvestussummad)</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0330 puhul</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Kollateraliseerimata tagatud kohustused</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0340 puhul</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Struktureeritud väärtpaberid</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0350 puhul</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Kõrgema nõudeõiguse järgu tagatiseta kohustused</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0360 puhul</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Kõrgema nõudeõiguse järgu mitte-eelistatud kohustused</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0365 puhul</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Allutatud kohustused</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0370 puhul</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Muud omavahendite ja kõlblike kohustuste miinimumnõuete kohaselt kõlblikud kohustused</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0380 puhul</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Mitterahalised kohustused</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0390 puhul</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Muud kohustused</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0400 puhul. Eelmiste kirjetega hõlmamata kohustused</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Teise taseme omavahendid</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0530 puhul</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Täiendavad esimese taseme omavahendid</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0520 puhul</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Esimese taseme põhiomavahendid</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Sama määratlus nagu vormi Z 02.00 (LIAB) rea 0510 puhul</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Grupisisesed garantiid</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Emiteerimised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Garantiid konkreetsetele emiteeritud instrumentidele/kohustustele</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Vastaspool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Asutuse konkreetsele vastaspoolele antud garantiid</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Piiramata</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Fikseeritud summaga piiramata üldised garantiid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Muud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Eelmiste liikidega hõlmamata garantiid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Tagasimaksmata summa</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Kohustuste (veerg 0050, liigid L.1, L.2 ja L.4–L.14) puhul grupisiseste kohustuste tagasimaksmata summa; tuletisinstrumentidest tulenevate kohustuste (liik L.3) puhul tasaarvestussummad, nagu on määratud kindlaks vormi Z 02.00 (LIAB) rea 0333 puhul.</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Garantiide (veerg 0050, väärtused G.1–G.4) puhul garantiikohaste tulevaste maksete maksimaalne võimalik summa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millest emiteeritud kolmanda riigi õiguse alusel</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Tagasimaksmata summa osa (rahaline summa), mida reguleerib kolmanda riigi õigus.</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millest: omavahendite ja kõlblike kohustuste miinimumnõuete kohaselt kõlblikud</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Selliste omavahendite ja kohustuste summa, mis on kõlblikud direktiivi 2014/59/EL artiklis 45 sätestatud nõude täitmiseks.</w:t>
            </w:r>
            <w:r>
              <w:t xml:space="preserve"> </w:t>
            </w:r>
          </w:p>
        </w:tc>
      </w:tr>
    </w:tbl>
    <w:p w14:paraId="27337152" w14:textId="77777777" w:rsidR="00E13CE3" w:rsidRPr="00BC5CD5"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38699"/>
      <w:r>
        <w:rPr>
          <w:rFonts w:ascii="Times New Roman" w:hAnsi="Times New Roman"/>
          <w:szCs w:val="20"/>
        </w:rPr>
        <w:lastRenderedPageBreak/>
        <w:t xml:space="preserve">Z 05.01 ja Z 05.02 – </w:t>
      </w:r>
      <w:bookmarkStart w:id="19" w:name="_Toc492542325"/>
      <w:r>
        <w:rPr>
          <w:rFonts w:ascii="Times New Roman" w:hAnsi="Times New Roman"/>
          <w:szCs w:val="20"/>
        </w:rPr>
        <w:t>Suuremad vastaspooled (MCP)</w:t>
      </w:r>
      <w:bookmarkEnd w:id="19"/>
      <w:bookmarkEnd w:id="18"/>
    </w:p>
    <w:p w14:paraId="3CC29F42" w14:textId="77777777" w:rsidR="00BF5063" w:rsidRPr="00D92B3C" w:rsidRDefault="00BF5063" w:rsidP="00715DAB">
      <w:pPr>
        <w:pStyle w:val="Instructionsberschrift3"/>
      </w:pPr>
      <w:r>
        <w:t>Üldised märkused</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Nendes vormides kogutakse teavet suuremate vastaspoolte ees olevate kohustuste (Z 05.01) ja suurematelt vastaspooltelt saadud bilansiväliste kirjete (Z 05.02) kohta.  Kajastatud summad liidetakse, kui need kuuluvad samale vastaspoolele ja sama liiki kohustuste või bilansiväliste kirjete juurde.</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Neid kohustusi ja bilansiväliseid kirjeid, mille vastaspoolt ei ole võimalik tuvastada, ei kajastata nendes vormides. Kohustusi ja bilansiväliseid kirjeid, mille vastaspool on konsolideeritud finantsaruannetega hõlmatud ettevõtja, ei kajastata.</w:t>
      </w:r>
    </w:p>
    <w:p w14:paraId="3454E902" w14:textId="77777777" w:rsidR="00DF1EA4" w:rsidRPr="00D92B3C" w:rsidRDefault="00F7117F" w:rsidP="00715DAB">
      <w:pPr>
        <w:pStyle w:val="Instructionsberschrift3"/>
      </w:pPr>
      <w:r>
        <w:t>Z 05.01 – Suuremad kohustuste vastaspooled – juhised konkreetsete kirjete kohta</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0020 ja 0060 kajastatud väärtuste kombinatsioon moodustab primaarvõtme, mis peab olema vormi iga rea puhul kordumatu.</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Veerud</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Juhised</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Vastaspool</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Teave suuremate vastaspoolte kohta, kellega seoses kohustused tekivad.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Suuremad vastaspooled määratakse kindlaks, liites kokku selle ettevõtja või grupi, kelle kohta vorm esitatakse, kõikide selliste kohustuste tagasimaksmata summad, mis tal on iga vastaspoole või omavahel seotud klientide rühma ees, välja arvatud kohustused konsolideeritud finantsaruannetega hõlmatud üksuste ees.</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Vastaspooled ja omavahel seotud vastaspoolte rühmad järjestatakse seejärel tagasimaksmata kogusumma alusel, et teha kindlaks kümme esimest suurimat vastaspoolt, kelle kohta selles vormis teavet antakse.</w:t>
            </w:r>
          </w:p>
          <w:p w14:paraId="06033B0A" w14:textId="77777777" w:rsidR="00AD011A" w:rsidRPr="00BC5CD5"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Määratlus „omavahel seotud vastaspoolte rühm“ tuleneb määruse (EL) nr 575/2013 artikli 4 lõike 1 punktis 39 sätestatud „omavahel seotud klientide rühma“ määratlusest. </w:t>
            </w:r>
          </w:p>
          <w:p w14:paraId="294E9015" w14:textId="77777777" w:rsidR="00AD011A" w:rsidRPr="00BC5CD5"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Selle vormi puhul ei tohi vastaspool olla konsolideeritud finantsaruannetega hõlmatud ettevõtja.</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Suurema vastaspoole nimi, või kui see on asjakohane, omavahel seotud klientide rühma nimi.</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Omavahel seotud klientide rühma nimi on emaettevõtja nimi, või kui omavahel seotud klientide rühmal ei ole emaettevõtjat, rühma ärinimi.</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Suurema vastaspoole või omavahel seotud klientide rühma kood. Krediidiasutuste ja investeerimisühingute korral on kood 20kohaline tähtnumbriline LEI-kood. Teiste ettevõtjate korral on kood 20kohaline tähtnumbriline LEI-kood või selle puudumisel liidus kohaldatava ühtse kodifitseerimise kohane kood või selle puudumisel riiklik kood.</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 peab olema kordumatu ja seda tuleb kasutada järjepidevalt kõikides vormides.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Rühm või individuaalne vastaspool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Asutus märgib individuaalsete suuremate vastaspoolte puhul „1“ ja omavahel seotud klientide rühmade puhul „2“.</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Vastaspoole asutamisriigi kahetäheline kood standardi ISO 3166-1 järgi. See hõlmab rahvusvaheliste organisatsioonide pseudo-ISO koode, mis on kättesaadavad Eurostati maksebilansi käsiraamatu viimases väljaandes.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Riik määratakse kindlaks vastaspoole registreeritud asukoha järgi. Omavahel seotud klientide rühmade puhul märgitakse emaettevõtja asutamisriik.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Igale vastaspoolele määratakse järgmiste FINREPi majandussektorite klasside alusel (FINREPi V lisa 1. osa 6. peatükk) üks sektor:</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keskpangad</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valitsemissektor</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krediidiasutused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muud finantssektori äriühingud</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finantssektorivälised äriühingud</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kodumajapidamised</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Omavahel seotud klientide rühmade puhul majandussektorit ei märgita.</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Liik</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Kohustuse liik on üks vormis „Z 02.00 – Kohustuste struktuur (LIAB)“ loetletud liikidest, nimelt:</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kohustused, mis jäävad kohustuste ja nõudeõiguste teisendamisest välja</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hoiused, tagamata, aga eeliskohtlemisel</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hoiused, tagamata ja muud kui eeliskohtlemisel</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tuletisinstrumentidest tulenevad kohustused</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Kollateraliseerimata tagatud kohustused</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struktureeritud väärtpaberid</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kõrgema nõudeõiguse järgu tagatiseta kohustused</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Kõrgema nõudeõiguse järgu mitte-eelistatud kohustused</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allutatud kohustused (ei kajastata omavahenditena)</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muud omavahendite ja kõlblike kohustuste miinimumnõuete kohaselt kõlblikud kohustused</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mitterahalised kohustused</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muud kohustused</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Kui suurema vastaspoole ees kehtivad kohustused koosnevad rohkem kui ühest kõnealusest liigist, kajastatakse iga kohustuse liik eraldi real.</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Summa</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Summa on samaväärne vormis „Z 02.00 – Kohustuste struktuur“ ette nähtud tagasimaksmata summa määratlusega. Tuletisinstrumentidest tulenevate kohustuste (liik L.3) puhul kajastatakse tasaarvestussummad, nagu on määratud kindlaks vormi Z 02.00 rea 0333 puhul.</w:t>
            </w:r>
          </w:p>
        </w:tc>
      </w:tr>
    </w:tbl>
    <w:p w14:paraId="3AE50F86" w14:textId="77777777" w:rsidR="00627D51" w:rsidRPr="00AC30C9"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Suuremad bilansivälised vastaspooled. Juhised konkreetsete kirjete kohta</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0020 ja 0060 kajastatud väärtuste kombinatsioon moodustab primaarvõtme, mis peab olema vormi iga rea puhul kordumatu.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r>
              <w:rPr>
                <w:rFonts w:ascii="Times New Roman" w:hAnsi="Times New Roman"/>
                <w:color w:val="000000" w:themeColor="text1"/>
                <w:sz w:val="20"/>
                <w:szCs w:val="20"/>
              </w:rPr>
              <w:lastRenderedPageBreak/>
              <w:t>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lastRenderedPageBreak/>
              <w:t>Vastaspool</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Teave suuremate bilansiväliste vastaspoolte kohta.</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Suuremad bilansivälised vastaspooled määratakse kindlaks, liites kokku selliste kohustuste ja finantstagatiste nominaalse kogusumma (nagu on määratletud FINREPi puhul, vorm F 09), mille on saanud ettevõtja või ettevõtjate grupp, kelle kohta vormi täidetakse, vastaspooltelt või omavahel seotud klientide rühmalt. Suuremad bilansivälised vastaspooled ei hõlma ettevõtjaid, kes on hõlmatud grupi konsolideeritud finantsaruannetega. Vastaspooled ja omavahel seotud klientide rühmad järjestatakse seejärel kogusumma alusel, et teha kindlaks kümme esimest suurimat bilansivälist vastaspoolt, kelle kohta selles vormis teavet antakse.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Selle vormi puhul kajastatakse üksnes vastaspooli, kes ei ole konsolideeritud finantsaruannetega hõlmatud.</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vormi Z 05.01 veeru 0010 kohta antud juhiseid</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vormi Z 05.01 veeru 0020 kohta antud juhiseid</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Rühm või individuaalne vastaspool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vormi Z 05.01 veeru 0030 kohta antud juhiseid</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vormi Z 05.01 veeru 0040 kohta antud juhiseid</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Vt vormi Z 05.01 veeru 0050 kohta antud juhiseid</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Liik</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Bilansivälise kirje liik on üks järgmistest, nagu on määratletud FINREPis, vorm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siduvad laenuandmiskohustused aruande esitaja ees</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saadud finantsgarantiid</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muud siduvad kohustused aruande esitaja ees</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suuremalt vastaspoolelt saadud bilansivälised kirjed koosnevad rohkem kui ühest kõnealusest liigist, kajastatakse iga bilansivälise kirje liik eraldi real.</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Summa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38700"/>
      <w:r>
        <w:rPr>
          <w:rFonts w:ascii="Times New Roman" w:hAnsi="Times New Roman"/>
          <w:szCs w:val="20"/>
        </w:rPr>
        <w:t>Z 06.00 – Hoiuste tagamine (DIS)</w:t>
      </w:r>
      <w:bookmarkEnd w:id="20"/>
      <w:bookmarkEnd w:id="21"/>
    </w:p>
    <w:p w14:paraId="3E891384" w14:textId="77777777" w:rsidR="008F7980" w:rsidRPr="00D92B3C" w:rsidRDefault="006A7DCF" w:rsidP="00715DAB">
      <w:pPr>
        <w:pStyle w:val="Instructionsberschrift3"/>
      </w:pPr>
      <w:r>
        <w:t>Üldised märkused</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Selles vormis esitatakse ülevaade hoiuste tagamisest grupis. Selles vormis kajastatakse hoiuste tagamise skeemi, kui konsolideerimisgrupi asjaomane juriidiline isik on selle liige.</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Iga gruppi kuuluv krediidiasutus kajastatakse eraldi real.</w:t>
      </w:r>
    </w:p>
    <w:p w14:paraId="039239B2" w14:textId="77777777" w:rsidR="006A7DCF" w:rsidRPr="00D92B3C" w:rsidRDefault="006A7DCF" w:rsidP="00715DAB">
      <w:pPr>
        <w:pStyle w:val="Instructionsberschrift3"/>
      </w:pPr>
      <w:r>
        <w:t>Juhised konkreetsete kirjete kohta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Ettevõtja</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Ettevõtja nimi, nagu on märgitud vormis „Z 01.00 – Organisatsiooniline struktuur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Ettevõtja kood, nagu on märgitud vormis „Z 01.00 – Organisatsiooniline struktuur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See kood on rea tunnus ja peab vormi iga rea puhul olema kordumatu.</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Hoiuste tagamise skeem</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2014/49/EL artikli 4 lõige 3</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Ametlikult tunnustatud hoiuste tagamise skeemi nimi, mille liige ettevõtja direktiivi 2014/49/EL alusel on. See on ettevõtja asutamise liikmesriigi hoiuste tagamise skeem, välja jäetakse muud hoiuste tagamise skeemid teistes liikmesriikides, mis võivad tagada ettevõtja klientidele selles liikmesriigis asuvas filiaalis lisakaitse (lisakindlustus). Kui asutus on sellise krediidiasutuste ja investeerimisühingute kaitseskeemi liige, mis on ametlikult tunnustatud kui hoiuste tagamise skeem kooskõlas direktiivi 2014/49/EL artikli 4 lõikega 2, on hoiuste tagamise skeemi nimi sama nagu krediidiasutuste ja investeerimisühingute kaitseskeemi nimi real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Iga ettevõtja asutamisriigi puhul valitakse hoiuste tagamise skeem järgmiste seast.</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Belgia</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Horvaatia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Küpros</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Tšehhi</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Taani</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Eesti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Soome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Prantsusmaa</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Saksamaa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Kreeka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Ungari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Iirimaa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Itaalia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Läti</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Leedu</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Luksemburg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Madalmaad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Norra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Poola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Rumeenia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Slovakkia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Hispaania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Rootsi</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ametlikult tunnustatud hoiuste tagamise skeemi, mille liige ettevõtja on, ei ole eespool loetletud, märgitakse „Muu“.</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Tagatud hoiuste summa</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2014/49/EL artikli 2 lõike 1 punkt 5 ja artikli 6 lõige 2</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Tagatud hoiuste summa, nagu on määratletud direktiivi 2014/49/EL artikli 2 lõike 1 punktis 5 koostoimes artikliga 6, mida hõlmab hoiuste tagamise skeem real 00030, välja arvatud direktiivi 2014/49/EL artikli 6 lõikes 2 määratletud ajutiselt suured kontojäägid.</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Krediidiasutuste ja investeerimisühingute kaitseskeem</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artikli 113 lõige 7</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575/2013 artikli 113 lõikes 7 osutatud sellise krediidiasutuste ja investeerimisühingute kaitseskeemi nimi, mille liige ettevõtja on. Kui ettevõtja ei ole ühegi krediidiasutuste ja investeerimisühingute kaitseskeemi liige, ärge märkige midagi. Kui ettevõtja on sellise krediidiasutuste ja investeerimisühingute kaitseskeemi liige, mis on ametlikult tunnustatud kui hoiuste tagamise skeem kooskõlas direktiivi 2014/49/EL artikli 4 lõikega 2, on krediidiasutuste ja investeerimisühingute kaitseskeemi nimi sama nagu hoiuste tagamise skeemi nimi real 030.</w:t>
            </w:r>
          </w:p>
          <w:p w14:paraId="76DBA0CC" w14:textId="77777777" w:rsidR="0057049E" w:rsidRPr="00BC5CD5"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Lisakaitse lepingulise skeemi alusel</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Direktiivi 2014/49/EL artikli 1 lõike 3 punkt a</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Lepingulise skeemiga hõlmatud hoiuste summa ettevõtjas.</w:t>
            </w:r>
          </w:p>
        </w:tc>
      </w:tr>
    </w:tbl>
    <w:p w14:paraId="54A835DD" w14:textId="77777777" w:rsidR="0057049E" w:rsidRPr="00AC30C9"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38701"/>
      <w:r>
        <w:rPr>
          <w:rFonts w:ascii="Times New Roman" w:hAnsi="Times New Roman"/>
          <w:szCs w:val="20"/>
        </w:rPr>
        <w:t>Kriitilised funktsioonid ja põhiäriliinid</w:t>
      </w:r>
      <w:bookmarkEnd w:id="23"/>
      <w:bookmarkEnd w:id="24"/>
    </w:p>
    <w:p w14:paraId="7F5A1735" w14:textId="77777777" w:rsidR="00AA4026" w:rsidRPr="00D92B3C" w:rsidRDefault="00AA4026" w:rsidP="00715DAB">
      <w:pPr>
        <w:pStyle w:val="Instructionsberschrift3"/>
      </w:pPr>
      <w:r>
        <w:t>Üldised märkused</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osa neljas vormis antakse olulisi andmeid ja kvalitatiivseid hinnanguid grupi pakutavate majanduslike funktsioonide mõju, asendatavuse ja kriitilisuse kohta ning kaardistatakse need kriitilised funktsioonid põhiäriliinide ja juriidiliste isikute järgi.</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Täpsemalt kajastavad vormid nelja teemat.</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Vormis „Z 07.01 – Majanduslike funktsioonide kriitilisuse hinnang (FUNC 1)“ tehakse kvantitatiivsete ja kvalitatiivsete näitajate põhjal kindlaks kriitilised ja mittekriitilised funktsioonid, mida grupp täidab igas liikmesriigis, kus ta tegutseb.</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Vormis „Z 07.02 – Kriitiliste funktsioonide kaardistus juriidiliste isikute järgi (FUNC 2)“ kaardistatakse kindlaks määratud kriitilised funktsioonid juriidiliste isikute järgi ning hinnatakse, kas iga juriidilist isikut peetakse seoses kriitilise funktsiooni täitmisega oluliseks või mitte.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Vormis „Z 07.03 – Põhiäriliinide kaardistus juriidiliste isikute järgi (FUNC 3)“ esitatakse täielik loetelu põhiäriliinidest ja kaardistatakse need juriidiliste isikute järgi.</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Vormis „Z 07.04 – Kriitiliste funktsioonide kaardistus põhiäriliinide järgi (FUNC 4)“ kaardistatakse kindlaks määratud kriitilised funktsioonid äriliinide järgi.</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Direktiivi 2014/59/EL artikli 2 lõike 1 punkti 35 kohaselt on kriitilised funktsioonid tegevus, teenused või tegevused, mille seiskumine toob ühes või enamas liikmesriigis tõenäoliselt kaasa reaalmajanduse jaoks oluliste teenuste katkemise või häirib tõenäoliselt finantsstabiilsust krediidiasutuse või </w:t>
      </w:r>
      <w:r>
        <w:rPr>
          <w:rFonts w:ascii="Times New Roman" w:hAnsi="Times New Roman"/>
          <w:sz w:val="20"/>
          <w:szCs w:val="20"/>
        </w:rPr>
        <w:lastRenderedPageBreak/>
        <w:t xml:space="preserve">investeerimisühingu või konsolideerimisgrupi suuruse, turuosa, välise ja sisemise seotuse, keerukuse või piiriülese tegevuse tõttu, pidades eelkõige silmas kõnealuste tegevuste, teenuste või tegevuste asendatavust.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rPr>
        <w:t>Kooskõlas komisjoni delegeeritud määruse (EL) 2016/778</w:t>
      </w:r>
      <w:r>
        <w:rPr>
          <w:rFonts w:ascii="Times New Roman" w:hAnsi="Times New Roman" w:cs="Times New Roman"/>
          <w:vertAlign w:val="superscript"/>
          <w:lang w:val="en-GB"/>
        </w:rPr>
        <w:footnoteReference w:id="18"/>
      </w:r>
      <w:r>
        <w:rPr>
          <w:rFonts w:ascii="Times New Roman" w:hAnsi="Times New Roman"/>
        </w:rPr>
        <w:t xml:space="preserve"> artikli 6 lõikega 1 käsitletakse funktsiooni kriitilisena, kui see vastab mõlemale järgmisele kriteeriumile:</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asutus täidab funktsiooni asutuse või grupiga mitteseotud kolmandate isikute jaoks ning</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kõnealuse funktsiooni ootamatu katkemine avaldaks tõenäoliselt olulist negatiivset mõju kolmandatele isikutele, põhjustaks finantsraskuste levimist või vähendaks turuosaliste üldist kindlustunnet, sest funktsioon on kolmandatele isikutele süsteemselt oluline ning asutus või grupp on funktsiooni täitmisel süsteemselt oluline.</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Vastavalt direktiivi 2014/59/EL artikli 2 lõike 1 punktile 36 on põhiäriliinideks äriliinid ja nendega seotud teenused, mis on selle asutuse või grupi, kuhu asutus kuulub, tulude, kasumi või frantsiisiväärtuse olulised allikad.</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puhul tähendavad majanduslikud funktsioonid allpool esitatud tabelis loetletud funktsioone.</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Majanduslike funktsioonide iga kategooria puhul võib valida majandusliku funktsiooni „muud“, kui funktsioon ei ole hõlmatud teiste eelnevalt kindlaks määratud funktsioonidega.</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Ridadel 0010–0070 ja 0080–0150 osutatud vastaspooled määratakse kindlaks samamoodi vastaspoole sektoritega, nagu on sätestatud FINREPi V lisa 1. osa 6. peatükis. VKE tähendab VKEsid, mis on määratletud FINREPi V lisa 1. osa punkti 5 alapunktis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Tunnus</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Majanduslik funktsioon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Hoiused</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Hoiuste võtmine tähendab hoiuste võtmist mittefinantsvahendajatelt. See ei hõlma laenuvõtmist teistelt finantsvahendajatelt, mida käsitletakse eraldi hulgirahastamise all.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Hoiused hõlmavad i) arvelduskontosid/üleööhoiuseid, ii) kokkulepitud tähtajaga hoiuseid ja iii) etteteatamistähtajaga lõpetatavaid hoiuseid ning ei hõlma repolepinguid.</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Viited: finantsstabiilsuse nõukogu suunis kriitiliste funktsioonide ja kriitiliste jagatud teenuste kindlaksmääramise kohta (2013), lk 14; määruse (EL) nr 1071/2013 II lisa 2. osa kirjed 9.1, 9.2 ja 9.3.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Kodumajapidamised</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Finantssektorivälised äriühingud (VKEd)</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Finantssektorivälised äriühingud (muud kui VKEd)</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Valitsemissektor</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Muud sektorid/vastaspooled (1), (2) ja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Laenuandmine</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Laenuandmine tähendab vahendite andmist finantssektorivälistele vastaspooltele, nagu äri- või jaekliendid. Laenuandmine finantssektori vastaspooltele on eraldi tegevus ja seda hinnatakse hulgirahastamise all. Laenud hõlmavad asutuste hoitavaid võlainstrumente, aga ei hõlma võlainstrumente, mis on väärtpaberid, nende raamatupidamislikust liigitusest hoolimata.</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Viited: finantsstabiilsuse nõukogu suunis kriitiliste funktsioonide ja kriitiliste jagatud teenuste kindlaksmääramise kohta (2013), lk 17; määruse (EL) nr 1071/2013 II lisa 2. osa kirje 2.</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Kodumajapidamised – eluasemelaenud</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Eluasemelaenud on laenud, mida antakse kodumajapidamistele nende enda kasutuseks ja üürimiseks mõeldud eluasemetesse investeerimiseks, sealhulgas ehitamiseks ja renoveerimiseks.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Kodumajapidamised – muud laenud</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Finantssektorivälised äriühingud – VKEd</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Finantssektorivälised äriühingud – muud kui VKEd</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Valitsemissektor</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Muud sektorid/vastaspooled (1), (2) ja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Makse-, sularaha-, arveldus-, kliirimis-, hoidmisteenused</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Viide: finantsstabiilsuse nõukogu suunis kriitiliste funktsioonide ja kriitiliste jagatud teenuste kindlaksmääramise kohta (2013), lk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Selle osaga hõlmatud majanduslikud funktsioonid koosnevad makse-, sularaha-, arveldus-, kliirimis- ja hoidmisteenuste pakkumisest krediidiasutuse poolt vahendajana oma klientide vahel või kliendi ning ühe või mitme asjaomase finantsturutaristu vahel või teiste pankade jaoks finantsturutaristutele (kaudse) juurdepääsu võimaldamisest. Kooskõlas finantsstabiilsuse nõukogu suunistega kriitiliste funktsioonide ja kriitiliste jagatud teenuste kindlaksmääramise kohta piirduvad makse-, kliiringu- ja arveldusfunktsioonid teenustega, mida pangad pakuvad oma klientidele. See kategooria ei hõlma teenuseid, mida pakuvad (puhtad) finantsturutaristu pakkujad. Selle vormi täitmisel hõlmavad finantsturutaristud maksesüsteeme, väärtpaberiarveldussüsteeme, väärtpaberite keskdepositooriumeid ja keskseid vastaspooli (ega hõlma kauplemisteabehoidlaid).</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Terminitel „makseteenus“, „maksetehing“ ja „maksesüsteem“ on sama tähendus, mis on määratud kindlaks vastavalt Euroopa Parlamendi ja nõukogu direktiivi (EL)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artikli 4 punktides 3, 5 ja 7.</w:t>
            </w:r>
          </w:p>
          <w:p w14:paraId="6873CCB9" w14:textId="77777777" w:rsidR="007827E9" w:rsidRPr="00BC5CD5"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Makseteenused rahaloomeasutustele</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See rida hõlmab väliste maksesüsteemide abil või ilma nendeta rahaloomeasutustele pakutavaid makseteenuseid. See hõlmab ka korrespondentpankade teenuseid (nendega seotud makseid). Rahaloomeasutused koosnevad kõikidest institutsionaalsetest üksustest, mida alamsektorid hõlmavad: i) keskpank; ii) hoiuseid kaasavad ettevõtted, v.a keskpank, ja iii) rahaturufondid.</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Makseteenused mitterahaloomeasutustele</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Väliste maksesüsteemide abil või ilma nendeta klientidele pakutavad makseteenused. Hõlmatud on üksnes füüsilised või juriidilised isikuid, kes ei kuulu rahaloomeasutuste sektorisse. Makseteenuste pakkujad ei kuulu mitterahaloomeasutuste sektorisse.</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Sularahateenused</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Sularahateenuste pakkumine klientidele (nii üksikisikutele kui ka ettevõtetele, üksnes mitterahaloomeasutused). Need teenused kujutavad endast sularahaautomaatidest ja filiaalidest raha väljavõtmist ega hõlma muid sularahateenuseid (sealhulgas massijaemüüjatele osutatavad sularahaveoteenused). Sularaha väljavõtmine tšekkidega ja filiaalides, kasutades panga vorme (mille puhul kaarte võidakse kasutada tuvastusvahendina), kuulub samuti siia.</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Väärtpaberiarveldusteenused</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Teenused, mida pakutakse klientidele väärtpaberitehingute kinnitamiseks, kliirimiseks ja arveldamiseks väärtpaberiarveldussüsteemide abil või ilma nendeta. „Arveldus“ on väärtpaberitehingu lõpuleviimine, sõltumata sellest, kus see sõlmiti, eesmärgiga täita kõnealuse tehingu poolte kohustused, kandes selleks üle raha ja/või väärtpaberid.</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Kesksete vastaspoolte kliirimisteenused</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Klientidele pakutavad väärtpaberite ja tuletisinstrumentide kliirimise teenused. See hõlmab ka kesksele vastaspoolele kaudse juurdepääsu võimaldamist.</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Hoidmisteenused</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Finantsinstrumentide hoidmine ja haldamine klientide nimel ning hoidmisega seotud teenused, näiteks sularaha ja tagatiste haldamine.</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Muud teenused/toimingud/funktsioonid (1), (2) ja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Kapitaliturud</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Kapitaliturgude toimingud viitavad väärtpaberite emiteerimisele ja nendega kauplemisele, seotud nõustamisteenustele ja muudele seotud teenustele, nagu peamaakleri teenused ja turutegemine.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Kauplemiseks hoitavad tuletisinstrumendid (börsivälised)</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Määruse (EL) nr 648/2012 artikli 2 lõiked 5 ja 7.</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Tuletisinstrument või tuletisleping on finantsinstrument, mis on määratletud direktiivi 2014/65/EL I lisa C jao punktides 4–10, nagu seda on rakendatud komisjoni määruse (EÜ) nr 1287/2006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 xml:space="preserve"> artiklitega 38 ja 39.</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Börsiväline tuletisinstrument või börsiväline tuletisleping on tuletisleping, mida ei täideta reguleeritud turul direktiivi 2014/65/EL artikli 4 lõike 1 punkti 21 tähenduses ega kolmanda riigi turul, mida määruse (EL) nr 648/2012 artiklil 2a kohaselt käsitatakse reguleeritud turuga samaväärsena.</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Kajastatav summa hõlmab üksnes börsivälisel turul kaubeldavaid tuletisinstrumente.</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Kauplemiseks hoitavad tuletisinstrumendid (muud kui börsivälised)</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Kõik kauplemiseks hoitavad tuletisinstrumendid, välja arvatud kauplemiseks hoitavad börsivälised tuletisinstrumendid.</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Järelturud/kauplemine</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Järelturul investorid ostavad ja müüvad väärtpabereid. See funktsioon kehtib kogu kauplemisportfelli suhtes (st aktsiad, ettevõttelaenud, valitsemissektori laenud).</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Kajastatav summa peab hõlmama väärtpaberite väärtust mõõdetuna kauplemiseks hoitavate väärtpaberite kogusummana. Väärtpabereid kajastatakse õiglases väärtuses aruandekuupäeval.</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Summa ei hõlma laene, tuletisinstrumente ja mittekaubeldavaid varasid (nt nõuded).</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Esmasturud / väärtpaberite emissiooni tagamine</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Esmasturud on turud, kus ettevõtjad, valitsused ja muud grupid emiteerivad börsidel uusi väärtpabereid, et saada rahastamist võla- või aktsiapõhiste väärtpaberite (nt liht- ja eelisaktsiad, ettevõtete võlakirjad, väärtpaberid, vekslid, riigivõlakirjad) kaudu. Esmasturge toetavad väärtpaberite emissiooni tagajate grupid.</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Muud teenused/toimingud/funktsioonid (1), (2) ja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lastRenderedPageBreak/>
              <w:t>Hulgirahastamine</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Hulgiturgudel finantssektori vastaspooltele (krediidiasutused ja muud finantssektori äriühingud) laenu andmine ja neilt laenu võtmine.</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Laenuvõtmine</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Hulgiturgudel finantssektori vastaspooltelt laenu võtmine (sealhulgas repolepingute, pankadevahelise laenuvõtmise, kommertsväärtpaberite, hoiusesertifikaatide, rahaturufondide, krediidiliinide, varaga tagatud kommertsväärtpaberite ja anonüümsete hoiuste kaudu).</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Tuletisinstrumendid (varad)</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Kõik tuletisinstrumendid finantssektori vastaspooltega, mida kajastatakse bilansi varade poolel. Erinevalt kapitaliturgude tuletisinstrumentidest hõlmavad hulgirahastamise tuletisinstrumendid kõiki tuletisinstrumentide lepinguid finantssektori vastaspooltega (ei piirdu välkkauplemisega).</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Laenuandmine</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Hulgiturgudel finantssektori vastaspooltele laenu andmine (sealhulgas pöördrepolaenude, kommertsväärtpaberite, hoiusesertifikaatide, rahaturufondide, krediidiliinide, varaga tagatud kommertsväärtpaberite ja anonüümsete hoiuste kaudu).</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Tuletisinstrumendid (kohustused)</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Kõik tuletisinstrumendid finantssektori vastaspooltega, mida kajastatakse bilansi kohustuste poolel.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Muud liiki tooted (1), (2) ja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Kõik majandusliku funktsiooni „Hulgirahastamine“ funktsioonid, mis ei ole hõlmatud punktidega 5.1–5.4.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Majanduslike funktsioonide kriitilisuse hinnang (FUNC 1). Juhised konkreetsete kirjete kohta</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Sellel vormil esitatakse andmeid üks kord iga liikmesriigi kohta (tuvastatud kui riik), kus grupp tegutseb.</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See hõlmab selles liikmesriigis grupi ettevõtjate täidetavaid majanduslikke funktsioone, olenemata sellest, kas see funktsioon on kriitiline või mitte.</w:t>
      </w:r>
    </w:p>
    <w:p w14:paraId="0F54907C" w14:textId="77777777" w:rsidR="005244DF" w:rsidRPr="00BC5CD5"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Read</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Majanduslikud funktsioonid</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Majanduslikud funktsioonid vastavalt eespool määratletule</w:t>
            </w:r>
          </w:p>
        </w:tc>
      </w:tr>
    </w:tbl>
    <w:p w14:paraId="1B2F7A7F" w14:textId="77777777" w:rsidR="0056559D" w:rsidRPr="00BC5CD5"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Majandusliku funktsiooni kirjeldus</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Kui majanduslik funktsioon on muud liiki (funktsioonid 1.5–1.7, 2.6–2.8, 3.7–3.9, 4.5–4.7, 5.5–5.7), esitatakse selle funktsiooni kirjeldus.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Turuosa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Asutuse või grupi hinnanguline turuosa majandusliku funktsiooni puhul asjaomases riigis. Protsent koguturust, arvestades rahalist summat.</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Rahaline summa</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Selle veeru sisu sõltub täidetavast majanduslikust funktsioonist.</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Hoiused</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Aktsepteeritud hoiuste bilansiline jääkmaksumus (sealhulgas kogunenud intress).</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Viited: FINREPi III ja IV lisa, vorm F 08.01 ja V lisa 2. osa punkt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Laenuandmine</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Vähenemata ja vähenenud väärtusega laenude ja ettemaksete (sealhulgas kogunenud intressi) bruto bilansiline jääkmaksumus. Laenuandmise mahtu kasutatakse ligikaudse väärtusena eeldatava tulevase laenuandmise kohta.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Viited: FINREPi III ja IV lisa, vorm 04.04.01 ja V lisa 1. osa punkti 34 alapunkt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Makse-, sularaha-, arveldus-, kliirimis-, hoidmisteenused</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Üldreeglina esitatakse aasta jooksul tehtud päevatehingute keskmine. Kui see näitaja ei ole kättesaadav, võib esitada lühema perioodi (nt mõne kuu) keskmise.</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Seoses eri funktsioonidega tuleks esitada järgmised näitajad.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Makseteenused (3.1 ja 3.2): saadetud tehingute väärtus. </w:t>
            </w:r>
            <w:r>
              <w:t xml:space="preserve"> </w:t>
            </w:r>
            <w:r>
              <w:br/>
            </w:r>
            <w:r>
              <w:rPr>
                <w:rFonts w:ascii="Times New Roman" w:hAnsi="Times New Roman"/>
                <w:color w:val="000000" w:themeColor="text1"/>
                <w:sz w:val="20"/>
                <w:szCs w:val="20"/>
              </w:rPr>
              <w:t>(Viited: määruse (EL) nr 2015/2366 artikli 4 lõige 5; EKP/2013/43</w:t>
            </w:r>
            <w:r>
              <w:rPr>
                <w:rStyle w:val="FootnoteReference"/>
                <w:rFonts w:eastAsia="Cambria" w:cs="Times New Roman"/>
                <w:color w:val="000000" w:themeColor="text1"/>
                <w:spacing w:val="-2"/>
                <w:w w:val="95"/>
                <w:lang w:val="en-GB"/>
              </w:rPr>
              <w:footnoteReference w:id="21"/>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Sularahateenused (3.3): sularahaautomaatides tehtud tehingute väärtus, nagu on määratletud dokumendi EKP/2013/43 tabelis 7, samuti pangakontoris sularaha väljavõtmised, nagu on määratletud dokumendi EKP/2014/15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tabelis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Väärtpaberiarveldusteenused (3.4): klientide nimel töödeldud väärtpaberiülekannete väärtus. See hõlmab väärtpaberiarveldussüsteemides või aruandvate asutuste sees arveldatud tehinguid ja maksevabasid tehinguid.</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Kesksete vastaspoolte kliirimisteenused (3.5): positsioonid (riskipositsioon), mida kesksed vastaspooled, mille liige asutus on, võtavad asutuses klientide nimel. Palume kajastada nende avatud positsioonide keskmine päevaväärtus, mis on seotud kliendi tegevusega keskse vastaspoole juures. Kui see näitaja ei ole kättesaadav, võib esitada lühema perioodi (nt mõne kuu) keskmised.</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Hoidmisteenused (3.6): hoitavate varade summa, kasutades õiglast väärtust. Kui õiglane väärtus ei ole kättesaadav, võib kasutada ka muid mõõtmisaluseid, sealhulgas nimiväärtust. Kui asutus osutab teenuseid sellistele üksustele nagu ühiseks investeerimiseks loodud ettevõtjad või pensionifondid, võib asjaomaseid varasid näidata väärtuses, millega need üksused kajastavad need varad enda bilansis. Esitatud summad sisaldavad asjakohasel juhul kogunenud intressi. </w:t>
            </w:r>
            <w:r>
              <w:t xml:space="preserve"> </w:t>
            </w:r>
            <w:r>
              <w:br/>
            </w:r>
            <w:r>
              <w:rPr>
                <w:rFonts w:ascii="Times New Roman" w:hAnsi="Times New Roman"/>
                <w:color w:val="000000" w:themeColor="text1"/>
                <w:sz w:val="20"/>
                <w:szCs w:val="20"/>
              </w:rPr>
              <w:t>(Viide: FINREPi III ja IV lisa, vorm F 22.02, veerg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Kapitaliturud</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Nimiväärtus – kajastada üksnes tuletisinstrumentide kohta (4.1–4.2): kõikide sõlmitud ja aruandekuupäeval veel arveldamata tehingute brutonimiväärtus.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Viited: FINREPi V lisa 2. osa punkti133 määratluse puhul; FINREPi III, IV ja V lisa andmete puhul.</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Tuletisinstrumendid kokku (4.1–4.2): vormi F 10.00 veeru 030 rida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Börsivälised tuletisinstrumendid (4.1): vormi F 10.00 veeru 030 read 300 + 310 + 320.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Järelturul tehtavad toimingud (4.3). Bilansilises jääkmaksumuses varad – bilansi varade poolel kajastatav bilansiline jääkmaksumus, sealhulgas kogunenud intress [FINREP: V lisa 1. osa punkt 27] kapitaliinstrumentide ja võlaväärtpaberite puhul [FINREP: V lisa 1. osa punkt 31], liigitatud kui kauplemiseks hoitavad [FINREP: V lisa 1. osa punkti 15 </w:t>
            </w:r>
            <w:r>
              <w:rPr>
                <w:rFonts w:ascii="Times New Roman" w:hAnsi="Times New Roman"/>
                <w:color w:val="000000" w:themeColor="text1"/>
                <w:sz w:val="20"/>
                <w:szCs w:val="20"/>
              </w:rPr>
              <w:lastRenderedPageBreak/>
              <w:t>alapunkt a ja punkti 16 alapunkt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Viide: FINREP: III lisa, vormi F 04.01 veeru 010 read 010 + 060 + 120.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Esmasturud (4.4): teenustasutulu – teenus- ja komisjonitasud, mis on saadud selliste väärtpaberite koostamisel või emiteerimisel osalemise eest, mida ei ole koostanud või emiteerinud krediidiasutus või investeerimisühing.</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Viide: FINREP: III ja IV lisa, vormi F 22.01 veeru 010 read 030 + 180.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Hulgirahastamine</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Kasutada bruto bilansilist jääkmaksumust, mis on määratletud FINREPis.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Viited: FINREP: V lisa 1. osa punkt 34, FINREP: III ja IV lisa, vormid.</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Laenuvõtmine (5.1): vormi F 20.06 veeru 010 read 100 + 110, kõik riigid.</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Tuletisinstrumendid (varad) (5.2): vormi F 20.04 veeru 010 rida 010, kõik riigid.</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Laenuandmine (5.3): vormi F 20.04 veeru 010 read 170 + +180, kõik riigid.</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Tuletisinstrumendid (kohustused) (5.4): vormi F 20.06 veeru 010 rida 010, kõik riigid.</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Numbriline näitaja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Selle veeru sisu sõltub täidetavast majanduslikust funktsioonist.</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Hoiused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Nende klientide koguarv, kes on hoiustanud rahalise summa all kajastatud väärtuseid. Kui klient kasutab rohkem kui üht hoiustamistoodet/kontot, võetakse klienti arvesse ainult üks kord.</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Laenuandmine</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Klientide arv kokku. Kui klient kasutab mitut laenutoodet/kontot, võetakse klienti arvesse ainult üks kord.</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Makse-, sularaha-, arveldus-, kliirimis-, hoidmisteenused</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Üldreeglina esitatakse aasta jooksul tehtud päevatehingute keskmised. Kui need näitajad ei ole kättesaadavad, võib esitada lühema perioodi (nt mõne kuu) keskmised.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Seoses eri funktsioonidega tuleks esitada järgmised näitajad.</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Makseteenused (3.1–3.2): tehtud tehingute arv. </w:t>
            </w:r>
            <w:r>
              <w:t xml:space="preserve"> </w:t>
            </w:r>
            <w:r>
              <w:br/>
            </w:r>
            <w:r>
              <w:rPr>
                <w:rFonts w:ascii="Times New Roman" w:hAnsi="Times New Roman"/>
                <w:color w:val="000000" w:themeColor="text1"/>
                <w:sz w:val="20"/>
                <w:szCs w:val="20"/>
              </w:rPr>
              <w:t>Viited: määruse (EL) nr 2015/2366 artikli 4 lõige 5; EKP/2013/43.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Sularahateenused (3.3): sularahaautomaatides tehtud tehingute arv, nagu on määratletud dokumendi EKP/2013/43 tabelis 7, samuti pangakontoris sularaha väljavõtmised, nagu on määratletud dokumendi EKP/2014/15 tabelis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Väärtpaberiarveldusteenused (3.4): klientide nimel töödeldud väärtpaberiülekandetehingute arv. See hõlmab väärtpaberiarveldussüsteemides või aruandva asutuse või grupi sees arveldatud tehinguid ja maksevabasid tehinguid.</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Kapitaliturud</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Tehingute või vastaspoolte arv. Tuletisinstrumentide (4.1–4.2) ja järelturu instrumentide (4.3) puhul vastaspoolte koguarv. Esmasturgude (4.4) puhul sõlmitud tehingute koguarv.</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Hulgirahastamine</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Vastaspoolte arv kokku. Kui vastaspoolel on rohkem kui üks konto ja/või rohkem kui üks tehing, võetakse vastaspoolt arvesse ainult üks kord.</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Mõju turule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Funktsiooni ootamatu katkemise hinnanguline mõju kolmandatele isikutele, finantsturgudele ja reaalmajandusele, võttes arvesse asutuse suurust, turuosa riigis, väliseid ja sisemisi omavahelisi seoseid, keerukust ning piiriülest tegevust.</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Seda hinnangut väljendatakse kvalitatiivselt: suur (H), keskmine kuni suur (MH), keskmine kuni </w:t>
            </w:r>
            <w:r>
              <w:rPr>
                <w:rFonts w:ascii="Times New Roman" w:hAnsi="Times New Roman"/>
                <w:color w:val="000000" w:themeColor="text1"/>
                <w:sz w:val="20"/>
                <w:szCs w:val="20"/>
              </w:rPr>
              <w:lastRenderedPageBreak/>
              <w:t>väike (ML) või väike (L) mõju.</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valitakse juhul, kui katkestusel on suur mõju riigisisesele turule; MH valitakse juhul, kui mõju on märkimisväärne; ML valitakse juhul, kui mõju on suur, aga piiratud, ja L valitakse juhul, kui mõju on väike.</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Asendatavus</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Delegeeritud määruse (EL) 2016/778 artikli 6 lõige 3.</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Funktsiooni käsitletakse asendatavana, kui seda saab aktsepteeritaval viisil ja mõistliku aja jooksul asendada, hoides seega ära süsteemsed probleemid reaalmajanduse ja finantsturgude jaoks. Arvesse võetakse järgmist:</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asjaomase funktsiooni turu struktuur ja alternatiivsete teenuseosutajate olemasolu;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muude teenuseosutajate suutlikkus seoses võimekuse, funktsiooni täitmise nõuete ja võimalike turule sisenemise või laienemise tõketega;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muude teenuseosutajate stiimul asjaomaste tegevustega tegelema hakkamiseks;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aeg, mida teenuse kasutajad vajavad, et minna üle uue teenuseosutaja juurde, ja selle ülemineku kulud; aeg, mida on vaja, et konkurendid saaksid funktsioonid üle võtta, ning see, kas sellest ajast piisab olulise katkestuse vältimiseks olenevalt teenuse liigist.</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Seda hinnangut väljendatakse kvalitatiivselt: suur (H), keskmine kuni suur (MH), keskmine kuni väike (ML) või väike (L) mõju.</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valitakse juhul, kui teine pank saab funktsiooni võrreldavatel tingimustel ja mõistliku ajavahemiku jooksul pakkuda;</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valitakse juhul, kui funktsiooni ei saa lihtsasti või kiiresti asendada;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ja ML valitakse vahepealsete juhtumite korral, võttes arvesse eri asjaolusid (nt turuosa, turu kontsentratsioon, asendamise aeg ning õiguslikud takistused ja operatsioonilised nõuded sisenemisele või laienemisele).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Kriitiline funktsioon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Selles veerus kajastatakse seda, kas majanduslikku funktsiooni peetakse asjaomases riigis turu jaoks kriitiliseks, võttes arvesse selles vormis esitatud kvantitatiivseid andmeid ja kriitilisuse näitajaid.</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Vastake „jah“ või „ei“.</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Kriitiliste funktsioonide kaardistus juriidiliste isikute järgi (FUNC 2). Juhised konkreetsete kirjete kohta</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See vorm täidetakse kogu grupi kohta. Selles vormis kajastatakse üksnes kriitilisena käsitatavad funktsioonid {Z 07.01;070} (liikmesriigi kohta).</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0010, 0020 ja 0040 kajastatud väärtuste kombinatsioon moodustab primaarvõtme, mis peab olema vormi iga rea puhul kordumatu.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Riik, mille puhul funktsioon on kriitiline, nagu on kajastatud vormis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Kriitiliste funktsioonide tunnus, nagu on määratletud eespool peatükis II.7.1 ja osutatud vormis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Kriitilist funktsiooni täitva ettevõtja nimi, nagu on märgitud vormis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samas riigis täidab sama kriitilist funktsiooni mitu ettevõtjat, kajastatakse iga ettevõtja eraldi real.</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Kriitilist funktsiooni täitva ettevõtja kood, nagu on märgitud vormis Z 01.00 „Organisatsiooniline struktuur“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Rahaline summa</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Juriidilise isiku osa rahalises summas, nagu on kirjeldatud vormi Z 07.01 (FUNC 1) veerus 0030. </w:t>
            </w:r>
          </w:p>
        </w:tc>
      </w:tr>
    </w:tbl>
    <w:p w14:paraId="1C505975" w14:textId="77777777" w:rsidR="0056559D" w:rsidRPr="00D92B3C" w:rsidRDefault="0056559D" w:rsidP="0056559D">
      <w:pPr>
        <w:rPr>
          <w:rFonts w:ascii="Times New Roman" w:hAnsi="Times New Roman" w:cs="Times New Roman"/>
          <w:color w:val="000000" w:themeColor="text1"/>
          <w:sz w:val="20"/>
          <w:szCs w:val="20"/>
          <w:lang w:val="en-GB"/>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Põhiäriliinide kaardistus juriidiliste isikute järgi (FUNC 3). Juhised konkreetsete kirjete kohta</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0020 ja 0040 kajastatud väärtuste kombinatsioon moodustab primaarvõtme, mis peab olema vormi iga rea puhul kordumatu.</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Selles vormis kajastatakse üksnes asjaomased juriidilised isikud.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Põhiäriliin</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Põhiäriliin vastavalt direktiivi 2014/59/EL artikli 2 lõike 1 punktile 36 ja komisjoni delegeeritud määruse (EL) 2016/778 artiklile 7.</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Äriliini tunnus</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Äriliini kordumatu tunnus, mille annab asutus.</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Kirjeldus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Põhiäriliini kirjeldus.</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Põhiäriliini omava või sellega tegeleva ettevõtja nimi, nagu on märgitud vormis Z 01.00 (ORG).</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sama põhiäriliini omab mitu ettevõtjat või nad tegelevad sama põhiäriliiniga, kajastatakse iga ettevõtja eraldi real.</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Põhiäriliini omava või sellega tegeleva ettevõtja kood, nagu on märgitud vormis Z 01.00 (ORG).</w:t>
            </w:r>
          </w:p>
        </w:tc>
      </w:tr>
    </w:tbl>
    <w:p w14:paraId="258A1667" w14:textId="3BCA2C0A" w:rsidR="0056559D" w:rsidRPr="00D92B3C" w:rsidRDefault="00F7117F" w:rsidP="00715DAB">
      <w:pPr>
        <w:pStyle w:val="Instructionsberschrift3"/>
      </w:pPr>
      <w:r>
        <w:t>Z 07.04 – Kriitiliste funktsioonide kaardistus põhiäriliinide järgi (FUNC 4). Juhised konkreetsete kirjete kohta</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0010, 0020 ja 0040 kajastatud väärtuste kombinatsioon moodustab primaarvõtme, mis peab olema vormi iga rea puhul kordumatu.</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Selles vormis kajastatakse üksnes kriitilised funktsioonid, nagu on kindlaks määratud järgmises vormis ja veerus: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Riik, mille puhul funktsioon on kriitiline, nagu on kajastatud vormis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Funktsiooni tunnus</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Kriitiliste funktsioonide tunnus, nagu on määratletud eespool peatükis II.7.1 ja osutatud vormis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Põhiäriliin</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Põhiäriliin vastavalt direktiivi 2014/59/EL artikli 2 lõike 1 punktile 36 ja komisjoni 2. veebruari 2016. aasta delegeeritud määruse (EL) 2016/778 artiklile 7, nagu on kajastatud vormis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Äriliini tunnus</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Äriliini kordumatu tunnus, mille annab asutus; sama tunnus, mis on kajastatud vormis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38702"/>
      <w:r>
        <w:rPr>
          <w:rFonts w:ascii="Times New Roman" w:hAnsi="Times New Roman"/>
          <w:szCs w:val="20"/>
        </w:rPr>
        <w:t>Z 08.00 – Kriitilised teenused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Üldised juhised</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Selles vormis esitatav teave kajastatakse üks kord kogu grupi kohta ning selles loetletakse gruppi kuuluvate ettevõtjate kasutatavad kriitilised teenused ning seotakse need grupi pakutavate kriitiliste funktsioonidega.</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Kriitilised teenused on aluseks olevad toimingud, tegevused ja teenused, mida tehakse või pakutakse grupis ühe (spetsiaalsed teenused) või mitme sellise äriüksuse või juriidilise üksuse (ühised teenused) jaoks, mida on vaja ühe või mitme kriitilise funktsiooni täitmiseks. Kriitilisi teenuseid võivad osutada gruppi kuuluvad ettevõtjad (siseteenused) või neid võib tellida väliselt teenuseosutajalt (välised teenused). Teenust käsitatakse kriitilisena, kui selle osutamise katkemine võib kriitiliste funktsioonide täitmist suurel määral või täielikult takistada, sest need on asutuse poolt kolmandate isikute heaks täidetavate kriitiliste funktsioonidega lahutamatult seotud.</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Selles vormis ei kajastata teenuseid, mida osutatakse juriidilisele isikule täielikult ettevõtjasiseselt.</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Selles vormis ei kajastata teenuseid, mis ei avalda olulist mõju kriitilistele funktsioonidele.</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Selle vormi veergudes 0005, 0010, 0030, 0050, 0070 ja 0080 kajastatud väärtuste kombinatsioon moodustab primaarvõtme, mis peab olema vormi iga rea puhul kordumatu.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Juhised konkreetsete kirjete kohta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Teenuse liik</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Teenuse liik on üks järgmistest allpool loetletud teenuste liikidest.</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Võimaluse korral kajastatakse allkategooria (kahekohaline tunnus). Kui allkategooriat ei eksisteeri või ükski allkategooria ei kirjelda nõuetekohaselt asutuse pakutavat teenust, kajastatakse põhikategooria (ühekohaline tunnus).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Personalitugi</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Personalihaldus, sealhulgas lepingute ja töötasude haldus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Asutusesisene teabevahetus</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w:t>
            </w:r>
            <w:r>
              <w:tab/>
            </w:r>
            <w:r>
              <w:rPr>
                <w:rFonts w:ascii="Times New Roman" w:hAnsi="Times New Roman"/>
                <w:color w:val="000000" w:themeColor="text1"/>
                <w:sz w:val="20"/>
                <w:szCs w:val="20"/>
              </w:rPr>
              <w:t xml:space="preserve">Infotehnoloogia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ja teabevahetuse riistvara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Andmete talletamine ja töötlemine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Muu IT-taristu, tööjaamad, telekommunikatsioon, serverid, andmekeskused ja seotud teenused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Tarkvaralitsentside ja rakendustarkvara haldamine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Juurdepääs välistele teenuseosutajatele, eelkõige andmete ja taristu pakkujatele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Rakenduste hooldamine, sealhulgas tarkvararakenduste hooldamine ja seotud andmevood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Aruannete koostamine, sisemised teabevood ja andmebaasid</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Kasutajatugi</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Erakorralise olukorra ja avariitaaste</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Tehingute töötlemine, sealhulgas tehingutega seotud õiguslikud küsimused, eelkõige rahapesuvastane tegevus</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Kinnisvara ja rajatiste pakkumine või haldamine ja seotud töövahendid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Büroo- ja laoruumid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Sisemiste rajatiste haldamine</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Turvalisus ja juurdepääsukontroll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Kinnisvaraportfelli valitsemine</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Muu, palun täpsustage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Õigusteenused ja vastavuskontrolli funktsioonid: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Ettevõtte õigusabi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Ärilised ja tehingutega seotud õigusteenused</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Vastavuskontrolli tugi</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Varahoidmisega seotud teenused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Varahoidmistegevuse koordineerimine, haldamine ja juhtimine</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Ettevõtja refinantseerimise koordineerimine, haldamine ja juhtimine, sealhulgas tagatisvara haldamine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Aruandlusfunktsioon, eelkõige seoses regulatiivsete likviidsuse suhtarvudega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Keskmise tähtajaga ja pikaajaliste rahastamisprogrammide koordineerimine, haldamine ja juhtimine ning grupi ettevõtjate refinantseerimine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Refinantseerimise koordineerimine, haldamine ja juhtimine, eelkõige lühiajalistes küsimustes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Kauplemine/varahaldus</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Operatsioonide töötlemine: kauplemise kajastamine, kujundamine, realiseerimine, kauplemistoodete teenindamine</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Kinnitused, arveldused, maksed</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Positsioonide ja vastaspoolte haldamine seoses andmearuandluse ja vastaspoolte suhetega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Positsioonide haldamine (riskid ja kooskõlastav võrdlemine)</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Riskijuhtimine ja -hindamine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Keskne või äriliiniga või riski liigiga seotud riskijuhtimine</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Riskiaruande koostamine</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9.</w:t>
            </w:r>
            <w:r>
              <w:tab/>
            </w:r>
            <w:r>
              <w:rPr>
                <w:rFonts w:ascii="Times New Roman" w:hAnsi="Times New Roman"/>
                <w:color w:val="000000" w:themeColor="text1"/>
                <w:sz w:val="20"/>
                <w:szCs w:val="20"/>
              </w:rPr>
              <w:t xml:space="preserve">Raamatupidamisarvestus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Seadusega nõutav ja regulatiivne aruandlus</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Väärtuse hindamine, eelkõige turupositsioonide väärtuse hindamine</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Tegevusaruanded</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Sularahakäitlus</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Teenuse kasutaja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Grupi ettevõtja, kes saab veerus 0010 kajastatud kriitilist teenust teiselt grupi ettevõtjalt või väliselt teenuseosutajalt, kes on kajastatud veergudes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Ettevõtja nimi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Peab erinema veerus 0040 esitatud nimest.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Veerus 0020 esitatud juriidilise isiku kordumatu tunnus, nagu on kajastatud vormis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Peab erinema veerus 0050 esitatud tunnusest.</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Teenuseosutaja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Juriidiline isik (sisemine või väline), kes osutab grupi ettevõtjale veerus 0010 kajastatud kriitilist teenust.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Ettevõtja nimi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Peab erinema veerus 0020 esitatud nimest.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Kood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Veerus 0040 esitatud juriidilise isiku kordumatu tunnus. Peab erinema veerus 0030 esitatud tunnusest.</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Kui teenuseosutaja on grupi ettevõtja, on kood sama, mis vormis Z 01.00 (ORG) kajastatud kood.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teenuseosutaja ei ole grupi ettevõtja, on selle ettevõtja kood:</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krediidiasutuste ja investeerimisühingute korral 20kohaline tähtnumbriline LEI-kood;</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teiste ettevõtjate korral on kood 20kohaline tähtnumbriline LEI-kood või selle puudumisel liidus kohaldatava ühtse kodifitseerimise kohane kood või selle puudumisel riiklik kood.</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Kood peab olema kordumatu ja seda tuleb kasutada järjepidevalt kõikides vormides.</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Grupi osa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„Jah“, kui teenust osutab grupi ettevõtja (sisemine).</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 kui teenust osutab grupiväline ettevõtja (väline).</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Kriitiline funktsioon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Kriitiline funktsioon, mille täitmine peatuks kriitilise teenuse katkestuse korral suurel määral või täielikult. See on üks funktsioonidest, mis on hinnatud kriitiliseks vormis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Liikmesriik, mille puhul funktsioon on kriitiline, nagu on kajastatud vormis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Kriitiliste funktsioonide tunnus, nagu on määratletud eespool peatükis II.7.1 ja osutatud vormis Z </w:t>
            </w:r>
            <w:r>
              <w:rPr>
                <w:rFonts w:ascii="Times New Roman" w:hAnsi="Times New Roman"/>
                <w:color w:val="000000" w:themeColor="text1"/>
                <w:sz w:val="20"/>
                <w:szCs w:val="20"/>
              </w:rPr>
              <w:lastRenderedPageBreak/>
              <w:t>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Hinnanguline aeg asendatavuseks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Hinnanguline aeg, mis kulub selleks, et asendada teenuseosutaja saadava teenuse objekti, kvaliteedi ja kulu puhul võrreldaval määral teise teenuseosutajaga.</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Kajastada üks järgmistest väärtustest:</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päev – 1 nädal“, kui asendamisaeg ei ole pikem kui üks nädal;</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nädal – 1 kuu“, kui asendamisaeg on pikem kui üks nädal, kuid mitte pikem kui üks kuu;</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„1–6 kuud“, kui asendamisaeg on pikem kui üks kuu, kuid mitte pikem kui kuus kuud;</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„6–12 kuud“, kui asendamisaeg on pikem kui kuus kuud, kuid mitte pikem kui üks aasta;</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„rohkem kui 1 aasta“, kui asendamisaeg ei ole pikem kui üks aasta.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Hinnanguline aeg lepingutele juurdepääsuks</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Hinnanguline aeg, mis kulub teenust reguleeriva lepingu kohta järgmise teabe saamiseks kriisilahendusasutuse nõudel:</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lepingu kestus</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lepingupooled (tellija ja tarnija, kontaktisikud) ja nende jurisdiktsioon</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teenuse laad (st pooltevahelise tehingu laadi lühikirjeldus, sealhulgas hinnad)</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kas sama teenust saab pakkuda teine sisemine/väline teenuseosutaja (ning märkida võimalikud kandidaadid)</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lepingu jurisdiktsioon</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lepinguga hõlmatud põhioperatsioonide eest vastutav osakond</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peamised lepingus sisalduvad trahvid maksete peatumise või viivituse korral</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ennetähtaegse ülesütlemise käivitav tegur ja ülesütlemisest etteteatamise aeg</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operatsioonidega seotud tugi pärast lõpetamist</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olulisus kriitiliste funktsioonide ja põhiäriliinide jaoks</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Kajastada üks järgmistest väärtustest:</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päev</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päev – 1 nädal</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rohkem kui 1 nädal</w:t>
            </w:r>
          </w:p>
          <w:p w14:paraId="4BD39BFA" w14:textId="77777777" w:rsidR="000713A0" w:rsidRPr="00D92B3C" w:rsidRDefault="000713A0">
            <w:pPr>
              <w:pStyle w:val="List1"/>
              <w:rPr>
                <w:rFonts w:eastAsia="Cambria"/>
                <w:w w:val="95"/>
              </w:rPr>
            </w:pPr>
            <w:r>
              <w:rPr>
                <w:rFonts w:ascii="Times New Roman" w:hAnsi="Times New Roman"/>
                <w:sz w:val="20"/>
                <w:szCs w:val="20"/>
              </w:rPr>
              <w:t>teenust reguleeriv leping puudub</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Kohaldatav õigus</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Selle riigi ISO kood, mille õigust lepingu suhtes kohaldatakse.</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Kriisilahenduse suhtes kindel leping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Kajastab hinnangut selle kohta, kas lepingut võiks kriisilahenduse korral jätkata ja kas selle võiks üle anda.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Hindamisel võetakse muu hulgas arvesse järgmisi tegureid:</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mis tahes säte, mis annab vastaspoolele õiguse öelda leping üles üksnes kriisilahenduse tõttu, ennetähtaegse sekkumise meetmed või samaaegse makseviivituse stsenaariumid, hoolimata sellest, et olulisi kohustusi täidetakse jätkuvalt;</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mis tahes säte, mis annab vastaspoolele õiguse teenuse tingimusi või hinnakujundust muuta üksnes kriisilahenduse tõttu, ennetähtaegne sekkumine või samaaegse makseviivituse stsenaariumid, hoolimata sellest, et olulisi kohustusi täidetakse jätkuvalt;</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lepingus kriisilahendusasutuste peatamisõiguste tunnustamine.</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Kajastada üks järgmistest väärtustest:</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„jah“, kui leping hinnatakse kriisilahenduse suhtes kindlaks;</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 kui lepingut ei hinnata kriisilahenduse suhtes kindlaks;</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 hinnata“, kui hinnangut ei ole antud.</w:t>
            </w:r>
          </w:p>
        </w:tc>
      </w:tr>
    </w:tbl>
    <w:p w14:paraId="4E1DED29" w14:textId="77777777" w:rsidR="00276FFB" w:rsidRPr="00AC30C9" w:rsidRDefault="00276FFB" w:rsidP="00276FFB">
      <w:pPr>
        <w:rPr>
          <w:rFonts w:ascii="Times New Roman" w:hAnsi="Times New Roman" w:cs="Times New Roman"/>
          <w:b/>
          <w:color w:val="000000" w:themeColor="text1"/>
          <w:sz w:val="20"/>
          <w:szCs w:val="20"/>
          <w:u w:val="single"/>
          <w:lang w:val="nl-B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38703"/>
      <w:bookmarkEnd w:id="26"/>
      <w:r>
        <w:rPr>
          <w:rFonts w:ascii="Times New Roman" w:hAnsi="Times New Roman"/>
          <w:color w:val="000000" w:themeColor="text1"/>
          <w:szCs w:val="20"/>
        </w:rPr>
        <w:lastRenderedPageBreak/>
        <w:t>Z 09.00 – Finantsturutaristute teenused – pakkujad ja kasutajad – kaardistus kriitiliste funktsioonide järgi</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Üldised märkused</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Selles vormis esitatakse kliiringu, maksete, väärtpaberite arveldamise ja hoidmise toimingud, funktsioonid ja teenused, mille katkemine võib ühe või mitme kriitilise funktsiooni täitmist suurel määral või täielikult takistada.</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See vorm täidetakse üks kord kogu asutuse või grupi kohta.</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Märgitakse üksnes finantsturutaristud, mille häire takistaks suurel määral või täielikult kriitilise funktsiooni täitmist.</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Selle vormi veergudes 0020, 0030, 0040, 0070 ja 0100 kajastatud väärtuste kombinatsioon moodustab primaarvõtme, mis peab olema vormi iga rea puhul kordumatu.</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Juhised konkreetsete kirjete kohta</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Kasutaja</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Grupi ettevõtja, kes kasutab makse-, hoidmis-, arveldus-, kliirimis- või kauplemisteabehoidla teenuseid, nagu on kajastatud vormis „Z 01.00 – Organisatsiooniline struktuur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Makse-, hoidmis-, arveldus-, kliirimis- või kauplemisteabehoidla teenuseid kasutava ettevõtja nimi, nagu on kajastatud vormis „Z 01.00 – Organisatsiooniline struktuur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Kajastatakse üksnes ettevõtjad, kelle puhul on vormis Z 07.02 märgitud, et nad täidavad kriitilisi funktsioone.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Makse-, hoidmis-, arveldus-, kliirimis- või kauplemisteabehoidla teenuseid kasutava ettevõtja kood, nagu on kajastatud vormis „Z 01.00 – Organisatsiooniline struktuur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Kriitiline funktsioon</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Kriitiline funktsioon, mida ettevõtja täidab ja mille täitmist takistaks teataval määral või täielikult olukord, kus katkeb juurdepääs makse-, hoidmis-, arveldus-, kliirimis- või kauplemisteabehoidla teenusele.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Riik, mille puhul funktsioon on kriitiline, nagu on kajastatud vormis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Kriitiliste funktsioonide tunnus, nagu on määratletud eespool peatükis II.7.1 ja osutatud vormis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Finantsturutaristu</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Viide: makse- ja arveldussüsteemide komitee,</w:t>
            </w:r>
            <w:r>
              <w:t xml:space="preserve"> </w:t>
            </w:r>
            <w:hyperlink r:id="rId8" w:history="1">
              <w:r>
                <w:rPr>
                  <w:rFonts w:ascii="Times New Roman" w:hAnsi="Times New Roman"/>
                  <w:color w:val="000000" w:themeColor="text1"/>
                  <w:sz w:val="20"/>
                  <w:szCs w:val="20"/>
                </w:rPr>
                <w:t>„Principles for financial market infrastructures“</w:t>
              </w:r>
            </w:hyperlink>
            <w:r>
              <w:t>.</w:t>
            </w:r>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Osalevate finantsasutuste vaheline mitmepoolne süsteem, sealhulgas süsteemi operaator, mida kasutatakse maksete, väärtpaberite, tuletisinstrumentide või muude finantstehingute kajastamiseks, kliirimiseks või arveldamiseks.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Süsteemi liik</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Kajastada üks järgmistest väärtustest:</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 –</w:t>
            </w:r>
            <w:r>
              <w:tab/>
            </w:r>
            <w:r>
              <w:rPr>
                <w:rFonts w:ascii="Times New Roman" w:hAnsi="Times New Roman"/>
                <w:color w:val="000000" w:themeColor="text1"/>
                <w:sz w:val="20"/>
                <w:szCs w:val="20"/>
              </w:rPr>
              <w:t>maksesüsteem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(rahvusvaheline) väärtpaberite keskdepositoorium, sealhulgas (I)CSD, mis osutab arveldusteenuseid (siseselt või väljast tellituna)</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 –</w:t>
            </w:r>
            <w:r>
              <w:tab/>
            </w:r>
            <w:r>
              <w:rPr>
                <w:rFonts w:ascii="Times New Roman" w:hAnsi="Times New Roman"/>
                <w:color w:val="000000" w:themeColor="text1"/>
                <w:sz w:val="20"/>
                <w:szCs w:val="20"/>
              </w:rPr>
              <w:t>ilma hoidmisteenuseta väärtpaberiarveldussüsteem</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„Kesksed vastaspooled – väärtpaberid“ – keskne vastaspool väärtpaberite kliirimisel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„Kesksed vastaspooled – tuletisinstrumendid“ –</w:t>
            </w:r>
            <w:r>
              <w:tab/>
            </w:r>
            <w:r>
              <w:rPr>
                <w:rFonts w:ascii="Times New Roman" w:hAnsi="Times New Roman"/>
                <w:color w:val="000000" w:themeColor="text1"/>
                <w:sz w:val="20"/>
                <w:szCs w:val="20"/>
              </w:rPr>
              <w:t>keskne vastaspool tuletisinstrumentide kliirimisel</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 –</w:t>
            </w:r>
            <w:r>
              <w:tab/>
            </w:r>
            <w:r>
              <w:rPr>
                <w:rFonts w:ascii="Times New Roman" w:hAnsi="Times New Roman"/>
                <w:color w:val="000000" w:themeColor="text1"/>
                <w:sz w:val="20"/>
                <w:szCs w:val="20"/>
              </w:rPr>
              <w:t>kauplemisteabehoidla</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„Muu“ –</w:t>
            </w:r>
            <w:r>
              <w:tab/>
            </w:r>
            <w:r>
              <w:rPr>
                <w:rFonts w:ascii="Times New Roman" w:hAnsi="Times New Roman"/>
                <w:color w:val="000000" w:themeColor="text1"/>
                <w:sz w:val="20"/>
                <w:szCs w:val="20"/>
              </w:rPr>
              <w:t>kui finantsturutaristu süsteemi liik ei sobi ühegi eespool märgitud eelnevalt kindlaks määratud liigiga</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 kohaldata“,</w:t>
            </w:r>
            <w:r>
              <w:tab/>
            </w:r>
            <w:r>
              <w:rPr>
                <w:rFonts w:ascii="Times New Roman" w:hAnsi="Times New Roman"/>
                <w:color w:val="000000" w:themeColor="text1"/>
                <w:sz w:val="20"/>
                <w:szCs w:val="20"/>
              </w:rPr>
              <w:t>kui kriitilisi makse-, kliirimis-, arveldus- või hoidmisteenuseid osutab ettevõtja, kes ei ole eespool nimetatud finantsturutaristu, näiteks depoopank.</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Nimi</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Finantsturutaristu ärinimi</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veerus 0050 märgitakse „ei kohaldata“, jäetakse see veerg tühjaks.</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Finantsturutaristu kood</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Finantsturutaristu kood. Selle olemasolul on kood 20kohaline tähtnumbriline LEI-kood. Kui LEI ei ole kättesaadav, siis liidus kohaldatava ühtse kodifitseerimise kohane kood või selle puudumisel riiklik kood.</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veerus 0050 märgitakse „ei kohaldata“, jäetakse see veerg tühjaks.</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Osalemise viis</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Kajastada üks järgmistest väärtustest:</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„Otsene“</w:t>
            </w:r>
            <w:r>
              <w:tab/>
            </w:r>
            <w:r>
              <w:rPr>
                <w:rFonts w:ascii="Times New Roman" w:hAnsi="Times New Roman"/>
                <w:color w:val="000000" w:themeColor="text1"/>
                <w:sz w:val="20"/>
                <w:szCs w:val="20"/>
              </w:rPr>
              <w:t>otsese liikmesuse või osaluse korral</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„Kaudne“</w:t>
            </w:r>
            <w:r>
              <w:tab/>
            </w:r>
            <w:r>
              <w:rPr>
                <w:rFonts w:ascii="Times New Roman" w:hAnsi="Times New Roman"/>
                <w:color w:val="000000" w:themeColor="text1"/>
                <w:sz w:val="20"/>
                <w:szCs w:val="20"/>
              </w:rPr>
              <w:t>kaudse liikmesuse või osaluse korral</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 kohaldata“,</w:t>
            </w:r>
            <w:r>
              <w:tab/>
            </w:r>
            <w:r>
              <w:rPr>
                <w:rFonts w:ascii="Times New Roman" w:hAnsi="Times New Roman"/>
                <w:color w:val="000000" w:themeColor="text1"/>
                <w:sz w:val="20"/>
                <w:szCs w:val="20"/>
              </w:rPr>
              <w:t>kui veerus 0050 on märgitud „ei kohaldata“.</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Nimi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Vahendaja ärinimi, kui veerus 0080 on märgitud „kaudne“ või „ei kohaldata“.</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Kui veerus 0080 märgitakse „otsene“, tuleb märkida „ei kohaldata“.</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Vahendaja võib olla kas selle grupi osa, kuhu aruandekohustuslik üksus kuulub, või muu selle grupiga mitteseotud krediidiasutus.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Vahendaja võib olla firma, mis pakub teistele firmadele kliirimis-, makse-, väärtpaberite arveldamise ja/või hoidmisteenuseid (eriti kui veerus 0050 on märgitud „ei kohaldata“); ta võib olla ühe või mitme finantsturutaristu otsene liige ja tagada kaudse juurdepääsu selle finantsturutaristu pakutavatele teenustele (eriti kui veerus 0080 on märgitud „kaudne“).</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Vahendaja kood. Selle olemasolul on kood 20kohaline tähtnumbriline LEI-kood. Kui LEI ei ole kättesaadav, siis liidus kohaldatava ühtse kodifitseerimise kohane kood või selle puudumisel riiklik kood.</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Kui veerus 0090 märgitakse „otsene“, tuleb märkida „ei kohaldata“.</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Teenuse kirjeldus</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Teenuse kirjeldus, kui veerus 050 kajastatud süsteemi liik on „muu“ või „ei kohaldata“.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Kohaldatav õigus</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Selle riigi kahetäheline kood standardi ISO 3166-1 järgi, mille õigus reguleerib finantsturutaristule juurdepääsu.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Otsese liikmesuse või osaluse korral tuleb märkida finantsturutaristu ja kasutaja vahelist lepingut reguleeriv õigus. Kaudse liikmesuse või osaluse korral tuleb märkida esindava asutuse ja kasutaja vahelist lepingut reguleeriv õigus.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38704"/>
      <w:r>
        <w:rPr>
          <w:rFonts w:ascii="Times New Roman" w:hAnsi="Times New Roman"/>
          <w:color w:val="000000" w:themeColor="text1"/>
          <w:szCs w:val="20"/>
        </w:rPr>
        <w:t>Kriitilised infosüsteemid</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Üldised märkused</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See osa koosneb järgmistest vormidest:</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Kriitilised infosüsteemid (üldine teave) (CIS 1)“, milles loetletakse kõik kriitilised infosüsteemid grupis;</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Kriitiliste infosüsteemide kaardistamine (CIS 2)“, milles kaardistatakse kriitilised infosüsteemid gruppi kuuluvatest ettevõtjatest kasutajate ja kriitiliste funktsioonide järgi.</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Kriitilise infosüsteemina mõistetakse IT-rakendust või tarkvara, mis toetab kriitilist teenust, mille häire takistaks suurel määral või täielikult kriitilise funktsiooni täitmist.</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Need vormid täidetakse kogu grupi kohta.</w:t>
      </w:r>
    </w:p>
    <w:p w14:paraId="70CC17BA" w14:textId="77777777" w:rsidR="00AD4B22" w:rsidRPr="00AC30C9" w:rsidRDefault="00AD4B22" w:rsidP="00EA3B0A">
      <w:pPr>
        <w:pStyle w:val="Numberedtitlelevel3"/>
        <w:numPr>
          <w:ilvl w:val="0"/>
          <w:numId w:val="0"/>
        </w:numPr>
        <w:rPr>
          <w:rFonts w:ascii="Times New Roman" w:hAnsi="Times New Roman" w:cs="Times New Roman"/>
          <w:color w:val="000000" w:themeColor="text1"/>
          <w:sz w:val="20"/>
          <w:szCs w:val="20"/>
          <w:lang w:val="nl-BE"/>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Kriitilised infosüsteemid (üldine teave) (CIS 1). Juhised konkreetsete kirjete kohta</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Selle vormi veerus 0010 kajastatud väärtus moodustab primaarvõtme, mis peab olema vormi iga rea puhul kordumatu. </w:t>
      </w:r>
    </w:p>
    <w:p w14:paraId="06AD164E" w14:textId="77777777" w:rsidR="000B75A6" w:rsidRPr="00BC5CD5"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Kriitiline infosüsteem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Süsteemi tunnuskood</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Süsteemi tunnuskood on akronüüm, mille asutus on kehtestanud ja mis identifitseerib üheselt kriitilise infosüsteemi.</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See on rea tunnus ja peab olema vormi iga rea puhul kordumatu.</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Süsteemi nimi</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Süsteemi äri- või sisenimi.</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Süsteemi liik</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Kajastada üks järgmistest väärtustest:</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„Äritegevuse toetamiseks spetsiaalselt loodud tarkvara“</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Rakendused, mis on välja töötatud kooskõlas üksikasjalike äritegevuse kirjeldustega. Need võivad olla välja töötatud ettevõtte sees või väliste töövõtjate poolt, aga nende eesmärk on alati äritegevust toetada.</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„Ostetud valmistarkvara“</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Turult ostetud rakendused, mida tavaliselt müüb või litsentsib müüja ning mida ei ole muudetud eesmärgiga kohandada neid organisatsiooni äritegevusega. Sellesse kategooriasse kuuluvad ka rakendused, mille suhtes kohaldati tavapäraseid konfigureerimismehhanisme.</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„Ostetud tarkvara, mida on kohandatud“</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Turult ostetud rakendused, millest müüja (või tema esindaja) on loonud installimiseks eriversiooni. Seda konkreetset versiooni iseloomustavad rakenduse toimimise muutused, uued omadused või ebastandardsete pistikprogrammide lisamine vastavalt organisatsiooni äritegevusele.</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„Rakendus / väline portaal“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Välised portaalid või rakendused, mida pakuvad kolmandad isikud, tavaliselt partnerid, enda osutatavatele teenustele juurdepääsuks. Tavaliselt on need organisatsiooni infosüsteemide haldamisest väljaspool ning need installib ja neid hooldab ja haldab partner ise. Sellised rakendused on sageli portaalide kujul (millele pääseb juurde interneti teel või eravõrkudest) ning hoolimata sellest, et need ei ole organisatsiooni infosüsteemide haldamise teenustega hõlmatud, on need teatavate ärifunktsioonide jaoks olulised (või kriitilised).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Kirjeldus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Infosüsteemi peamise eesmärgi kirjeldus äritegevuse kontekstis.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Süsteemi eest vastutav grupi ettevõtja</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Grupis süsteemi eest vastutava juriidilise isiku nimi</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See on ettevõtja, kes vastutab infosüsteemi hankimise, arendamise, integreerimise, muutmise, käitamise, hooldamise ja kasutuselt kõrvaldamise eest ning kes on peamine osaline süsteemi ülesehituse omaduste väljatöötamisel, et tagada turvalisuse ja kasutajate tegevusega seotud vajaduste dokumenteerimine, testimine ja rakendamine.</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Grupis süsteemi eest vastutava juriidilise isiku kood, nagu on kajastatud vormis „Z 01.00 – Organisatsiooniline struktuur (ORG)“.</w:t>
            </w:r>
          </w:p>
        </w:tc>
      </w:tr>
    </w:tbl>
    <w:p w14:paraId="70CC4DE4" w14:textId="77777777" w:rsidR="00AD4B22" w:rsidRPr="00BC5CD5"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Infosüsteemide kaardistamine (CIS 2). Juhised konkreetsete kirjete kohta</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Selle vormi veergudes 0010, 0030, 0040, 0050 ja 0060 kajastatud väärtuste kombinatsioon moodustab primaarvõtme, mis peab olema vormi iga rea puhul kordumatu. </w:t>
      </w:r>
    </w:p>
    <w:p w14:paraId="3AB449B8" w14:textId="77777777" w:rsidR="00720344" w:rsidRPr="00BC5CD5"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Veerud</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Juhised</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Süsteemi tunnuskood</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Infosüsteemi tunnuskood, nagu on kajastatud vormi Z 10.01 (CIS 1) veerus 010.</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Grupi ettevõtjast süsteemi kasutaja</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Ettevõtja, kes kasutab grupis süsteemi (edaspidi „kasutaja“). Mitme kasutaja korral täidetakse sama infosüsteemi iga kasutaja kohta eraldi rida.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Ettevõtja nimi</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Süsteemi kasutava ettevõtja nimi, nagu on märgitud vormis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Kood</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Süsteemi kasutava ettevõtja kood, nagu on märgitud vormis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Kriitiline teenus</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Selle kriitilise teenuse tunnus, nagu on märgitud vormis Z 08.00 (veerg 0005), mida süsteem toetab. Kriitiline teenus võib olla IT-teenus või muud liiki teenus, mida infosüsteem toetab (näiteks tehingute töötlemine).</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Kriitiline funktsioon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Kriitiline funktsioon, mida infosüsteemi toetatavate teenuste katkestus suurel määral või täielikult takistaks. Kriitilisi funktsioone võib olla mitu ning sel juhul täidetakse sama infosüsteemi kohta mitu rida.</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Riik</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Riik, mille puhul funktsioon on kriitiline, nagu on kajastatud vormis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Tunnus</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Kriitiliste funktsioonide tunnus, nagu on määratletud eespool peatükis II.7.1 ja osutatud vormis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EU Albertina"/>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4CEF8634" w:rsidR="0075382A" w:rsidRDefault="0075382A" w:rsidP="000E60D6">
        <w:pPr>
          <w:pStyle w:val="Footer"/>
          <w:jc w:val="center"/>
        </w:pPr>
        <w:r>
          <w:fldChar w:fldCharType="begin"/>
        </w:r>
        <w:r>
          <w:instrText xml:space="preserve"> PAGE   \* MERGEFORMAT </w:instrText>
        </w:r>
        <w:r>
          <w:fldChar w:fldCharType="separate"/>
        </w:r>
        <w:r w:rsidR="00AC30C9">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Komisjoni 17. detsembri 2020. aasta rakendusmäärus (EL) 2021/451, milles sätestatakse rakenduslikud tehnilised standardid Euroopa Parlamendi ja nõukogu määruse (EL) nr 575/2013 kohaldamiseks seoses krediidiasutuste ja investeerimisühingute järelevalvelise aruandlusega ning tunnistatakse kehtetuks rakendusmäärus (EL) nr 680/2014 (ELT L 97, 19.3.2021, lk 1–1955).</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Euroopa Parlamendi ja nõukogu 19. juuli 2002. aasta määrus (EÜ) nr 1606/2002 rahvusvaheliste raamatupidamisstandardite kohaldamise kohta (EÜT L 243, 11.9.2002, lk 1).</w:t>
      </w:r>
    </w:p>
  </w:footnote>
  <w:footnote w:id="3">
    <w:p w14:paraId="3BD45C59" w14:textId="6A60F93C" w:rsidR="0075382A" w:rsidRPr="0090323D" w:rsidRDefault="0075382A">
      <w:pPr>
        <w:pStyle w:val="FootnoteText"/>
      </w:pPr>
      <w:r>
        <w:rPr>
          <w:rStyle w:val="FootnoteReference"/>
        </w:rPr>
        <w:footnoteRef/>
      </w:r>
      <w:r>
        <w:t xml:space="preserve"> Üksikasjalikumat teavet selle kohta leiab järgmiselt veebisaidilt: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Nõukogu 8. detsembri 1986. aasta direktiiv 86/635/EMÜ pankade ja muude rahaasutuste raamatupidamise aastaaruannete ja konsolideeritud aruannete kohta (EÜT L 372, 31.12.1986, lk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Euroopa Parlamendi ja nõukogu 26. juuni 2013. aasta määrus (EL) nr 575/2013 krediidiasutuste ja investeerimisühingute suhtes kohaldatavate usaldatavusnõuete kohta ja määruse (EL) nr 648/2012 muutmise kohta (ELT L 176, 27.6.2013, lk 1).</w:t>
      </w:r>
    </w:p>
  </w:footnote>
  <w:footnote w:id="6">
    <w:p w14:paraId="708D686D" w14:textId="77777777" w:rsidR="0075382A" w:rsidRPr="00E17940" w:rsidRDefault="0075382A">
      <w:pPr>
        <w:pStyle w:val="FootnoteText"/>
      </w:pPr>
      <w:r>
        <w:rPr>
          <w:rStyle w:val="FootnoteReference"/>
        </w:rPr>
        <w:footnoteRef/>
      </w:r>
      <w:r>
        <w:t xml:space="preserve"> Euroopa Parlamendi ja nõukogu 26. juuni 2013. aasta direktiiv 2013/36/EL, mis käsitleb krediidiasutuste tegevuse alustamise tingimusi ning krediidiasutuste ja investeerimisühingute usaldatavusnõuete täitmise järelevalvet, millega muudetakse direktiivi 2002/87/EÜ ning millega tunnistatakse kehtetuks direktiivid 2006/48/EÜ ja 2006/49/EÜ (ELT L 176, 27.6.2013, lk 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Euroopa Parlamendi ja nõukogu 25. novembri 2009. aasta direktiiv 2009/138/EÜ kindlustus- ja edasikindlustustegevuse alustamise ja jätkamise kohta (Solventsus II) (ELT L 335, 17.12.2009, lk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Komisjoni 6. mai 2003. aasta soovitus mikro-, väikeste ja keskmise suurusega ettevõtete määratlemise kohta (ELT L 124, 20.5.2003, lk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Euroopa Keskpanga määrus (EL) 2021/379 krediidiasutuste ja rahaloomeasutuste sektori bilansikirjete kohta (uuesti sõnastatud) (ELT L 73, 3.3.2021, lk 16-85).</w:t>
      </w:r>
    </w:p>
  </w:footnote>
  <w:footnote w:id="10">
    <w:p w14:paraId="33320726" w14:textId="397F1E31" w:rsidR="0075382A" w:rsidRPr="00433423" w:rsidRDefault="0075382A">
      <w:pPr>
        <w:pStyle w:val="FootnoteText"/>
      </w:pPr>
      <w:r>
        <w:rPr>
          <w:rStyle w:val="FootnoteReference"/>
        </w:rPr>
        <w:footnoteRef/>
      </w:r>
      <w:r>
        <w:t xml:space="preserve"> Euroopa Parlamendi ja nõukogu 15. mai 2014. aasta direktiiv 2014/65/EL finantsinstrumentide turgude kohta ning millega muudetakse direktiive 2002/92/EÜ ja 2011/61/EL (ELT L 173, 12.6.2014, lk 349).</w:t>
      </w:r>
    </w:p>
  </w:footnote>
  <w:footnote w:id="11">
    <w:p w14:paraId="7ECE222F" w14:textId="77777777" w:rsidR="0075382A" w:rsidRPr="00B77FC7" w:rsidRDefault="0075382A">
      <w:pPr>
        <w:pStyle w:val="FootnoteText"/>
      </w:pPr>
      <w:r>
        <w:rPr>
          <w:rStyle w:val="FootnoteReference"/>
        </w:rPr>
        <w:footnoteRef/>
      </w:r>
      <w:r>
        <w:t xml:space="preserve"> Euroopa Parlamendi ja nõukogu 15. mai 2014. aasta direktiiv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määrusi (EL) nr 1093/2010 ja (EL) nr 648/2012 (ELT L 173, 12.6.2014, lk 190).</w:t>
      </w:r>
    </w:p>
  </w:footnote>
  <w:footnote w:id="12">
    <w:p w14:paraId="45027383" w14:textId="7473EDB5" w:rsidR="0075382A" w:rsidRPr="001D3665" w:rsidRDefault="0075382A">
      <w:pPr>
        <w:pStyle w:val="FootnoteText"/>
      </w:pPr>
      <w:r>
        <w:rPr>
          <w:rStyle w:val="FootnoteReference"/>
        </w:rPr>
        <w:footnoteRef/>
      </w:r>
      <w:r>
        <w:t xml:space="preserve"> Euroopa Parlamendi ja nõukogu 16. aprilli 2014. aasta direktiiv 2014/49/EL hoiuste tagamise skeemide kohta (ELT L 173, 12.6.2014, lk 149).</w:t>
      </w:r>
    </w:p>
  </w:footnote>
  <w:footnote w:id="13">
    <w:p w14:paraId="0A164DF9" w14:textId="77777777" w:rsidR="0075382A" w:rsidRPr="00EB1AD3" w:rsidRDefault="0075382A">
      <w:pPr>
        <w:pStyle w:val="FootnoteText"/>
      </w:pPr>
      <w:r>
        <w:rPr>
          <w:rStyle w:val="FootnoteReference"/>
        </w:rPr>
        <w:footnoteRef/>
      </w:r>
      <w:r>
        <w:t xml:space="preserve"> Euroopa Parlamendi ja nõukogu 13. juuli 2009. aasta direktiiv 2009/65/EÜ vabalt võõrandatavatesse väärtpaberitesse ühiseks investeeringuks loodud ettevõtjaid (eurofondid) käsitlevate õigus- ja haldusnormide kooskõlastamise kohta (ELT L 302, 17.11.2009, lk 32).</w:t>
      </w:r>
    </w:p>
  </w:footnote>
  <w:footnote w:id="14">
    <w:p w14:paraId="14B9F3B8" w14:textId="59942C0A" w:rsidR="0075382A" w:rsidRPr="00EB1AD3" w:rsidRDefault="0075382A">
      <w:pPr>
        <w:pStyle w:val="FootnoteText"/>
      </w:pPr>
      <w:r>
        <w:rPr>
          <w:rStyle w:val="FootnoteReference"/>
        </w:rPr>
        <w:footnoteRef/>
      </w:r>
      <w:r>
        <w:t xml:space="preserve"> Euroopa Parlamendi ja nõukogu 8. juuni 2011. aasta direktiiv 2011/61/EL alternatiivsete investeerimisfondide valitsejate kohta, millega muudetakse direktiive 2003/41/EÜ ja 2009/65/EÜ ning määruseid (EÜ) nr 1060/2009 ja (EL) nr 1095/2010 (ELT L 174, 1.7.2011, lk 1).</w:t>
      </w:r>
    </w:p>
  </w:footnote>
  <w:footnote w:id="15">
    <w:p w14:paraId="7EA8BC4D" w14:textId="4A625A59" w:rsidR="0075382A" w:rsidRPr="002B0D5A" w:rsidRDefault="0075382A">
      <w:pPr>
        <w:pStyle w:val="FootnoteText"/>
      </w:pPr>
      <w:r>
        <w:rPr>
          <w:rStyle w:val="FootnoteReference"/>
        </w:rPr>
        <w:footnoteRef/>
      </w:r>
      <w:r>
        <w:t xml:space="preserve"> Euroopa Parlamendi ja nõukogu 19. mai 1998. aasta direktiiv 98/26/EÜ arvelduse lõplikkuse kohta makse- ja väärtpaberiarveldussüsteemides (EÜT L 166, 11.6.1998, lk 45).</w:t>
      </w:r>
    </w:p>
  </w:footnote>
  <w:footnote w:id="16">
    <w:p w14:paraId="55D8C4D7" w14:textId="234F6046" w:rsidR="0075382A" w:rsidRPr="00D90DF8" w:rsidRDefault="0075382A">
      <w:pPr>
        <w:pStyle w:val="FootnoteText"/>
      </w:pPr>
      <w:r>
        <w:rPr>
          <w:rStyle w:val="FootnoteReference"/>
        </w:rPr>
        <w:footnoteRef/>
      </w:r>
      <w:r>
        <w:t xml:space="preserve"> Euroopa Parlamendi ja nõukogu 4. juuli 2012. aasta määrus (EL) nr 648/2012 börsiväliste tuletisinstrumentide, kesksete vastaspoolte ja kauplemisteabehoidlate kohta (ELT L 201, 27.7.2012, lk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Komisjoni 23. mai 2016. aasta delegeeritud määrus (EL) 2016/1401, millega täiendatakse Euroopa Parlamendi ja nõukogu direktiivi 2014/59/EL (millega luuakse krediidiasutuste ja investeerimisühingute finantsseisundi taastamise ja kriisilahenduse õigusraamistik) seoses regulatiivsete tehniliste standarditega tuletisinstrumentidest tulenevate kohustuste hindamise meetodite ja põhimõtete jaoks (ELT L 228, 23.8.2016, lk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Komisjoni 2. veebruari 2016. aasta delegeeritud määrus (EL) 2016/778, millega täiendatakse Euroopa Parlamendi ja nõukogu direktiivi 2014/59/EL seoses asjaolude ja tingimustega, mille korral võib krediidiasutuse või investeerimisühingu tasutavad erakorralised ex post osamaksed täielikult või osaliselt edasi lükata, ja kriitiliste funktsioonidega seotud tegevuste, teenuste ja toimingute kindlaksmääramise ning põhiäriliinide ja nendega seotud teenuste kindlaksmääramise kriteeriumidega (ELT L 131, 20.5.2016, lk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Euroopa Parlamendi ja nõukogu 25. novembri 2015. aasta direktiiv (EL) 2015/2366 makseteenuste kohta siseturul, direktiivide 2002/65/EÜ, 2009/110/EÜ ja 2013/36/EL ning määruse (EL) nr 1093/2010 muutmise ja direktiivi 2007/64/EÜ kehtetuks tunnistamise kohta (ELT L 337, 23.12.2015, lk 35).</w:t>
      </w:r>
    </w:p>
  </w:footnote>
  <w:footnote w:id="20">
    <w:p w14:paraId="17404B79" w14:textId="34E49F40" w:rsidR="0075382A" w:rsidRPr="00CF3B41" w:rsidRDefault="0075382A">
      <w:pPr>
        <w:pStyle w:val="FootnoteText"/>
      </w:pPr>
      <w:r>
        <w:rPr>
          <w:rStyle w:val="FootnoteReference"/>
        </w:rPr>
        <w:footnoteRef/>
      </w:r>
      <w:r>
        <w:t xml:space="preserve"> Komisjoni 10. augusti 2006. aasta määrus (EÜ) nr 1287/2006, millega rakendatakse Euroopa Parlamendi ja nõukogu direktiivi 2004/39/EÜ seoses investeerimisühingute registripidamise kohustuse, tehinguaruandluse, turu läbipaistvuse, finantsinstrumentide kauplemisele lubamise ning nimetatud direktiivi jaoks määratletud mõistetega (ELT L 241, 2.9.2006, lk 1).</w:t>
      </w:r>
    </w:p>
  </w:footnote>
  <w:footnote w:id="21">
    <w:p w14:paraId="1556A3CF" w14:textId="00EE3CBB" w:rsidR="0075382A" w:rsidRPr="00264CA3" w:rsidRDefault="0075382A">
      <w:pPr>
        <w:pStyle w:val="FootnoteText"/>
      </w:pPr>
      <w:r>
        <w:rPr>
          <w:rStyle w:val="FootnoteReference"/>
        </w:rPr>
        <w:footnoteRef/>
      </w:r>
      <w:r>
        <w:t xml:space="preserve"> Euroopa Keskpanga 28. novembri 2013. aasta määrus (EL) nr 1409/2013 maksete statistika kohta (ELT L 352, 24.12.2013, lk 18–44).</w:t>
      </w:r>
    </w:p>
  </w:footnote>
  <w:footnote w:id="22">
    <w:p w14:paraId="19BD785A" w14:textId="266D260C" w:rsidR="0075382A" w:rsidRPr="00264CA3" w:rsidRDefault="0075382A" w:rsidP="00575F7D">
      <w:pPr>
        <w:pStyle w:val="FootnoteText"/>
      </w:pPr>
      <w:r>
        <w:rPr>
          <w:rStyle w:val="FootnoteReference"/>
        </w:rPr>
        <w:footnoteRef/>
      </w:r>
      <w:r>
        <w:t xml:space="preserve"> Euroopa Keskpanga 4. aprilli 2014. aasta suunis EKP/2014/15 rahandus- ja finantsstatistika kohta (ELT L 340, 26.11.2014, lk 1-209).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ET</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II LISA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0C9"/>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5CD5"/>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t-EE"/>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t-EE"/>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t-EE"/>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t-EE"/>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t-EE"/>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t-EE"/>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t-EE"/>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t-EE"/>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t-EE"/>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t-EE"/>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t-EE"/>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et-E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t-EE"/>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t-EE"/>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t-EE"/>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t-EE"/>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t-EE"/>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t-EE"/>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t-EE"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FF58B-49D8-408A-8B9E-FD4A3E382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12383</Words>
  <Characters>87923</Characters>
  <Application>Microsoft Office Word</Application>
  <DocSecurity>0</DocSecurity>
  <Lines>1953</Lines>
  <Paragraphs>1497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2022-03-08T15:34:00Z</dcterms:created>
  <dcterms:modified xsi:type="dcterms:W3CDTF">2022-03-08T15:34:00Z</dcterms:modified>
</cp:coreProperties>
</file>