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4399E" w14:textId="62CAA1BD" w:rsidR="001C2816" w:rsidRPr="00346BD7" w:rsidRDefault="00F03451" w:rsidP="00B6167B">
      <w:pPr>
        <w:pStyle w:val="Pagedecouverture"/>
        <w:rPr>
          <w:noProof/>
        </w:rPr>
      </w:pPr>
      <w:bookmarkStart w:id="0" w:name="_GoBack"/>
      <w:bookmarkEnd w:id="0"/>
      <w:r>
        <w:rPr>
          <w:noProof/>
        </w:rPr>
        <w:pict w14:anchorId="3F8573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26DDC06-5DF3-4966-B481-299B7E8B6CB0" style="width:455.35pt;height:426pt">
            <v:imagedata r:id="rId7" o:title=""/>
          </v:shape>
        </w:pict>
      </w:r>
    </w:p>
    <w:p w14:paraId="66835F60" w14:textId="77777777" w:rsidR="00745799" w:rsidRPr="00346BD7" w:rsidRDefault="00745799">
      <w:pPr>
        <w:rPr>
          <w:noProof/>
        </w:rPr>
        <w:sectPr w:rsidR="00745799" w:rsidRPr="00346BD7" w:rsidSect="00B6167B">
          <w:footerReference w:type="default" r:id="rId8"/>
          <w:pgSz w:w="11907" w:h="16839"/>
          <w:pgMar w:top="1134" w:right="1417" w:bottom="1134" w:left="1417" w:header="709" w:footer="709" w:gutter="0"/>
          <w:pgNumType w:start="0"/>
          <w:cols w:space="720"/>
          <w:docGrid w:linePitch="360"/>
        </w:sectPr>
      </w:pPr>
    </w:p>
    <w:p w14:paraId="58EEE52D" w14:textId="695DD07B" w:rsidR="00745799" w:rsidRPr="00346BD7" w:rsidRDefault="00346BD7" w:rsidP="00346BD7">
      <w:pPr>
        <w:pStyle w:val="Typedudocument"/>
        <w:rPr>
          <w:noProof/>
        </w:rPr>
      </w:pPr>
      <w:r w:rsidRPr="00346BD7">
        <w:rPr>
          <w:noProof/>
        </w:rPr>
        <w:lastRenderedPageBreak/>
        <w:t>KOMISIJAS ĪSTENOŠANAS REGULA (ES) …/..</w:t>
      </w:r>
    </w:p>
    <w:p w14:paraId="5FDAE07D" w14:textId="6C8F9B97" w:rsidR="00745799" w:rsidRPr="00346BD7" w:rsidRDefault="001567C3" w:rsidP="00346BD7">
      <w:pPr>
        <w:pStyle w:val="Datedadoption"/>
        <w:rPr>
          <w:noProof/>
        </w:rPr>
      </w:pPr>
      <w:r>
        <w:t>(3.3.2022)</w:t>
      </w:r>
    </w:p>
    <w:p w14:paraId="6AE2FFE3" w14:textId="6414E61A" w:rsidR="00745799" w:rsidRPr="00346BD7" w:rsidRDefault="00346BD7" w:rsidP="00346BD7">
      <w:pPr>
        <w:pStyle w:val="Titreobjet"/>
        <w:rPr>
          <w:noProof/>
        </w:rPr>
      </w:pPr>
      <w:r w:rsidRPr="00346BD7">
        <w:rPr>
          <w:noProof/>
        </w:rPr>
        <w:t xml:space="preserve">ar kuru groza Komisijas Īstenošanas regulu (ES) 2018/1624, ar ko saskaņā ar Eiropas Parlamenta un Padomes Direktīvu 2014/59/ES nosaka īstenošanas tehniskos standartus attiecībā uz procedūrām, standarta veidlapām un veidnēm informācijas sniegšanai kredītiestāžu un ieguldījumu brokeru sabiedrību noregulējuma plānu vajadzībām </w:t>
      </w:r>
      <w:r w:rsidRPr="00346BD7">
        <w:rPr>
          <w:noProof/>
        </w:rPr>
        <w:br/>
      </w:r>
    </w:p>
    <w:p w14:paraId="217F978F" w14:textId="0CC88CA3" w:rsidR="00745799" w:rsidRPr="00346BD7" w:rsidRDefault="00346BD7" w:rsidP="00346BD7">
      <w:pPr>
        <w:pStyle w:val="IntrtEEE"/>
        <w:rPr>
          <w:noProof/>
        </w:rPr>
      </w:pPr>
      <w:r w:rsidRPr="00346BD7">
        <w:rPr>
          <w:noProof/>
        </w:rPr>
        <w:t>(Dokuments attiecas uz EEZ)</w:t>
      </w:r>
    </w:p>
    <w:p w14:paraId="36E61899" w14:textId="77777777" w:rsidR="00745799" w:rsidRPr="00346BD7" w:rsidRDefault="00745799" w:rsidP="004E1EF9">
      <w:pPr>
        <w:pStyle w:val="Institutionquiagit"/>
        <w:rPr>
          <w:noProof/>
        </w:rPr>
      </w:pPr>
      <w:r w:rsidRPr="00346BD7">
        <w:rPr>
          <w:noProof/>
        </w:rPr>
        <w:t>EIROPAS KOMISIJA,</w:t>
      </w:r>
    </w:p>
    <w:p w14:paraId="344A82A5" w14:textId="77777777" w:rsidR="00745799" w:rsidRPr="00346BD7" w:rsidRDefault="00745799" w:rsidP="004E1EF9">
      <w:pPr>
        <w:rPr>
          <w:noProof/>
        </w:rPr>
      </w:pPr>
      <w:r w:rsidRPr="00346BD7">
        <w:rPr>
          <w:noProof/>
        </w:rPr>
        <w:t>ņemot vērā Līgumu par Eiropas Savienības darbību,</w:t>
      </w:r>
    </w:p>
    <w:p w14:paraId="2982BE59" w14:textId="5250076C" w:rsidR="00745799" w:rsidRPr="00346BD7" w:rsidRDefault="00745799" w:rsidP="004E1EF9">
      <w:pPr>
        <w:rPr>
          <w:noProof/>
        </w:rPr>
      </w:pPr>
      <w:r w:rsidRPr="00346BD7">
        <w:rPr>
          <w:noProof/>
        </w:rPr>
        <w:t>ņemot vērā Eiropas Parlamenta un Padomes 2014. gada 15. maija Direktīvu 2014/59/ES, ar ko izveido kredītiestāžu un ieguldījumu brokeru sabiedrību atveseļošanas un noregulējuma režīmu un groza Padomes Direktīvu 82/891/EEK un Eiropas Parlamenta un Padomes Direktīvas 2001/24/EK, 2002/47/EK, 2004/25/EK, 2005/56/EK, 2007/36/EK, 2011/35/ES, 2012/30/ES un 2013/36/ES, un Eiropas Parlamenta un Padomes Regulas (ES) Nr. 1093/2010 un (ES) Nr. 648/2012</w:t>
      </w:r>
      <w:r w:rsidRPr="00346BD7">
        <w:rPr>
          <w:rStyle w:val="FootnoteReference"/>
          <w:noProof/>
        </w:rPr>
        <w:footnoteReference w:id="1"/>
      </w:r>
      <w:r w:rsidRPr="00346BD7">
        <w:rPr>
          <w:noProof/>
        </w:rPr>
        <w:t>, un jo īpaši tās 11. panta 3. punktu,</w:t>
      </w:r>
    </w:p>
    <w:p w14:paraId="3303916E" w14:textId="77777777" w:rsidR="00745799" w:rsidRPr="00346BD7" w:rsidRDefault="00745799" w:rsidP="004E1EF9">
      <w:pPr>
        <w:rPr>
          <w:noProof/>
        </w:rPr>
      </w:pPr>
      <w:r w:rsidRPr="00346BD7">
        <w:rPr>
          <w:noProof/>
        </w:rPr>
        <w:t>tā kā:</w:t>
      </w:r>
    </w:p>
    <w:p w14:paraId="2AEEF6BD" w14:textId="4388D2CE" w:rsidR="00745799" w:rsidRPr="00346BD7" w:rsidRDefault="0004136D" w:rsidP="0004136D">
      <w:pPr>
        <w:pStyle w:val="ManualConsidrant"/>
        <w:rPr>
          <w:noProof/>
        </w:rPr>
      </w:pPr>
      <w:r w:rsidRPr="0004136D">
        <w:t>(1)</w:t>
      </w:r>
      <w:r w:rsidRPr="0004136D">
        <w:tab/>
      </w:r>
      <w:r w:rsidR="00745799" w:rsidRPr="00346BD7">
        <w:rPr>
          <w:noProof/>
        </w:rPr>
        <w:t>ar Eiropas Parlamenta un Padomes Direktīvu (ES) 2019/879</w:t>
      </w:r>
      <w:r w:rsidR="00745799" w:rsidRPr="00346BD7">
        <w:rPr>
          <w:rStyle w:val="FootnoteReference"/>
          <w:noProof/>
        </w:rPr>
        <w:footnoteReference w:id="2"/>
      </w:r>
      <w:r w:rsidR="00745799" w:rsidRPr="00346BD7">
        <w:rPr>
          <w:noProof/>
        </w:rPr>
        <w:t xml:space="preserve"> tika ieviesti daži grozījumi Direktīvā 2014/59/ES noteiktajā minimuma prasībā pašu kapitālam un atbilstīgajām prasībām. Informācija par iestādes spēju izpildīt šo prasību arī noteiktā mērā tiek ņemta vērā noregulējuma plānošanas kontekstā.</w:t>
      </w:r>
    </w:p>
    <w:p w14:paraId="4C198264" w14:textId="53857FE8" w:rsidR="00745799" w:rsidRPr="00346BD7" w:rsidRDefault="0004136D" w:rsidP="0004136D">
      <w:pPr>
        <w:pStyle w:val="ManualConsidrant"/>
        <w:rPr>
          <w:noProof/>
        </w:rPr>
      </w:pPr>
      <w:r w:rsidRPr="0004136D">
        <w:t>(2)</w:t>
      </w:r>
      <w:r w:rsidRPr="0004136D">
        <w:tab/>
      </w:r>
      <w:r w:rsidR="005F79AB" w:rsidRPr="00346BD7">
        <w:rPr>
          <w:noProof/>
        </w:rPr>
        <w:t>Tāpēc Komisijas Īstenošanas regula (ES) 2018/1624</w:t>
      </w:r>
      <w:r w:rsidR="005F79AB" w:rsidRPr="00346BD7">
        <w:rPr>
          <w:rStyle w:val="FootnoteReference"/>
          <w:noProof/>
        </w:rPr>
        <w:footnoteReference w:id="3"/>
      </w:r>
      <w:r w:rsidR="005F79AB" w:rsidRPr="00346BD7">
        <w:rPr>
          <w:noProof/>
        </w:rPr>
        <w:t xml:space="preserve"> būtu attiecīgi jāgroza.</w:t>
      </w:r>
    </w:p>
    <w:p w14:paraId="2F996AE9" w14:textId="0E4A4D55" w:rsidR="00745799" w:rsidRPr="00346BD7" w:rsidRDefault="0004136D" w:rsidP="0004136D">
      <w:pPr>
        <w:pStyle w:val="ManualConsidrant"/>
        <w:rPr>
          <w:noProof/>
        </w:rPr>
      </w:pPr>
      <w:r w:rsidRPr="0004136D">
        <w:t>(3)</w:t>
      </w:r>
      <w:r w:rsidRPr="0004136D">
        <w:tab/>
      </w:r>
      <w:r w:rsidR="00745799" w:rsidRPr="00346BD7">
        <w:rPr>
          <w:noProof/>
        </w:rPr>
        <w:t xml:space="preserve">Šīs regulas pamatā ir īstenošanas tehnisko standartu projekts, ko Komisijai iesniegusi Eiropas Banku iestāde (EBI). </w:t>
      </w:r>
    </w:p>
    <w:p w14:paraId="505703BE" w14:textId="2F8B4E5F" w:rsidR="00745799" w:rsidRPr="00346BD7" w:rsidRDefault="0004136D" w:rsidP="0004136D">
      <w:pPr>
        <w:pStyle w:val="ManualConsidrant"/>
        <w:rPr>
          <w:noProof/>
        </w:rPr>
      </w:pPr>
      <w:r w:rsidRPr="0004136D">
        <w:t>(4)</w:t>
      </w:r>
      <w:r w:rsidRPr="0004136D">
        <w:tab/>
      </w:r>
      <w:r w:rsidR="00745799" w:rsidRPr="00346BD7">
        <w:rPr>
          <w:noProof/>
        </w:rPr>
        <w:t xml:space="preserve">EBI nav nedz rīkojusi atklātas sabiedriskās apspriešanas par šīs regulas pamatā esošo īstenošanas tehnisko standartu projektu, nedz analizējusi potenciālās saistītās izmaksas un ieguvumus, jo tā uzskatīja, ka tas būtu ļoti nesamērīgi ar grozījumu ļoti ierobežoto apmēru, nelielo skaitu un zemo ietekmi, ņemot vērā, ka šie grozījumi ietver tikai atsauču uz Direktīvu 2014/59/ES atjauninājumus, divus jaunus posteņus, par kuriem jāziņo, un nelielus grozījumus ziņošanas tehnisko šķēršļi novēršanai. EVTI pieprasīja </w:t>
      </w:r>
      <w:r w:rsidR="00745799" w:rsidRPr="00346BD7">
        <w:rPr>
          <w:noProof/>
        </w:rPr>
        <w:lastRenderedPageBreak/>
        <w:t>saskaņā ar Eiropas Parlamenta un Padomes Regulas (ES) Nr. 1093/2010</w:t>
      </w:r>
      <w:r w:rsidR="00745799" w:rsidRPr="00346BD7">
        <w:rPr>
          <w:rStyle w:val="FootnoteReference"/>
          <w:noProof/>
        </w:rPr>
        <w:footnoteReference w:id="4"/>
      </w:r>
      <w:r w:rsidR="00745799" w:rsidRPr="00346BD7">
        <w:rPr>
          <w:noProof/>
        </w:rPr>
        <w:t xml:space="preserve"> 37. pantu izveidotās Vērtspapīru un tirgu nozares ieinteresēto personu grupas atzinumu,</w:t>
      </w:r>
    </w:p>
    <w:p w14:paraId="3F0100F6" w14:textId="77777777" w:rsidR="00745799" w:rsidRPr="00346BD7" w:rsidRDefault="00745799" w:rsidP="004E1EF9">
      <w:pPr>
        <w:pStyle w:val="Formuledadoption"/>
        <w:rPr>
          <w:noProof/>
        </w:rPr>
      </w:pPr>
      <w:r w:rsidRPr="00346BD7">
        <w:rPr>
          <w:noProof/>
        </w:rPr>
        <w:t>IR PIEŅĒMUSI ŠO REGULU.</w:t>
      </w:r>
    </w:p>
    <w:p w14:paraId="248EA0A8" w14:textId="77777777" w:rsidR="00745799" w:rsidRPr="00346BD7" w:rsidRDefault="00745799" w:rsidP="004E1EF9">
      <w:pPr>
        <w:pStyle w:val="Titrearticle"/>
        <w:rPr>
          <w:noProof/>
        </w:rPr>
      </w:pPr>
      <w:r w:rsidRPr="00346BD7">
        <w:rPr>
          <w:noProof/>
        </w:rPr>
        <w:t>1. pants</w:t>
      </w:r>
    </w:p>
    <w:p w14:paraId="0EB604DB" w14:textId="07D2792D" w:rsidR="00745799" w:rsidRPr="00346BD7" w:rsidRDefault="00745799" w:rsidP="004E1EF9">
      <w:pPr>
        <w:rPr>
          <w:noProof/>
        </w:rPr>
      </w:pPr>
      <w:r w:rsidRPr="00346BD7">
        <w:rPr>
          <w:noProof/>
        </w:rPr>
        <w:t>Īstenošanas regulu (ES) 2018/1624 groza šādi:</w:t>
      </w:r>
    </w:p>
    <w:p w14:paraId="6C2E9789" w14:textId="621DE29B" w:rsidR="002E04D0" w:rsidRPr="00346BD7" w:rsidRDefault="0004136D" w:rsidP="0004136D">
      <w:pPr>
        <w:pStyle w:val="Point0"/>
        <w:rPr>
          <w:noProof/>
        </w:rPr>
      </w:pPr>
      <w:r w:rsidRPr="0004136D">
        <w:t>(1)</w:t>
      </w:r>
      <w:r w:rsidRPr="0004136D">
        <w:tab/>
      </w:r>
      <w:r w:rsidR="00745799" w:rsidRPr="00346BD7">
        <w:rPr>
          <w:noProof/>
        </w:rPr>
        <w:t>I pielikumu groza šādi:</w:t>
      </w:r>
    </w:p>
    <w:p w14:paraId="307F7177" w14:textId="0170DEBE" w:rsidR="00745799" w:rsidRPr="00346BD7" w:rsidRDefault="0004136D" w:rsidP="0004136D">
      <w:pPr>
        <w:pStyle w:val="Point0"/>
        <w:rPr>
          <w:noProof/>
        </w:rPr>
      </w:pPr>
      <w:r w:rsidRPr="0004136D">
        <w:t>(a)</w:t>
      </w:r>
      <w:r w:rsidRPr="0004136D">
        <w:tab/>
      </w:r>
      <w:r w:rsidR="002E04D0" w:rsidRPr="00346BD7">
        <w:rPr>
          <w:noProof/>
        </w:rPr>
        <w:t>Veidni Z 02.00 aizstāj ar šīs regulas I pielikuma veidni Z 02.00.</w:t>
      </w:r>
    </w:p>
    <w:p w14:paraId="2AC11875" w14:textId="372E2C93" w:rsidR="002E04D0" w:rsidRPr="00346BD7" w:rsidRDefault="0004136D" w:rsidP="0004136D">
      <w:pPr>
        <w:pStyle w:val="Point0"/>
        <w:rPr>
          <w:noProof/>
        </w:rPr>
      </w:pPr>
      <w:r w:rsidRPr="0004136D">
        <w:t>(b)</w:t>
      </w:r>
      <w:r w:rsidRPr="0004136D">
        <w:tab/>
      </w:r>
      <w:r w:rsidR="002E04D0" w:rsidRPr="00346BD7">
        <w:rPr>
          <w:noProof/>
        </w:rPr>
        <w:t>Veidni Z 03.00 aizstāj ar šīs regulas I pielikuma veidni Z 03.00.</w:t>
      </w:r>
    </w:p>
    <w:p w14:paraId="60F6BC37" w14:textId="7084F169" w:rsidR="00745799" w:rsidRPr="00346BD7" w:rsidRDefault="0004136D" w:rsidP="0004136D">
      <w:pPr>
        <w:pStyle w:val="Point0"/>
        <w:rPr>
          <w:noProof/>
        </w:rPr>
      </w:pPr>
      <w:r w:rsidRPr="0004136D">
        <w:t>(2)</w:t>
      </w:r>
      <w:r w:rsidRPr="0004136D">
        <w:tab/>
      </w:r>
      <w:r w:rsidR="00090F84" w:rsidRPr="00346BD7">
        <w:rPr>
          <w:noProof/>
        </w:rPr>
        <w:t xml:space="preserve">II pielikumu aizstāj ar šīs regulas II pielikuma tekstu. </w:t>
      </w:r>
    </w:p>
    <w:p w14:paraId="77E50565" w14:textId="37F839DE" w:rsidR="00745799" w:rsidRPr="00346BD7" w:rsidRDefault="00745799" w:rsidP="004E1EF9">
      <w:pPr>
        <w:pStyle w:val="Titrearticle"/>
        <w:rPr>
          <w:noProof/>
          <w:color w:val="000000" w:themeColor="text1"/>
        </w:rPr>
      </w:pPr>
      <w:r w:rsidRPr="00346BD7">
        <w:rPr>
          <w:noProof/>
        </w:rPr>
        <w:t>2. pants</w:t>
      </w:r>
    </w:p>
    <w:p w14:paraId="280CEA9B" w14:textId="288234FC" w:rsidR="00745799" w:rsidRPr="00346BD7" w:rsidRDefault="00745799" w:rsidP="004E1EF9">
      <w:pPr>
        <w:rPr>
          <w:noProof/>
        </w:rPr>
      </w:pPr>
      <w:r w:rsidRPr="00346BD7">
        <w:rPr>
          <w:noProof/>
        </w:rPr>
        <w:t xml:space="preserve">Šī regula stājas spēkā divdesmitajā dienā pēc tās publicēšanas </w:t>
      </w:r>
      <w:r w:rsidRPr="00346BD7">
        <w:rPr>
          <w:i/>
          <w:iCs/>
          <w:noProof/>
        </w:rPr>
        <w:t>Eiropas Savienības Oficiālajā Vēstnesī</w:t>
      </w:r>
      <w:r w:rsidRPr="00346BD7">
        <w:rPr>
          <w:noProof/>
        </w:rPr>
        <w:t>.</w:t>
      </w:r>
    </w:p>
    <w:p w14:paraId="5ED2B21A" w14:textId="77777777" w:rsidR="00745799" w:rsidRPr="00346BD7" w:rsidRDefault="00745799" w:rsidP="004E1EF9">
      <w:pPr>
        <w:pStyle w:val="Applicationdirecte"/>
        <w:rPr>
          <w:noProof/>
        </w:rPr>
      </w:pPr>
      <w:r w:rsidRPr="00346BD7">
        <w:rPr>
          <w:noProof/>
        </w:rPr>
        <w:t>Šī regula uzliek saistības kopumā un ir tieši piemērojama visās dalībvalstīs.</w:t>
      </w:r>
    </w:p>
    <w:p w14:paraId="3D8C8E1A" w14:textId="45D17FB1" w:rsidR="00745799" w:rsidRPr="00346BD7" w:rsidRDefault="00A26093" w:rsidP="00A51E6D">
      <w:pPr>
        <w:pStyle w:val="Fait"/>
        <w:rPr>
          <w:noProof/>
        </w:rPr>
      </w:pPr>
      <w:r w:rsidRPr="00A26093">
        <w:t>Briselē, 3.3.2022</w:t>
      </w:r>
    </w:p>
    <w:p w14:paraId="54345AFA" w14:textId="77777777" w:rsidR="00745799" w:rsidRPr="00346BD7" w:rsidRDefault="00745799" w:rsidP="00A51E6D">
      <w:pPr>
        <w:pStyle w:val="Institutionquisigne"/>
        <w:rPr>
          <w:noProof/>
        </w:rPr>
      </w:pPr>
      <w:r w:rsidRPr="00346BD7">
        <w:rPr>
          <w:noProof/>
        </w:rPr>
        <w:tab/>
        <w:t>Komisijas vārdā —</w:t>
      </w:r>
    </w:p>
    <w:p w14:paraId="77E16C5B" w14:textId="6C46B628" w:rsidR="008A5816" w:rsidRPr="00346BD7" w:rsidRDefault="0026702C" w:rsidP="00A51E6D">
      <w:pPr>
        <w:pStyle w:val="Personnequisigne"/>
        <w:keepNext/>
        <w:rPr>
          <w:noProof/>
        </w:rPr>
      </w:pPr>
      <w:r>
        <w:tab/>
        <w:t>priekšsēdētāja</w:t>
      </w:r>
      <w:r>
        <w:br/>
      </w:r>
      <w:r>
        <w:tab/>
        <w:t>Ursula VON DER LEYEN</w:t>
      </w:r>
    </w:p>
    <w:p w14:paraId="7793195C" w14:textId="795349D8" w:rsidR="00745799" w:rsidRPr="00346BD7" w:rsidRDefault="00745799" w:rsidP="00745799">
      <w:pPr>
        <w:pStyle w:val="Personnequisigne"/>
        <w:rPr>
          <w:noProof/>
        </w:rPr>
      </w:pPr>
    </w:p>
    <w:sectPr w:rsidR="00745799" w:rsidRPr="00346BD7" w:rsidSect="00B6167B">
      <w:footerReference w:type="default" r:id="rId9"/>
      <w:footerReference w:type="first" r:id="rId10"/>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7EA" w16cex:dateUtc="2021-12-01T07:59:00Z"/>
  <w16cex:commentExtensible w16cex:durableId="2551B819" w16cex:dateUtc="2021-12-01T08: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24D896F" w16cid:durableId="2551B77F"/>
  <w16cid:commentId w16cid:paraId="1D538397" w16cid:durableId="2551B7EA"/>
  <w16cid:commentId w16cid:paraId="70775A79" w16cid:durableId="2551B780"/>
  <w16cid:commentId w16cid:paraId="639A1800" w16cid:durableId="2551B81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C5EFD" w14:textId="77777777" w:rsidR="00745799" w:rsidRDefault="00745799" w:rsidP="00745799">
      <w:pPr>
        <w:spacing w:before="0" w:after="0"/>
      </w:pPr>
      <w:r>
        <w:separator/>
      </w:r>
    </w:p>
  </w:endnote>
  <w:endnote w:type="continuationSeparator" w:id="0">
    <w:p w14:paraId="675C0AA5" w14:textId="77777777" w:rsidR="00745799" w:rsidRDefault="00745799" w:rsidP="0074579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0056B" w14:textId="063FFC00" w:rsidR="00C52AC5" w:rsidRPr="00B6167B" w:rsidRDefault="00B6167B" w:rsidP="00B6167B">
    <w:pPr>
      <w:pStyle w:val="Footer"/>
      <w:rPr>
        <w:rFonts w:ascii="Arial" w:hAnsi="Arial" w:cs="Arial"/>
        <w:b/>
        <w:sz w:val="48"/>
      </w:rPr>
    </w:pPr>
    <w:r w:rsidRPr="00B6167B">
      <w:rPr>
        <w:rFonts w:ascii="Arial" w:hAnsi="Arial" w:cs="Arial"/>
        <w:b/>
        <w:sz w:val="48"/>
      </w:rPr>
      <w:t>LV</w:t>
    </w:r>
    <w:r w:rsidRPr="00B6167B">
      <w:rPr>
        <w:rFonts w:ascii="Arial" w:hAnsi="Arial" w:cs="Arial"/>
        <w:b/>
        <w:sz w:val="48"/>
      </w:rPr>
      <w:tab/>
    </w:r>
    <w:r w:rsidRPr="00B6167B">
      <w:rPr>
        <w:rFonts w:ascii="Arial" w:hAnsi="Arial" w:cs="Arial"/>
        <w:b/>
        <w:sz w:val="48"/>
      </w:rPr>
      <w:tab/>
    </w:r>
    <w:r w:rsidRPr="00B6167B">
      <w:tab/>
    </w:r>
    <w:r w:rsidRPr="00B6167B">
      <w:rPr>
        <w:rFonts w:ascii="Arial" w:hAnsi="Arial" w:cs="Arial"/>
        <w:b/>
        <w:sz w:val="48"/>
      </w:rPr>
      <w:t>LV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4D444B" w14:textId="285D7E4B" w:rsidR="00B6167B" w:rsidRPr="00B6167B" w:rsidRDefault="00B6167B" w:rsidP="00B6167B">
    <w:pPr>
      <w:pStyle w:val="Footer"/>
      <w:rPr>
        <w:rFonts w:ascii="Arial" w:hAnsi="Arial" w:cs="Arial"/>
        <w:b/>
        <w:sz w:val="48"/>
      </w:rPr>
    </w:pPr>
    <w:r w:rsidRPr="00B6167B">
      <w:rPr>
        <w:rFonts w:ascii="Arial" w:hAnsi="Arial" w:cs="Arial"/>
        <w:b/>
        <w:sz w:val="48"/>
      </w:rPr>
      <w:t>LV</w:t>
    </w:r>
    <w:r w:rsidRPr="00B6167B">
      <w:rPr>
        <w:rFonts w:ascii="Arial" w:hAnsi="Arial" w:cs="Arial"/>
        <w:b/>
        <w:sz w:val="48"/>
      </w:rPr>
      <w:tab/>
    </w:r>
    <w:r>
      <w:fldChar w:fldCharType="begin"/>
    </w:r>
    <w:r>
      <w:instrText xml:space="preserve"> PAGE  \* MERGEFORMAT </w:instrText>
    </w:r>
    <w:r>
      <w:fldChar w:fldCharType="separate"/>
    </w:r>
    <w:r w:rsidR="00F03451">
      <w:rPr>
        <w:noProof/>
      </w:rPr>
      <w:t>2</w:t>
    </w:r>
    <w:r>
      <w:fldChar w:fldCharType="end"/>
    </w:r>
    <w:r>
      <w:tab/>
    </w:r>
    <w:r w:rsidRPr="00B6167B">
      <w:tab/>
    </w:r>
    <w:r w:rsidRPr="00B6167B">
      <w:rPr>
        <w:rFonts w:ascii="Arial" w:hAnsi="Arial" w:cs="Arial"/>
        <w:b/>
        <w:sz w:val="48"/>
      </w:rPr>
      <w:t>LV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D6B5A0" w14:textId="77777777" w:rsidR="00B6167B" w:rsidRPr="00B6167B" w:rsidRDefault="00B6167B" w:rsidP="00B616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6848F" w14:textId="77777777" w:rsidR="00745799" w:rsidRDefault="00745799" w:rsidP="00745799">
      <w:pPr>
        <w:spacing w:before="0" w:after="0"/>
      </w:pPr>
      <w:r>
        <w:separator/>
      </w:r>
    </w:p>
  </w:footnote>
  <w:footnote w:type="continuationSeparator" w:id="0">
    <w:p w14:paraId="3876E97E" w14:textId="77777777" w:rsidR="00745799" w:rsidRDefault="00745799" w:rsidP="00745799">
      <w:pPr>
        <w:spacing w:before="0" w:after="0"/>
      </w:pPr>
      <w:r>
        <w:continuationSeparator/>
      </w:r>
    </w:p>
  </w:footnote>
  <w:footnote w:id="1">
    <w:p w14:paraId="052E750F" w14:textId="77777777" w:rsidR="00745799" w:rsidRDefault="00745799" w:rsidP="00745799">
      <w:pPr>
        <w:pStyle w:val="FootnoteText"/>
      </w:pPr>
      <w:r>
        <w:rPr>
          <w:rStyle w:val="FootnoteReference"/>
        </w:rPr>
        <w:footnoteRef/>
      </w:r>
      <w:r>
        <w:tab/>
        <w:t>OV L 173, 12.6.2014., 190. lpp.</w:t>
      </w:r>
    </w:p>
  </w:footnote>
  <w:footnote w:id="2">
    <w:p w14:paraId="7F45B5AC" w14:textId="6DC04D10" w:rsidR="005F79AB" w:rsidRPr="005F79AB" w:rsidRDefault="005F79AB" w:rsidP="005F79AB">
      <w:pPr>
        <w:pStyle w:val="FootnoteText"/>
      </w:pPr>
      <w:r>
        <w:rPr>
          <w:rStyle w:val="FootnoteReference"/>
        </w:rPr>
        <w:footnoteRef/>
      </w:r>
      <w:r>
        <w:tab/>
        <w:t>Eiropas Parlamenta un Padomes Direktīva (ES) 2019/879 (2019. gada 20. maijs), ar ko groza Direktīvu 2014/59/ES attiecībā uz zaudējumu absorbcijas un rekapitalizācijas spēju kredītiestādēm un ieguldījumu brokeru sabiedrībām un Direktīvu 98/26/EK (OV L 150, 7.6.2019., 296. lpp.).</w:t>
      </w:r>
    </w:p>
  </w:footnote>
  <w:footnote w:id="3">
    <w:p w14:paraId="509F65CC" w14:textId="05595D25" w:rsidR="005F79AB" w:rsidRPr="005F79AB" w:rsidRDefault="005F79AB">
      <w:pPr>
        <w:pStyle w:val="FootnoteText"/>
      </w:pPr>
      <w:r>
        <w:rPr>
          <w:rStyle w:val="FootnoteReference"/>
        </w:rPr>
        <w:footnoteRef/>
      </w:r>
      <w:r>
        <w:tab/>
        <w:t>Komisijas Īstenošanas regula (ES) 2018/1624 (2018. gada 23. oktobris), ar ko saskaņā ar Eiropas Parlamenta un Padomes Direktīvu 2014/59/ES nosaka īstenošanas tehniskos standartus attiecībā uz procedūrām, standarta veidlapām un veidnēm informācijas sniegšanai kredītiestāžu un ieguldījumu brokeru sabiedrību noregulējuma plānu vajadzībām un atceļ Komisijas Īstenošanas regulu (ES) 2016/1066 (OV L 277, 7.11.2018., 1. lpp.).</w:t>
      </w:r>
    </w:p>
  </w:footnote>
  <w:footnote w:id="4">
    <w:p w14:paraId="3537746E" w14:textId="50571182" w:rsidR="00745799" w:rsidRPr="00B64E68" w:rsidRDefault="00745799" w:rsidP="00745799">
      <w:pPr>
        <w:pStyle w:val="FootnoteText"/>
      </w:pPr>
      <w:r>
        <w:rPr>
          <w:rStyle w:val="FootnoteReference"/>
        </w:rPr>
        <w:footnoteRef/>
      </w:r>
      <w:r>
        <w:tab/>
        <w:t>Eiropas Parlamenta un Padomes Regula (ES) Nr. 1093/2010 (2010. gada 24. novembris), ar ko izveido Eiropas Uzraudzības iestādi (Eiropas Banku iestādi), groza Lēmumu Nr. 716/2009/EK un atceļ Komisijas Lēmumu 2009/78/EK (OV L 331, 15.12.2010., 12. lpp.).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793EC600"/>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37E926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9F841BE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5D4AE1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E67FB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99E095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77C7BF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698DA0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2"/>
    <w:lvlOverride w:ilvl="0">
      <w:startOverride w:val="1"/>
    </w:lvlOverride>
  </w:num>
  <w:num w:numId="2">
    <w:abstractNumId w:val="7"/>
  </w:num>
  <w:num w:numId="3">
    <w:abstractNumId w:val="5"/>
  </w:num>
  <w:num w:numId="4">
    <w:abstractNumId w:val="4"/>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1"/>
  </w:num>
  <w:num w:numId="10">
    <w:abstractNumId w:val="0"/>
  </w:num>
  <w:num w:numId="11">
    <w:abstractNumId w:val="19"/>
  </w:num>
  <w:num w:numId="12">
    <w:abstractNumId w:val="12"/>
  </w:num>
  <w:num w:numId="13">
    <w:abstractNumId w:val="21"/>
  </w:num>
  <w:num w:numId="14">
    <w:abstractNumId w:val="11"/>
  </w:num>
  <w:num w:numId="15">
    <w:abstractNumId w:val="13"/>
  </w:num>
  <w:num w:numId="16">
    <w:abstractNumId w:val="9"/>
  </w:num>
  <w:num w:numId="17">
    <w:abstractNumId w:val="20"/>
  </w:num>
  <w:num w:numId="18">
    <w:abstractNumId w:val="8"/>
  </w:num>
  <w:num w:numId="19">
    <w:abstractNumId w:val="15"/>
  </w:num>
  <w:num w:numId="20">
    <w:abstractNumId w:val="17"/>
  </w:num>
  <w:num w:numId="21">
    <w:abstractNumId w:val="18"/>
  </w:num>
  <w:num w:numId="22">
    <w:abstractNumId w:val="10"/>
  </w:num>
  <w:num w:numId="23">
    <w:abstractNumId w:val="16"/>
  </w:num>
  <w:num w:numId="24">
    <w:abstractNumId w:val="22"/>
  </w:num>
  <w:num w:numId="25">
    <w:abstractNumId w:val="20"/>
  </w:num>
  <w:num w:numId="26">
    <w:abstractNumId w:val="20"/>
  </w:num>
  <w:num w:numId="27">
    <w:abstractNumId w:val="20"/>
  </w:num>
  <w:num w:numId="28">
    <w:abstractNumId w:val="14"/>
  </w:num>
  <w:num w:numId="29">
    <w:abstractNumId w:val="9"/>
  </w:num>
  <w:num w:numId="30">
    <w:abstractNumId w:val="9"/>
  </w:num>
  <w:num w:numId="3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displayBackgroundShape/>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02-22 12:45:49"/>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0"/>
    <w:docVar w:name="LW_COVERPAGE_EXISTS" w:val="True"/>
    <w:docVar w:name="LW_COVERPAGE_GUID" w:val="D26DDC06-5DF3-4966-B481-299B7E8B6CB0"/>
    <w:docVar w:name="LW_COVERPAGE_TYPE" w:val="1"/>
    <w:docVar w:name="LW_CROSSREFERENCE" w:val="&lt;UNUSED&gt;"/>
    <w:docVar w:name="LW_DATE.ADOPT.CP" w:val="(3.3.2022)"/>
    <w:docVar w:name="LW_DATE.ADOPT.CP_DATEFORMAT" w:val="(%DATE%),"/>
    <w:docVar w:name="LW_DATE.ADOPT.CP_ISODATE" w:val="2022-03-03"/>
    <w:docVar w:name="LW_DocType" w:val="COM"/>
    <w:docVar w:name="LW_EMISSION" w:val="3.3.2022"/>
    <w:docVar w:name="LW_EMISSION_ISODATE" w:val="2022-03-03"/>
    <w:docVar w:name="LW_EMISSION_LOCATION" w:val="BRX"/>
    <w:docVar w:name="LW_EMISSION_PREFIX" w:val="Brisel\u275?, "/>
    <w:docVar w:name="LW_EMISSION_SUFFIX" w:val="."/>
    <w:docVar w:name="LW_ID_DOCMODEL" w:val="SJ-004"/>
    <w:docVar w:name="LW_ID_DOCSIGNATURE" w:val="SJ-004"/>
    <w:docVar w:name="LW_ID_DOCSTRUCTURE" w:val="COM/AA"/>
    <w:docVar w:name="LW_ID_DOCTYPE" w:val="SJ-004"/>
    <w:docVar w:name="LW_INTERETEEE.CP" w:val="(Dokuments attiecas uz EEZ)"/>
    <w:docVar w:name="LW_LANGUE" w:val="LV"/>
    <w:docVar w:name="LW_LANGUESFAISANTFOI.CP" w:val="&lt;UNUSED&gt;"/>
    <w:docVar w:name="LW_LEVEL_OF_SENSITIVITY" w:val="Standard treatment"/>
    <w:docVar w:name="LW_NOM.INST" w:val="EIROPAS KOMISIJA"/>
    <w:docVar w:name="LW_NOM.INST_JOINTDOC" w:val="&lt;EMPTY&gt;"/>
    <w:docVar w:name="LW_PART_NBR" w:val="1"/>
    <w:docVar w:name="LW_PART_NBR_TOTAL" w:val="1"/>
    <w:docVar w:name="LW_REF.INST.NEW" w:val="C"/>
    <w:docVar w:name="LW_REF.INST.NEW_ADOPTED" w:val="final"/>
    <w:docVar w:name="LW_REF.INST.NEW_TEXT" w:val="(2022) 1227"/>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r kuru groza Komisijas Īstenošanas regulu (ES) 2018/1624, ar ko saskaņā ar Eiropas Parlamenta un Padomes Direktīvu 2014/59/ES nosaka īstenošanas tehniskos standartus attiecībā uz procedūrām, standarta veidlapām un veidnēm informācijas sniegšanai kredītiestāžu un ieguldījumu brokeru sabiedrību noregulējuma plānu vajadzībām _x000b_"/>
    <w:docVar w:name="LW_TYPE.DOC.CP" w:val="KOMISIJAS ĪSTENOŠANAS REGULA (ES) …/.."/>
    <w:docVar w:name="LwApiVersions" w:val="LW4CoDe 1.23.2.0; LW 8.0, Build 20211117"/>
  </w:docVars>
  <w:rsids>
    <w:rsidRoot w:val="00745799"/>
    <w:rsid w:val="00030008"/>
    <w:rsid w:val="0004136D"/>
    <w:rsid w:val="00077B5D"/>
    <w:rsid w:val="00090F84"/>
    <w:rsid w:val="00096F1E"/>
    <w:rsid w:val="000A5309"/>
    <w:rsid w:val="000A7517"/>
    <w:rsid w:val="000E198E"/>
    <w:rsid w:val="000E5A8D"/>
    <w:rsid w:val="000F0ADA"/>
    <w:rsid w:val="00123B47"/>
    <w:rsid w:val="001567C3"/>
    <w:rsid w:val="001838A3"/>
    <w:rsid w:val="001C2816"/>
    <w:rsid w:val="001D72C1"/>
    <w:rsid w:val="001E5770"/>
    <w:rsid w:val="00213F5B"/>
    <w:rsid w:val="00232E98"/>
    <w:rsid w:val="002529F8"/>
    <w:rsid w:val="0026702C"/>
    <w:rsid w:val="00283253"/>
    <w:rsid w:val="002832AC"/>
    <w:rsid w:val="0029138A"/>
    <w:rsid w:val="002E04D0"/>
    <w:rsid w:val="003053DC"/>
    <w:rsid w:val="003151E2"/>
    <w:rsid w:val="00333B7B"/>
    <w:rsid w:val="00346BD7"/>
    <w:rsid w:val="003D725F"/>
    <w:rsid w:val="003E38EA"/>
    <w:rsid w:val="00426704"/>
    <w:rsid w:val="004B08D1"/>
    <w:rsid w:val="004C4237"/>
    <w:rsid w:val="004F579B"/>
    <w:rsid w:val="00511345"/>
    <w:rsid w:val="005B1217"/>
    <w:rsid w:val="005F79AB"/>
    <w:rsid w:val="00603FDC"/>
    <w:rsid w:val="006944A9"/>
    <w:rsid w:val="006B3BDB"/>
    <w:rsid w:val="006D5B8E"/>
    <w:rsid w:val="0070128F"/>
    <w:rsid w:val="007170E9"/>
    <w:rsid w:val="00745799"/>
    <w:rsid w:val="00753C08"/>
    <w:rsid w:val="0076684E"/>
    <w:rsid w:val="00794974"/>
    <w:rsid w:val="007C06F6"/>
    <w:rsid w:val="007E3268"/>
    <w:rsid w:val="007F3383"/>
    <w:rsid w:val="00813DCB"/>
    <w:rsid w:val="008A5816"/>
    <w:rsid w:val="008B152E"/>
    <w:rsid w:val="008F621A"/>
    <w:rsid w:val="00911DBE"/>
    <w:rsid w:val="009202AA"/>
    <w:rsid w:val="00945758"/>
    <w:rsid w:val="00986B33"/>
    <w:rsid w:val="00987AD5"/>
    <w:rsid w:val="009B7138"/>
    <w:rsid w:val="009C3971"/>
    <w:rsid w:val="00A26093"/>
    <w:rsid w:val="00A51E6D"/>
    <w:rsid w:val="00AE4B30"/>
    <w:rsid w:val="00B6167B"/>
    <w:rsid w:val="00B63485"/>
    <w:rsid w:val="00B85498"/>
    <w:rsid w:val="00BE246D"/>
    <w:rsid w:val="00BF17AA"/>
    <w:rsid w:val="00BF5167"/>
    <w:rsid w:val="00C24556"/>
    <w:rsid w:val="00C52AC5"/>
    <w:rsid w:val="00CA6AAF"/>
    <w:rsid w:val="00D4394C"/>
    <w:rsid w:val="00DF7421"/>
    <w:rsid w:val="00E4762B"/>
    <w:rsid w:val="00E578DB"/>
    <w:rsid w:val="00F03451"/>
    <w:rsid w:val="00F20062"/>
    <w:rsid w:val="00FF22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6832BA40"/>
  <w15:docId w15:val="{AB47458E-1441-4473-9270-EF5321922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lv-LV"/>
    </w:rPr>
  </w:style>
  <w:style w:type="paragraph" w:styleId="Heading1">
    <w:name w:val="heading 1"/>
    <w:basedOn w:val="Normal"/>
    <w:next w:val="Text1"/>
    <w:link w:val="Heading1Char"/>
    <w:uiPriority w:val="9"/>
    <w:qFormat/>
    <w:rsid w:val="009B7138"/>
    <w:pPr>
      <w:keepNext/>
      <w:numPr>
        <w:numId w:val="2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2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27"/>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27"/>
      </w:numPr>
      <w:outlineLvl w:val="3"/>
    </w:pPr>
    <w:rPr>
      <w:rFonts w:eastAsiaTheme="majorEastAsia"/>
      <w:bCs/>
      <w:iCs/>
    </w:rPr>
  </w:style>
  <w:style w:type="paragraph" w:styleId="Heading5">
    <w:name w:val="heading 5"/>
    <w:basedOn w:val="Normal"/>
    <w:next w:val="Text2"/>
    <w:link w:val="Heading5Char"/>
    <w:uiPriority w:val="9"/>
    <w:semiHidden/>
    <w:unhideWhenUsed/>
    <w:qFormat/>
    <w:rsid w:val="002832AC"/>
    <w:pPr>
      <w:keepNext/>
      <w:numPr>
        <w:ilvl w:val="4"/>
        <w:numId w:val="27"/>
      </w:numPr>
      <w:outlineLvl w:val="4"/>
    </w:pPr>
    <w:rPr>
      <w:rFonts w:eastAsiaTheme="majorEastAsia"/>
    </w:rPr>
  </w:style>
  <w:style w:type="paragraph" w:styleId="Heading6">
    <w:name w:val="heading 6"/>
    <w:basedOn w:val="Normal"/>
    <w:next w:val="Text2"/>
    <w:link w:val="Heading6Char"/>
    <w:uiPriority w:val="9"/>
    <w:semiHidden/>
    <w:unhideWhenUsed/>
    <w:qFormat/>
    <w:rsid w:val="002832AC"/>
    <w:pPr>
      <w:keepNext/>
      <w:numPr>
        <w:ilvl w:val="5"/>
        <w:numId w:val="27"/>
      </w:numPr>
      <w:outlineLvl w:val="5"/>
    </w:pPr>
    <w:rPr>
      <w:rFonts w:eastAsiaTheme="majorEastAsia"/>
      <w:iCs/>
    </w:rPr>
  </w:style>
  <w:style w:type="paragraph" w:styleId="Heading7">
    <w:name w:val="heading 7"/>
    <w:basedOn w:val="Normal"/>
    <w:next w:val="Text2"/>
    <w:link w:val="Heading7Char"/>
    <w:uiPriority w:val="9"/>
    <w:semiHidden/>
    <w:unhideWhenUsed/>
    <w:qFormat/>
    <w:rsid w:val="002832AC"/>
    <w:pPr>
      <w:keepNext/>
      <w:numPr>
        <w:ilvl w:val="6"/>
        <w:numId w:val="27"/>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3151E2"/>
    <w:pPr>
      <w:numPr>
        <w:numId w:val="2"/>
      </w:numPr>
      <w:contextualSpacing/>
    </w:pPr>
  </w:style>
  <w:style w:type="paragraph" w:styleId="ListBullet2">
    <w:name w:val="List Bullet 2"/>
    <w:basedOn w:val="Normal"/>
    <w:uiPriority w:val="99"/>
    <w:semiHidden/>
    <w:unhideWhenUsed/>
    <w:rsid w:val="003151E2"/>
    <w:pPr>
      <w:numPr>
        <w:numId w:val="3"/>
      </w:numPr>
      <w:contextualSpacing/>
    </w:pPr>
  </w:style>
  <w:style w:type="paragraph" w:styleId="ListBullet3">
    <w:name w:val="List Bullet 3"/>
    <w:basedOn w:val="Normal"/>
    <w:uiPriority w:val="99"/>
    <w:semiHidden/>
    <w:unhideWhenUsed/>
    <w:rsid w:val="003151E2"/>
    <w:pPr>
      <w:numPr>
        <w:numId w:val="4"/>
      </w:numPr>
      <w:contextualSpacing/>
    </w:pPr>
  </w:style>
  <w:style w:type="paragraph" w:styleId="ListBullet4">
    <w:name w:val="List Bullet 4"/>
    <w:basedOn w:val="Normal"/>
    <w:uiPriority w:val="99"/>
    <w:semiHidden/>
    <w:unhideWhenUsed/>
    <w:rsid w:val="003151E2"/>
    <w:pPr>
      <w:numPr>
        <w:numId w:val="5"/>
      </w:numPr>
      <w:contextualSpacing/>
    </w:pPr>
  </w:style>
  <w:style w:type="paragraph" w:styleId="Caption">
    <w:name w:val="caption"/>
    <w:basedOn w:val="Normal"/>
    <w:next w:val="Normal"/>
    <w:uiPriority w:val="35"/>
    <w:semiHidden/>
    <w:unhideWhenUsed/>
    <w:qFormat/>
    <w:rsid w:val="00283253"/>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83253"/>
    <w:pPr>
      <w:spacing w:after="0"/>
    </w:pPr>
  </w:style>
  <w:style w:type="paragraph" w:styleId="ListNumber">
    <w:name w:val="List Number"/>
    <w:basedOn w:val="Normal"/>
    <w:uiPriority w:val="99"/>
    <w:semiHidden/>
    <w:unhideWhenUsed/>
    <w:rsid w:val="00283253"/>
    <w:pPr>
      <w:numPr>
        <w:numId w:val="7"/>
      </w:numPr>
      <w:contextualSpacing/>
    </w:pPr>
  </w:style>
  <w:style w:type="paragraph" w:styleId="ListNumber2">
    <w:name w:val="List Number 2"/>
    <w:basedOn w:val="Normal"/>
    <w:uiPriority w:val="99"/>
    <w:semiHidden/>
    <w:unhideWhenUsed/>
    <w:rsid w:val="00283253"/>
    <w:pPr>
      <w:numPr>
        <w:numId w:val="8"/>
      </w:numPr>
      <w:contextualSpacing/>
    </w:pPr>
  </w:style>
  <w:style w:type="paragraph" w:styleId="ListNumber3">
    <w:name w:val="List Number 3"/>
    <w:basedOn w:val="Normal"/>
    <w:uiPriority w:val="99"/>
    <w:semiHidden/>
    <w:unhideWhenUsed/>
    <w:rsid w:val="00283253"/>
    <w:pPr>
      <w:numPr>
        <w:numId w:val="9"/>
      </w:numPr>
      <w:contextualSpacing/>
    </w:pPr>
  </w:style>
  <w:style w:type="paragraph" w:styleId="ListNumber4">
    <w:name w:val="List Number 4"/>
    <w:basedOn w:val="Normal"/>
    <w:uiPriority w:val="99"/>
    <w:semiHidden/>
    <w:unhideWhenUsed/>
    <w:rsid w:val="00283253"/>
    <w:pPr>
      <w:numPr>
        <w:numId w:val="10"/>
      </w:numPr>
      <w:contextualSpacing/>
    </w:pPr>
  </w:style>
  <w:style w:type="character" w:styleId="CommentReference">
    <w:name w:val="annotation reference"/>
    <w:basedOn w:val="DefaultParagraphFont"/>
    <w:uiPriority w:val="99"/>
    <w:semiHidden/>
    <w:unhideWhenUsed/>
    <w:rsid w:val="009C3971"/>
    <w:rPr>
      <w:sz w:val="16"/>
      <w:szCs w:val="16"/>
    </w:rPr>
  </w:style>
  <w:style w:type="paragraph" w:styleId="CommentText">
    <w:name w:val="annotation text"/>
    <w:basedOn w:val="Normal"/>
    <w:link w:val="CommentTextChar"/>
    <w:uiPriority w:val="99"/>
    <w:unhideWhenUsed/>
    <w:rsid w:val="009C3971"/>
    <w:rPr>
      <w:sz w:val="20"/>
      <w:szCs w:val="20"/>
    </w:rPr>
  </w:style>
  <w:style w:type="character" w:customStyle="1" w:styleId="CommentTextChar">
    <w:name w:val="Comment Text Char"/>
    <w:basedOn w:val="DefaultParagraphFont"/>
    <w:link w:val="CommentText"/>
    <w:uiPriority w:val="99"/>
    <w:rsid w:val="009C3971"/>
    <w:rPr>
      <w:rFonts w:ascii="Times New Roman" w:hAnsi="Times New Roman" w:cs="Times New Roman"/>
      <w:sz w:val="20"/>
      <w:szCs w:val="20"/>
      <w:lang w:val="lv-LV"/>
    </w:rPr>
  </w:style>
  <w:style w:type="paragraph" w:styleId="CommentSubject">
    <w:name w:val="annotation subject"/>
    <w:basedOn w:val="CommentText"/>
    <w:next w:val="CommentText"/>
    <w:link w:val="CommentSubjectChar"/>
    <w:uiPriority w:val="99"/>
    <w:semiHidden/>
    <w:unhideWhenUsed/>
    <w:rsid w:val="009C3971"/>
    <w:rPr>
      <w:b/>
      <w:bCs/>
    </w:rPr>
  </w:style>
  <w:style w:type="character" w:customStyle="1" w:styleId="CommentSubjectChar">
    <w:name w:val="Comment Subject Char"/>
    <w:basedOn w:val="CommentTextChar"/>
    <w:link w:val="CommentSubject"/>
    <w:uiPriority w:val="99"/>
    <w:semiHidden/>
    <w:rsid w:val="009C3971"/>
    <w:rPr>
      <w:rFonts w:ascii="Times New Roman" w:hAnsi="Times New Roman" w:cs="Times New Roman"/>
      <w:b/>
      <w:bCs/>
      <w:sz w:val="20"/>
      <w:szCs w:val="20"/>
      <w:lang w:val="lv-LV"/>
    </w:rPr>
  </w:style>
  <w:style w:type="character" w:styleId="Hyperlink">
    <w:name w:val="Hyperlink"/>
    <w:basedOn w:val="DefaultParagraphFont"/>
    <w:uiPriority w:val="99"/>
    <w:unhideWhenUsed/>
    <w:rsid w:val="009C3971"/>
    <w:rPr>
      <w:color w:val="0000FF" w:themeColor="hyperlink"/>
      <w:u w:val="single"/>
    </w:rPr>
  </w:style>
  <w:style w:type="character" w:customStyle="1" w:styleId="UnresolvedMention1">
    <w:name w:val="Unresolved Mention1"/>
    <w:basedOn w:val="DefaultParagraphFont"/>
    <w:uiPriority w:val="99"/>
    <w:semiHidden/>
    <w:unhideWhenUsed/>
    <w:rsid w:val="009C3971"/>
    <w:rPr>
      <w:color w:val="605E5C"/>
      <w:shd w:val="clear" w:color="auto" w:fill="E1DFDD"/>
    </w:rPr>
  </w:style>
  <w:style w:type="paragraph" w:styleId="BalloonText">
    <w:name w:val="Balloon Text"/>
    <w:basedOn w:val="Normal"/>
    <w:link w:val="BalloonTextChar"/>
    <w:uiPriority w:val="99"/>
    <w:semiHidden/>
    <w:unhideWhenUsed/>
    <w:rsid w:val="005F79AB"/>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79AB"/>
    <w:rPr>
      <w:rFonts w:ascii="Segoe UI" w:hAnsi="Segoe UI" w:cs="Segoe UI"/>
      <w:sz w:val="18"/>
      <w:szCs w:val="18"/>
      <w:lang w:val="lv-LV"/>
    </w:rPr>
  </w:style>
  <w:style w:type="paragraph" w:styleId="Revision">
    <w:name w:val="Revision"/>
    <w:hidden/>
    <w:uiPriority w:val="99"/>
    <w:semiHidden/>
    <w:rsid w:val="00090F84"/>
    <w:pPr>
      <w:spacing w:after="0" w:line="240" w:lineRule="auto"/>
    </w:pPr>
    <w:rPr>
      <w:rFonts w:ascii="Times New Roman" w:hAnsi="Times New Roman" w:cs="Times New Roman"/>
      <w:sz w:val="24"/>
    </w:rPr>
  </w:style>
  <w:style w:type="character" w:styleId="FollowedHyperlink">
    <w:name w:val="FollowedHyperlink"/>
    <w:basedOn w:val="DefaultParagraphFont"/>
    <w:uiPriority w:val="99"/>
    <w:semiHidden/>
    <w:unhideWhenUsed/>
    <w:rsid w:val="00426704"/>
    <w:rPr>
      <w:color w:val="800080" w:themeColor="followedHyperlink"/>
      <w:u w:val="single"/>
    </w:rPr>
  </w:style>
  <w:style w:type="paragraph" w:styleId="Header">
    <w:name w:val="header"/>
    <w:basedOn w:val="Normal"/>
    <w:link w:val="HeaderChar"/>
    <w:uiPriority w:val="99"/>
    <w:unhideWhenUsed/>
    <w:rsid w:val="00B6167B"/>
    <w:pPr>
      <w:tabs>
        <w:tab w:val="center" w:pos="4535"/>
        <w:tab w:val="right" w:pos="9071"/>
      </w:tabs>
      <w:spacing w:before="0"/>
    </w:pPr>
  </w:style>
  <w:style w:type="character" w:customStyle="1" w:styleId="HeaderChar">
    <w:name w:val="Header Char"/>
    <w:basedOn w:val="DefaultParagraphFont"/>
    <w:link w:val="Header"/>
    <w:uiPriority w:val="99"/>
    <w:rsid w:val="00B6167B"/>
    <w:rPr>
      <w:rFonts w:ascii="Times New Roman" w:hAnsi="Times New Roman" w:cs="Times New Roman"/>
      <w:sz w:val="24"/>
      <w:lang w:val="lv-LV"/>
    </w:rPr>
  </w:style>
  <w:style w:type="paragraph" w:styleId="Footer">
    <w:name w:val="footer"/>
    <w:basedOn w:val="Normal"/>
    <w:link w:val="FooterChar"/>
    <w:uiPriority w:val="99"/>
    <w:unhideWhenUsed/>
    <w:rsid w:val="00B6167B"/>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B6167B"/>
    <w:rPr>
      <w:rFonts w:ascii="Times New Roman" w:hAnsi="Times New Roman" w:cs="Times New Roman"/>
      <w:sz w:val="24"/>
      <w:lang w:val="lv-LV"/>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B6167B"/>
    <w:pPr>
      <w:tabs>
        <w:tab w:val="center" w:pos="7285"/>
        <w:tab w:val="right" w:pos="14003"/>
      </w:tabs>
      <w:spacing w:before="0"/>
    </w:pPr>
  </w:style>
  <w:style w:type="paragraph" w:customStyle="1" w:styleId="FooterLandscape">
    <w:name w:val="FooterLandscape"/>
    <w:basedOn w:val="Normal"/>
    <w:rsid w:val="00B6167B"/>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B6167B"/>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6167B"/>
    <w:pPr>
      <w:spacing w:before="0"/>
      <w:jc w:val="right"/>
    </w:pPr>
    <w:rPr>
      <w:sz w:val="28"/>
    </w:rPr>
  </w:style>
  <w:style w:type="paragraph" w:customStyle="1" w:styleId="FooterSensitivity">
    <w:name w:val="Footer Sensitivity"/>
    <w:basedOn w:val="Normal"/>
    <w:rsid w:val="00B6167B"/>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1"/>
      </w:numPr>
    </w:pPr>
  </w:style>
  <w:style w:type="paragraph" w:customStyle="1" w:styleId="Tiret1">
    <w:name w:val="Tiret 1"/>
    <w:basedOn w:val="Point1"/>
    <w:rsid w:val="009B7138"/>
    <w:pPr>
      <w:numPr>
        <w:numId w:val="12"/>
      </w:numPr>
    </w:pPr>
  </w:style>
  <w:style w:type="paragraph" w:customStyle="1" w:styleId="Tiret2">
    <w:name w:val="Tiret 2"/>
    <w:basedOn w:val="Point2"/>
    <w:rsid w:val="009B7138"/>
    <w:pPr>
      <w:numPr>
        <w:numId w:val="13"/>
      </w:numPr>
    </w:pPr>
  </w:style>
  <w:style w:type="paragraph" w:customStyle="1" w:styleId="Tiret3">
    <w:name w:val="Tiret 3"/>
    <w:basedOn w:val="Point3"/>
    <w:rsid w:val="009B7138"/>
    <w:pPr>
      <w:numPr>
        <w:numId w:val="14"/>
      </w:numPr>
    </w:pPr>
  </w:style>
  <w:style w:type="paragraph" w:customStyle="1" w:styleId="Tiret4">
    <w:name w:val="Tiret 4"/>
    <w:basedOn w:val="Point4"/>
    <w:rsid w:val="009B7138"/>
    <w:pPr>
      <w:numPr>
        <w:numId w:val="15"/>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1"/>
      </w:numPr>
    </w:pPr>
  </w:style>
  <w:style w:type="paragraph" w:customStyle="1" w:styleId="NumPar2">
    <w:name w:val="NumPar 2"/>
    <w:basedOn w:val="Normal"/>
    <w:next w:val="Text1"/>
    <w:rsid w:val="009B7138"/>
    <w:pPr>
      <w:numPr>
        <w:ilvl w:val="1"/>
        <w:numId w:val="31"/>
      </w:numPr>
    </w:pPr>
  </w:style>
  <w:style w:type="paragraph" w:customStyle="1" w:styleId="NumPar3">
    <w:name w:val="NumPar 3"/>
    <w:basedOn w:val="Normal"/>
    <w:next w:val="Text1"/>
    <w:rsid w:val="009B7138"/>
    <w:pPr>
      <w:numPr>
        <w:ilvl w:val="2"/>
        <w:numId w:val="31"/>
      </w:numPr>
    </w:pPr>
  </w:style>
  <w:style w:type="paragraph" w:customStyle="1" w:styleId="NumPar4">
    <w:name w:val="NumPar 4"/>
    <w:basedOn w:val="Normal"/>
    <w:next w:val="Text1"/>
    <w:rsid w:val="009B7138"/>
    <w:pPr>
      <w:numPr>
        <w:ilvl w:val="3"/>
        <w:numId w:val="31"/>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18"/>
      </w:numPr>
    </w:pPr>
  </w:style>
  <w:style w:type="paragraph" w:customStyle="1" w:styleId="Point1number">
    <w:name w:val="Point 1 (number)"/>
    <w:basedOn w:val="Normal"/>
    <w:rsid w:val="009B7138"/>
    <w:pPr>
      <w:numPr>
        <w:ilvl w:val="2"/>
        <w:numId w:val="18"/>
      </w:numPr>
    </w:pPr>
  </w:style>
  <w:style w:type="paragraph" w:customStyle="1" w:styleId="Point2number">
    <w:name w:val="Point 2 (number)"/>
    <w:basedOn w:val="Normal"/>
    <w:rsid w:val="009B7138"/>
    <w:pPr>
      <w:numPr>
        <w:ilvl w:val="4"/>
        <w:numId w:val="18"/>
      </w:numPr>
    </w:pPr>
  </w:style>
  <w:style w:type="paragraph" w:customStyle="1" w:styleId="Point3number">
    <w:name w:val="Point 3 (number)"/>
    <w:basedOn w:val="Normal"/>
    <w:rsid w:val="009B7138"/>
    <w:pPr>
      <w:numPr>
        <w:ilvl w:val="6"/>
        <w:numId w:val="18"/>
      </w:numPr>
    </w:pPr>
  </w:style>
  <w:style w:type="paragraph" w:customStyle="1" w:styleId="Point0letter">
    <w:name w:val="Point 0 (letter)"/>
    <w:basedOn w:val="Normal"/>
    <w:rsid w:val="009B7138"/>
    <w:pPr>
      <w:numPr>
        <w:ilvl w:val="1"/>
        <w:numId w:val="18"/>
      </w:numPr>
    </w:pPr>
  </w:style>
  <w:style w:type="paragraph" w:customStyle="1" w:styleId="Point1letter">
    <w:name w:val="Point 1 (letter)"/>
    <w:basedOn w:val="Normal"/>
    <w:rsid w:val="009B7138"/>
    <w:pPr>
      <w:numPr>
        <w:ilvl w:val="3"/>
        <w:numId w:val="18"/>
      </w:numPr>
    </w:pPr>
  </w:style>
  <w:style w:type="paragraph" w:customStyle="1" w:styleId="Point2letter">
    <w:name w:val="Point 2 (letter)"/>
    <w:basedOn w:val="Normal"/>
    <w:rsid w:val="009B7138"/>
    <w:pPr>
      <w:numPr>
        <w:ilvl w:val="5"/>
        <w:numId w:val="18"/>
      </w:numPr>
    </w:pPr>
  </w:style>
  <w:style w:type="paragraph" w:customStyle="1" w:styleId="Point3letter">
    <w:name w:val="Point 3 (letter)"/>
    <w:basedOn w:val="Normal"/>
    <w:rsid w:val="009B7138"/>
    <w:pPr>
      <w:numPr>
        <w:ilvl w:val="7"/>
        <w:numId w:val="18"/>
      </w:numPr>
    </w:pPr>
  </w:style>
  <w:style w:type="paragraph" w:customStyle="1" w:styleId="Point4letter">
    <w:name w:val="Point 4 (letter)"/>
    <w:basedOn w:val="Normal"/>
    <w:rsid w:val="009B7138"/>
    <w:pPr>
      <w:numPr>
        <w:ilvl w:val="8"/>
        <w:numId w:val="18"/>
      </w:numPr>
    </w:pPr>
  </w:style>
  <w:style w:type="paragraph" w:customStyle="1" w:styleId="Bullet0">
    <w:name w:val="Bullet 0"/>
    <w:basedOn w:val="Normal"/>
    <w:rsid w:val="009B7138"/>
    <w:pPr>
      <w:numPr>
        <w:numId w:val="19"/>
      </w:numPr>
    </w:pPr>
  </w:style>
  <w:style w:type="paragraph" w:customStyle="1" w:styleId="Bullet1">
    <w:name w:val="Bullet 1"/>
    <w:basedOn w:val="Normal"/>
    <w:rsid w:val="009B7138"/>
    <w:pPr>
      <w:numPr>
        <w:numId w:val="20"/>
      </w:numPr>
    </w:pPr>
  </w:style>
  <w:style w:type="paragraph" w:customStyle="1" w:styleId="Bullet2">
    <w:name w:val="Bullet 2"/>
    <w:basedOn w:val="Normal"/>
    <w:rsid w:val="009B7138"/>
    <w:pPr>
      <w:numPr>
        <w:numId w:val="21"/>
      </w:numPr>
    </w:pPr>
  </w:style>
  <w:style w:type="paragraph" w:customStyle="1" w:styleId="Bullet3">
    <w:name w:val="Bullet 3"/>
    <w:basedOn w:val="Normal"/>
    <w:rsid w:val="009B7138"/>
    <w:pPr>
      <w:numPr>
        <w:numId w:val="22"/>
      </w:numPr>
    </w:pPr>
  </w:style>
  <w:style w:type="paragraph" w:customStyle="1" w:styleId="Bullet4">
    <w:name w:val="Bullet 4"/>
    <w:basedOn w:val="Normal"/>
    <w:rsid w:val="009B7138"/>
    <w:pPr>
      <w:numPr>
        <w:numId w:val="23"/>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4"/>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 w:type="character" w:customStyle="1" w:styleId="Heading5Char">
    <w:name w:val="Heading 5 Char"/>
    <w:basedOn w:val="DefaultParagraphFont"/>
    <w:link w:val="Heading5"/>
    <w:uiPriority w:val="9"/>
    <w:semiHidden/>
    <w:rsid w:val="002832AC"/>
    <w:rPr>
      <w:rFonts w:ascii="Times New Roman" w:eastAsiaTheme="majorEastAsia" w:hAnsi="Times New Roman" w:cs="Times New Roman"/>
      <w:sz w:val="24"/>
      <w:lang w:val="lv-LV"/>
    </w:rPr>
  </w:style>
  <w:style w:type="character" w:customStyle="1" w:styleId="Heading6Char">
    <w:name w:val="Heading 6 Char"/>
    <w:basedOn w:val="DefaultParagraphFont"/>
    <w:link w:val="Heading6"/>
    <w:uiPriority w:val="9"/>
    <w:semiHidden/>
    <w:rsid w:val="002832AC"/>
    <w:rPr>
      <w:rFonts w:ascii="Times New Roman" w:eastAsiaTheme="majorEastAsia" w:hAnsi="Times New Roman" w:cs="Times New Roman"/>
      <w:iCs/>
      <w:sz w:val="24"/>
      <w:lang w:val="lv-LV"/>
    </w:rPr>
  </w:style>
  <w:style w:type="character" w:customStyle="1" w:styleId="Heading7Char">
    <w:name w:val="Heading 7 Char"/>
    <w:basedOn w:val="DefaultParagraphFont"/>
    <w:link w:val="Heading7"/>
    <w:uiPriority w:val="9"/>
    <w:semiHidden/>
    <w:rsid w:val="002832AC"/>
    <w:rPr>
      <w:rFonts w:ascii="Times New Roman" w:eastAsiaTheme="majorEastAsia" w:hAnsi="Times New Roman" w:cs="Times New Roman"/>
      <w:iCs/>
      <w:sz w:val="24"/>
      <w:lang w:val="lv-LV"/>
    </w:rPr>
  </w:style>
  <w:style w:type="paragraph" w:customStyle="1" w:styleId="ManualHeading5">
    <w:name w:val="Manual Heading 5"/>
    <w:basedOn w:val="Normal"/>
    <w:next w:val="Text2"/>
    <w:rsid w:val="002832AC"/>
    <w:pPr>
      <w:keepNext/>
      <w:tabs>
        <w:tab w:val="left" w:pos="1417"/>
      </w:tabs>
      <w:ind w:left="1417" w:hanging="1417"/>
      <w:outlineLvl w:val="4"/>
    </w:pPr>
  </w:style>
  <w:style w:type="paragraph" w:customStyle="1" w:styleId="ManualHeading6">
    <w:name w:val="Manual Heading 6"/>
    <w:basedOn w:val="Normal"/>
    <w:next w:val="Text2"/>
    <w:rsid w:val="002832AC"/>
    <w:pPr>
      <w:keepNext/>
      <w:tabs>
        <w:tab w:val="left" w:pos="1417"/>
      </w:tabs>
      <w:ind w:left="1417" w:hanging="1417"/>
      <w:outlineLvl w:val="5"/>
    </w:pPr>
  </w:style>
  <w:style w:type="paragraph" w:customStyle="1" w:styleId="ManualHeading7">
    <w:name w:val="Manual Heading 7"/>
    <w:basedOn w:val="Normal"/>
    <w:next w:val="Text2"/>
    <w:rsid w:val="002832AC"/>
    <w:pPr>
      <w:keepNext/>
      <w:tabs>
        <w:tab w:val="left" w:pos="1417"/>
      </w:tabs>
      <w:ind w:left="1417" w:hanging="1417"/>
      <w:outlineLvl w:val="6"/>
    </w:pPr>
  </w:style>
  <w:style w:type="paragraph" w:customStyle="1" w:styleId="Text5">
    <w:name w:val="Text 5"/>
    <w:basedOn w:val="Normal"/>
    <w:rsid w:val="002832AC"/>
    <w:pPr>
      <w:ind w:left="3118"/>
    </w:pPr>
  </w:style>
  <w:style w:type="paragraph" w:customStyle="1" w:styleId="Text6">
    <w:name w:val="Text 6"/>
    <w:basedOn w:val="Normal"/>
    <w:rsid w:val="002832AC"/>
    <w:pPr>
      <w:ind w:left="3685"/>
    </w:pPr>
  </w:style>
  <w:style w:type="paragraph" w:customStyle="1" w:styleId="Point5">
    <w:name w:val="Point 5"/>
    <w:basedOn w:val="Normal"/>
    <w:rsid w:val="002832AC"/>
    <w:pPr>
      <w:ind w:left="3685" w:hanging="567"/>
    </w:pPr>
  </w:style>
  <w:style w:type="paragraph" w:customStyle="1" w:styleId="Tiret5">
    <w:name w:val="Tiret 5"/>
    <w:basedOn w:val="Point5"/>
    <w:rsid w:val="002832AC"/>
    <w:pPr>
      <w:numPr>
        <w:numId w:val="28"/>
      </w:numPr>
    </w:pPr>
  </w:style>
  <w:style w:type="paragraph" w:customStyle="1" w:styleId="NumPar5">
    <w:name w:val="NumPar 5"/>
    <w:basedOn w:val="Normal"/>
    <w:next w:val="Text2"/>
    <w:rsid w:val="002832AC"/>
    <w:pPr>
      <w:numPr>
        <w:ilvl w:val="4"/>
        <w:numId w:val="31"/>
      </w:numPr>
    </w:pPr>
  </w:style>
  <w:style w:type="paragraph" w:customStyle="1" w:styleId="NumPar6">
    <w:name w:val="NumPar 6"/>
    <w:basedOn w:val="Normal"/>
    <w:next w:val="Text2"/>
    <w:rsid w:val="002832AC"/>
    <w:pPr>
      <w:numPr>
        <w:ilvl w:val="5"/>
        <w:numId w:val="31"/>
      </w:numPr>
    </w:pPr>
  </w:style>
  <w:style w:type="paragraph" w:customStyle="1" w:styleId="NumPar7">
    <w:name w:val="NumPar 7"/>
    <w:basedOn w:val="Normal"/>
    <w:next w:val="Text2"/>
    <w:rsid w:val="002832AC"/>
    <w:pPr>
      <w:numPr>
        <w:ilvl w:val="6"/>
        <w:numId w:val="31"/>
      </w:numPr>
    </w:pPr>
  </w:style>
  <w:style w:type="paragraph" w:customStyle="1" w:styleId="ManualNumPar5">
    <w:name w:val="Manual NumPar 5"/>
    <w:basedOn w:val="Normal"/>
    <w:next w:val="Text2"/>
    <w:rsid w:val="002832AC"/>
    <w:pPr>
      <w:ind w:left="1417" w:hanging="1417"/>
    </w:pPr>
  </w:style>
  <w:style w:type="paragraph" w:customStyle="1" w:styleId="ManualNumPar6">
    <w:name w:val="Manual NumPar 6"/>
    <w:basedOn w:val="Normal"/>
    <w:next w:val="Text2"/>
    <w:rsid w:val="002832AC"/>
    <w:pPr>
      <w:ind w:left="1417" w:hanging="1417"/>
    </w:pPr>
  </w:style>
  <w:style w:type="paragraph" w:customStyle="1" w:styleId="ManualNumPar7">
    <w:name w:val="Manual NumPar 7"/>
    <w:basedOn w:val="Normal"/>
    <w:next w:val="Text2"/>
    <w:rsid w:val="002832AC"/>
    <w:pPr>
      <w:ind w:left="1417" w:hanging="141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017256">
      <w:bodyDiv w:val="1"/>
      <w:marLeft w:val="0"/>
      <w:marRight w:val="0"/>
      <w:marTop w:val="0"/>
      <w:marBottom w:val="0"/>
      <w:divBdr>
        <w:top w:val="none" w:sz="0" w:space="0" w:color="auto"/>
        <w:left w:val="none" w:sz="0" w:space="0" w:color="auto"/>
        <w:bottom w:val="none" w:sz="0" w:space="0" w:color="auto"/>
        <w:right w:val="none" w:sz="0" w:space="0" w:color="auto"/>
      </w:divBdr>
    </w:div>
    <w:div w:id="134442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3</Pages>
  <Words>370</Words>
  <Characters>2347</Characters>
  <Application>Microsoft Office Word</Application>
  <DocSecurity>0</DocSecurity>
  <Lines>49</Lines>
  <Paragraphs>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VAPPER Rea (FISMA)</dc:creator>
  <cp:keywords/>
  <dc:description/>
  <cp:lastModifiedBy>VAPPER Rea (FISMA)</cp:lastModifiedBy>
  <cp:revision>2</cp:revision>
  <dcterms:created xsi:type="dcterms:W3CDTF">2022-03-08T14:37:00Z</dcterms:created>
  <dcterms:modified xsi:type="dcterms:W3CDTF">2022-03-08T14:37:00Z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7.0.1, Build 20200226</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