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CC472B" w:rsidRDefault="003E4DA4" w:rsidP="009A0535">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5241314-88BD-41F7-A1C0-AFAF3343E30B" style="width:450.8pt;height:450.15pt">
            <v:imagedata r:id="rId9" o:title=""/>
          </v:shape>
        </w:pict>
      </w:r>
    </w:p>
    <w:p w:rsidR="007E1AE4" w:rsidRPr="00CC472B" w:rsidRDefault="007E1AE4">
      <w:pPr>
        <w:sectPr w:rsidR="007E1AE4" w:rsidRPr="00CC472B" w:rsidSect="00A53A18">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CC472B" w:rsidRDefault="009A0535" w:rsidP="009A0535">
      <w:pPr>
        <w:pStyle w:val="Typedudocument"/>
      </w:pPr>
      <w:r w:rsidRPr="009A0535">
        <w:t>ROZPORZĄDZENIE WYKONAWCZE KOMISJI (UE) …/…</w:t>
      </w:r>
    </w:p>
    <w:p w:rsidR="007E1AE4" w:rsidRPr="00CC472B" w:rsidRDefault="009A0535" w:rsidP="009A0535">
      <w:pPr>
        <w:pStyle w:val="Datedadoption"/>
      </w:pPr>
      <w:r w:rsidRPr="009A0535">
        <w:t xml:space="preserve">z dnia </w:t>
      </w:r>
      <w:r w:rsidRPr="009A0535">
        <w:rPr>
          <w:rStyle w:val="Marker2"/>
        </w:rPr>
        <w:t>XXX</w:t>
      </w:r>
      <w:r w:rsidRPr="009A0535">
        <w:t xml:space="preserve"> r.</w:t>
      </w:r>
    </w:p>
    <w:p w:rsidR="007E1AE4" w:rsidRPr="00CC472B" w:rsidRDefault="009A0535" w:rsidP="009A0535">
      <w:pPr>
        <w:pStyle w:val="Titreobjet"/>
      </w:pPr>
      <w:r w:rsidRPr="009A0535">
        <w:t>ustanawiające wykonawcze standardy techniczne w odniesieniu do procedur i standardowych formularzy i szablonów stosowanych do przekazywania informacji do celów sporządzenia planów restrukturyzacji i uporządkowanej likwidacji w odniesieniu do instytucji kredytowych i firm inwestycyjnych zgodnie z dyrektywą Parlamentu Europejskiego i Rady 2014/59/UE oraz uchylające rozporządzenie wykonawcze Komisji (UE) 2016/1066</w:t>
      </w:r>
      <w:r w:rsidRPr="009A0535">
        <w:br/>
      </w:r>
    </w:p>
    <w:p w:rsidR="007E1AE4" w:rsidRPr="00CC472B" w:rsidRDefault="009A0535" w:rsidP="009A0535">
      <w:pPr>
        <w:pStyle w:val="IntrtEEE"/>
      </w:pPr>
      <w:r w:rsidRPr="009A0535">
        <w:t>(Tekst mający znaczenie dla EOG)</w:t>
      </w:r>
    </w:p>
    <w:p w:rsidR="007E1AE4" w:rsidRPr="00CC472B" w:rsidRDefault="007E1AE4" w:rsidP="007E1AE4">
      <w:pPr>
        <w:pStyle w:val="Institutionquiagit"/>
        <w:rPr>
          <w:color w:val="000000" w:themeColor="text1"/>
        </w:rPr>
      </w:pPr>
      <w:r w:rsidRPr="00CC472B">
        <w:rPr>
          <w:color w:val="000000" w:themeColor="text1"/>
        </w:rPr>
        <w:t>KOMISJA EUROPEJSKA,</w:t>
      </w:r>
    </w:p>
    <w:p w:rsidR="007E1AE4" w:rsidRPr="00CC472B" w:rsidRDefault="007E1AE4" w:rsidP="007E1AE4">
      <w:pPr>
        <w:rPr>
          <w:color w:val="000000" w:themeColor="text1"/>
        </w:rPr>
      </w:pPr>
      <w:r w:rsidRPr="00CC472B">
        <w:rPr>
          <w:color w:val="000000" w:themeColor="text1"/>
        </w:rPr>
        <w:t>uwzględniając Traktat</w:t>
      </w:r>
      <w:r w:rsidR="009A0535" w:rsidRPr="00CC472B">
        <w:rPr>
          <w:color w:val="000000" w:themeColor="text1"/>
        </w:rPr>
        <w:t xml:space="preserve"> o</w:t>
      </w:r>
      <w:r w:rsidR="009A0535">
        <w:rPr>
          <w:color w:val="000000" w:themeColor="text1"/>
        </w:rPr>
        <w:t> </w:t>
      </w:r>
      <w:r w:rsidR="009A0535" w:rsidRPr="00CC472B">
        <w:rPr>
          <w:color w:val="000000" w:themeColor="text1"/>
        </w:rPr>
        <w:t>fun</w:t>
      </w:r>
      <w:r w:rsidRPr="00CC472B">
        <w:rPr>
          <w:color w:val="000000" w:themeColor="text1"/>
        </w:rPr>
        <w:t>kcjonowaniu Unii Europejskiej,</w:t>
      </w:r>
    </w:p>
    <w:p w:rsidR="007E1AE4" w:rsidRPr="00CC472B" w:rsidRDefault="007E1AE4" w:rsidP="007E1AE4">
      <w:pPr>
        <w:rPr>
          <w:color w:val="000000" w:themeColor="text1"/>
        </w:rPr>
      </w:pPr>
      <w:r w:rsidRPr="00CC472B">
        <w:rPr>
          <w:color w:val="000000" w:themeColor="text1"/>
        </w:rPr>
        <w:t xml:space="preserve">uwzględniając </w:t>
      </w:r>
      <w:r w:rsidRPr="00CC472B">
        <w:t>dyrektywę Parlamentu Europejskiego</w:t>
      </w:r>
      <w:r w:rsidR="009A0535" w:rsidRPr="00CC472B">
        <w:t xml:space="preserve"> i</w:t>
      </w:r>
      <w:r w:rsidR="009A0535">
        <w:t> </w:t>
      </w:r>
      <w:r w:rsidR="009A0535" w:rsidRPr="00CC472B">
        <w:t>Rad</w:t>
      </w:r>
      <w:r w:rsidRPr="00CC472B">
        <w:t>y 2014/59/UE ustanawiającą ramy na potrzeby prowadzenia działań naprawczych oraz restrukturyzacji</w:t>
      </w:r>
      <w:r w:rsidR="009A0535" w:rsidRPr="00CC472B">
        <w:t xml:space="preserve"> i</w:t>
      </w:r>
      <w:r w:rsidR="009A0535">
        <w:t> </w:t>
      </w:r>
      <w:r w:rsidR="009A0535" w:rsidRPr="00CC472B">
        <w:t>upo</w:t>
      </w:r>
      <w:r w:rsidRPr="00CC472B">
        <w:t>rządkowanej likwidacji</w:t>
      </w:r>
      <w:r w:rsidR="009A0535" w:rsidRPr="00CC472B">
        <w:t xml:space="preserve"> w</w:t>
      </w:r>
      <w:r w:rsidR="009A0535">
        <w:t> </w:t>
      </w:r>
      <w:r w:rsidR="009A0535" w:rsidRPr="00CC472B">
        <w:t>odn</w:t>
      </w:r>
      <w:r w:rsidRPr="00CC472B">
        <w:t>iesieniu do instytucji kredytowych</w:t>
      </w:r>
      <w:r w:rsidR="009A0535" w:rsidRPr="00CC472B">
        <w:t xml:space="preserve"> i</w:t>
      </w:r>
      <w:r w:rsidR="009A0535">
        <w:t> </w:t>
      </w:r>
      <w:r w:rsidR="009A0535" w:rsidRPr="00CC472B">
        <w:t>fir</w:t>
      </w:r>
      <w:r w:rsidRPr="00CC472B">
        <w:t>m inwestycyjnych oraz zmieniającą dyrektywę Rady 82/891/EWG</w:t>
      </w:r>
      <w:r w:rsidR="009A0535" w:rsidRPr="00CC472B">
        <w:t xml:space="preserve"> i</w:t>
      </w:r>
      <w:r w:rsidR="009A0535">
        <w:t> </w:t>
      </w:r>
      <w:r w:rsidR="009A0535" w:rsidRPr="00CC472B">
        <w:t>dyr</w:t>
      </w:r>
      <w:r w:rsidRPr="00CC472B">
        <w:t>ektywy Parlamentu Europejskiego</w:t>
      </w:r>
      <w:r w:rsidR="009A0535" w:rsidRPr="00CC472B">
        <w:t xml:space="preserve"> i</w:t>
      </w:r>
      <w:r w:rsidR="009A0535">
        <w:t> </w:t>
      </w:r>
      <w:r w:rsidR="009A0535" w:rsidRPr="00CC472B">
        <w:t>Rad</w:t>
      </w:r>
      <w:r w:rsidRPr="00CC472B">
        <w:t>y 2001/24/WE, 2002/47/WE, 2004/25/WE, 2005/56/WE, 2007/36/WE, 2011/35/UE, 2012/30/UE</w:t>
      </w:r>
      <w:r w:rsidR="009A0535" w:rsidRPr="00CC472B">
        <w:t xml:space="preserve"> i</w:t>
      </w:r>
      <w:r w:rsidR="009A0535">
        <w:t> </w:t>
      </w:r>
      <w:r w:rsidR="009A0535" w:rsidRPr="00CC472B">
        <w:t>2</w:t>
      </w:r>
      <w:r w:rsidRPr="00CC472B">
        <w:t>013/36/UE oraz rozporządzenia Parlamentu Europejskiego</w:t>
      </w:r>
      <w:r w:rsidR="009A0535" w:rsidRPr="00CC472B">
        <w:t xml:space="preserve"> i</w:t>
      </w:r>
      <w:r w:rsidR="009A0535">
        <w:t> </w:t>
      </w:r>
      <w:r w:rsidR="009A0535" w:rsidRPr="00CC472B">
        <w:t>Rad</w:t>
      </w:r>
      <w:r w:rsidRPr="00CC472B">
        <w:t xml:space="preserve">y (UE) </w:t>
      </w:r>
      <w:r w:rsidRPr="009A0535">
        <w:t>nr</w:t>
      </w:r>
      <w:r w:rsidR="009A0535" w:rsidRPr="009A0535">
        <w:t> </w:t>
      </w:r>
      <w:r w:rsidRPr="009A0535">
        <w:t>1</w:t>
      </w:r>
      <w:r w:rsidRPr="00CC472B">
        <w:t>093/2010 i</w:t>
      </w:r>
      <w:r w:rsidR="001E1426">
        <w:t> </w:t>
      </w:r>
      <w:r w:rsidRPr="00CC472B">
        <w:t xml:space="preserve">(UE) </w:t>
      </w:r>
      <w:r w:rsidRPr="009A0535">
        <w:t>nr</w:t>
      </w:r>
      <w:r w:rsidR="009A0535" w:rsidRPr="009A0535">
        <w:t> </w:t>
      </w:r>
      <w:r w:rsidRPr="009A0535">
        <w:t>6</w:t>
      </w:r>
      <w:r w:rsidRPr="00CC472B">
        <w:t>48/2012</w:t>
      </w:r>
      <w:r w:rsidRPr="00CC472B">
        <w:rPr>
          <w:rStyle w:val="FootnoteReference"/>
        </w:rPr>
        <w:footnoteReference w:id="2"/>
      </w:r>
      <w:r w:rsidRPr="00CC472B">
        <w:rPr>
          <w:color w:val="000000" w:themeColor="text1"/>
        </w:rPr>
        <w:t>,</w:t>
      </w:r>
      <w:r w:rsidR="009A0535" w:rsidRPr="00CC472B">
        <w:rPr>
          <w:color w:val="000000" w:themeColor="text1"/>
        </w:rPr>
        <w:t xml:space="preserve"> w</w:t>
      </w:r>
      <w:r w:rsidR="009A0535">
        <w:rPr>
          <w:color w:val="000000" w:themeColor="text1"/>
        </w:rPr>
        <w:t> </w:t>
      </w:r>
      <w:r w:rsidR="009A0535" w:rsidRPr="00CC472B">
        <w:rPr>
          <w:color w:val="000000" w:themeColor="text1"/>
        </w:rPr>
        <w:t>szc</w:t>
      </w:r>
      <w:r w:rsidRPr="00CC472B">
        <w:rPr>
          <w:color w:val="000000" w:themeColor="text1"/>
        </w:rPr>
        <w:t xml:space="preserve">zególności jej </w:t>
      </w:r>
      <w:r w:rsidRPr="009A0535">
        <w:rPr>
          <w:color w:val="000000" w:themeColor="text1"/>
        </w:rPr>
        <w:t>art.</w:t>
      </w:r>
      <w:r w:rsidR="009A0535" w:rsidRPr="009A0535">
        <w:rPr>
          <w:color w:val="000000" w:themeColor="text1"/>
        </w:rPr>
        <w:t> </w:t>
      </w:r>
      <w:r w:rsidRPr="009A0535">
        <w:t>1</w:t>
      </w:r>
      <w:r w:rsidRPr="00CC472B">
        <w:t xml:space="preserve">1 </w:t>
      </w:r>
      <w:r w:rsidRPr="009A0535">
        <w:t>ust.</w:t>
      </w:r>
      <w:r w:rsidR="009A0535" w:rsidRPr="009A0535">
        <w:t> </w:t>
      </w:r>
      <w:r w:rsidRPr="009A0535">
        <w:t>3</w:t>
      </w:r>
      <w:r w:rsidRPr="00CC472B">
        <w:rPr>
          <w:color w:val="000000" w:themeColor="text1"/>
        </w:rPr>
        <w:t>,</w:t>
      </w:r>
    </w:p>
    <w:p w:rsidR="007E1AE4" w:rsidRPr="00CC472B" w:rsidRDefault="007E1AE4" w:rsidP="007E1AE4">
      <w:pPr>
        <w:rPr>
          <w:color w:val="000000" w:themeColor="text1"/>
        </w:rPr>
      </w:pPr>
      <w:r w:rsidRPr="00CC472B">
        <w:rPr>
          <w:color w:val="000000" w:themeColor="text1"/>
        </w:rPr>
        <w:t>a także mając na uwadze, co następuje:</w:t>
      </w:r>
    </w:p>
    <w:p w:rsidR="007E1AE4" w:rsidRPr="00CC472B" w:rsidRDefault="007E1AE4" w:rsidP="000D42E6">
      <w:pPr>
        <w:pStyle w:val="Considrant"/>
        <w:numPr>
          <w:ilvl w:val="0"/>
          <w:numId w:val="6"/>
        </w:numPr>
      </w:pPr>
      <w:r w:rsidRPr="00CC472B">
        <w:t>W rozporządzeniu wykonawczym Komisji (UE) 2016/1066</w:t>
      </w:r>
      <w:r w:rsidRPr="00CC472B">
        <w:rPr>
          <w:rStyle w:val="FootnoteReference"/>
        </w:rPr>
        <w:footnoteReference w:id="3"/>
      </w:r>
      <w:r w:rsidRPr="00CC472B">
        <w:t xml:space="preserve"> określono procedurę</w:t>
      </w:r>
      <w:r w:rsidR="009A0535" w:rsidRPr="00CC472B">
        <w:t xml:space="preserve"> i</w:t>
      </w:r>
      <w:r w:rsidR="009A0535">
        <w:t> </w:t>
      </w:r>
      <w:r w:rsidR="009A0535" w:rsidRPr="00CC472B">
        <w:t>wpr</w:t>
      </w:r>
      <w:r w:rsidRPr="00CC472B">
        <w:t>owadzono minimalny zestaw szablonów stosowanych do przekazywania informacji organom ds. restrukturyzacji</w:t>
      </w:r>
      <w:r w:rsidR="009A0535" w:rsidRPr="00CC472B">
        <w:t xml:space="preserve"> i</w:t>
      </w:r>
      <w:r w:rsidR="009A0535">
        <w:t> </w:t>
      </w:r>
      <w:r w:rsidR="009A0535" w:rsidRPr="00CC472B">
        <w:t>upo</w:t>
      </w:r>
      <w:r w:rsidRPr="00CC472B">
        <w:t>rządkowanej likwidacji przez instytucje kredytowe lub firmy inwestycyjne („instytucje”) do celów sporządzania</w:t>
      </w:r>
      <w:r w:rsidR="009A0535" w:rsidRPr="00CC472B">
        <w:t xml:space="preserve"> i</w:t>
      </w:r>
      <w:r w:rsidR="009A0535">
        <w:t> </w:t>
      </w:r>
      <w:r w:rsidR="009A0535" w:rsidRPr="00CC472B">
        <w:t>wdr</w:t>
      </w:r>
      <w:r w:rsidRPr="00CC472B">
        <w:t>ażania planów restrukturyzacji</w:t>
      </w:r>
      <w:r w:rsidR="009A0535" w:rsidRPr="00CC472B">
        <w:t xml:space="preserve"> i</w:t>
      </w:r>
      <w:r w:rsidR="009A0535">
        <w:t> </w:t>
      </w:r>
      <w:r w:rsidR="009A0535" w:rsidRPr="00CC472B">
        <w:t>upo</w:t>
      </w:r>
      <w:r w:rsidRPr="00CC472B">
        <w:t>rządkowanej likwidacji</w:t>
      </w:r>
      <w:r w:rsidR="009A0535" w:rsidRPr="00CC472B">
        <w:t xml:space="preserve"> w</w:t>
      </w:r>
      <w:r w:rsidR="009A0535">
        <w:t> </w:t>
      </w:r>
      <w:r w:rsidR="009A0535" w:rsidRPr="00CC472B">
        <w:t>odn</w:t>
      </w:r>
      <w:r w:rsidRPr="00CC472B">
        <w:t>iesieniu do instytucji. Od czasu przyjęcia rozporządzenia wykonawczego (UE) 2016/1066 organy ds. restrukturyzacji</w:t>
      </w:r>
      <w:r w:rsidR="009A0535" w:rsidRPr="00CC472B">
        <w:t xml:space="preserve"> i</w:t>
      </w:r>
      <w:r w:rsidR="009A0535">
        <w:t> </w:t>
      </w:r>
      <w:r w:rsidR="009A0535" w:rsidRPr="00CC472B">
        <w:t>upo</w:t>
      </w:r>
      <w:r w:rsidRPr="00CC472B">
        <w:t>rządkowanej likwidacji zyskały doświadczenie</w:t>
      </w:r>
      <w:r w:rsidR="009A0535" w:rsidRPr="00CC472B">
        <w:t xml:space="preserve"> w</w:t>
      </w:r>
      <w:r w:rsidR="009A0535">
        <w:t> </w:t>
      </w:r>
      <w:r w:rsidR="009A0535" w:rsidRPr="00CC472B">
        <w:t>obs</w:t>
      </w:r>
      <w:r w:rsidRPr="00CC472B">
        <w:t>zarze planowania restrukturyzacji</w:t>
      </w:r>
      <w:r w:rsidR="009A0535" w:rsidRPr="00CC472B">
        <w:t xml:space="preserve"> i</w:t>
      </w:r>
      <w:r w:rsidR="009A0535">
        <w:t> </w:t>
      </w:r>
      <w:r w:rsidR="009A0535" w:rsidRPr="00CC472B">
        <w:t>upo</w:t>
      </w:r>
      <w:r w:rsidRPr="00CC472B">
        <w:t>rządkowanej likwidacji</w:t>
      </w:r>
      <w:r w:rsidR="009A0535" w:rsidRPr="00CC472B">
        <w:t>. W</w:t>
      </w:r>
      <w:r w:rsidR="009A0535">
        <w:t> </w:t>
      </w:r>
      <w:r w:rsidR="009A0535" w:rsidRPr="00CC472B">
        <w:t>świ</w:t>
      </w:r>
      <w:r w:rsidRPr="00CC472B">
        <w:t>etle tego doświadczenia należy dokonać aktualizacji minimalnego zestawu szablonów stosowanych do gromadzenia informacji do celów planowania restrukturyzacji</w:t>
      </w:r>
      <w:r w:rsidR="009A0535" w:rsidRPr="00CC472B">
        <w:t xml:space="preserve"> i</w:t>
      </w:r>
      <w:r w:rsidR="009A0535">
        <w:t> </w:t>
      </w:r>
      <w:r w:rsidR="009A0535" w:rsidRPr="00CC472B">
        <w:t>upo</w:t>
      </w:r>
      <w:r w:rsidRPr="00CC472B">
        <w:t>rządkowanej likwidacji.</w:t>
      </w:r>
    </w:p>
    <w:p w:rsidR="007E1AE4" w:rsidRPr="00CC472B" w:rsidRDefault="007E1AE4" w:rsidP="006E1E68">
      <w:pPr>
        <w:pStyle w:val="Considrant"/>
      </w:pPr>
      <w:r w:rsidRPr="00CC472B">
        <w:t>Rozporządzenie wykonawcze (UE) 2016/1066 ma również na celu opracowanie procedury oraz minimalnego zestawu szablonów stosowanych do przekazywania informacji organom ds. restrukturyzacji</w:t>
      </w:r>
      <w:r w:rsidR="009A0535" w:rsidRPr="00CC472B">
        <w:t xml:space="preserve"> i</w:t>
      </w:r>
      <w:r w:rsidR="009A0535">
        <w:t> </w:t>
      </w:r>
      <w:r w:rsidR="009A0535" w:rsidRPr="00CC472B">
        <w:t>upo</w:t>
      </w:r>
      <w:r w:rsidRPr="00CC472B">
        <w:t>rządkowanej likwidacji przez instytucje</w:t>
      </w:r>
      <w:r w:rsidR="009A0535" w:rsidRPr="00CC472B">
        <w:t xml:space="preserve"> w</w:t>
      </w:r>
      <w:r w:rsidR="009A0535">
        <w:t> </w:t>
      </w:r>
      <w:r w:rsidR="009A0535" w:rsidRPr="00CC472B">
        <w:t>tak</w:t>
      </w:r>
      <w:r w:rsidRPr="00CC472B">
        <w:t>i sposób, aby umożliwić organom ds. restrukturyzacji</w:t>
      </w:r>
      <w:r w:rsidR="009A0535" w:rsidRPr="00CC472B">
        <w:t xml:space="preserve"> i</w:t>
      </w:r>
      <w:r w:rsidR="009A0535">
        <w:t> </w:t>
      </w:r>
      <w:r w:rsidR="009A0535" w:rsidRPr="00CC472B">
        <w:t>upo</w:t>
      </w:r>
      <w:r w:rsidRPr="00CC472B">
        <w:t>rządkowanej likwidacji gromadzenie tych informacji</w:t>
      </w:r>
      <w:r w:rsidR="009A0535" w:rsidRPr="00CC472B">
        <w:t xml:space="preserve"> w</w:t>
      </w:r>
      <w:r w:rsidR="009A0535">
        <w:t> </w:t>
      </w:r>
      <w:r w:rsidR="009A0535" w:rsidRPr="00CC472B">
        <w:t>spo</w:t>
      </w:r>
      <w:r w:rsidRPr="00CC472B">
        <w:t>sób spójny</w:t>
      </w:r>
      <w:r w:rsidR="009A0535" w:rsidRPr="00CC472B">
        <w:t xml:space="preserve"> w</w:t>
      </w:r>
      <w:r w:rsidR="009A0535">
        <w:t> </w:t>
      </w:r>
      <w:r w:rsidR="009A0535" w:rsidRPr="00CC472B">
        <w:t>cał</w:t>
      </w:r>
      <w:r w:rsidRPr="00CC472B">
        <w:t>ej Unii oraz aby ułatwić wymianę informacji między odpowiednimi organami</w:t>
      </w:r>
      <w:r w:rsidR="009A0535" w:rsidRPr="00CC472B">
        <w:t>. Z</w:t>
      </w:r>
      <w:r w:rsidR="009A0535">
        <w:t> </w:t>
      </w:r>
      <w:r w:rsidR="009A0535" w:rsidRPr="00CC472B">
        <w:t>doś</w:t>
      </w:r>
      <w:r w:rsidRPr="00CC472B">
        <w:t>wiadczenia wynika jednak, że zharmonizowane podejście do gromadzenia tych informacji osiągnięto tylko częściowo. Konieczne jest zatem zapewnienie, aby organy ds. restrukturyzacji</w:t>
      </w:r>
      <w:r w:rsidR="009A0535" w:rsidRPr="00CC472B">
        <w:t xml:space="preserve"> i</w:t>
      </w:r>
      <w:r w:rsidR="009A0535">
        <w:t> </w:t>
      </w:r>
      <w:r w:rsidR="009A0535" w:rsidRPr="00CC472B">
        <w:t>upo</w:t>
      </w:r>
      <w:r w:rsidRPr="00CC472B">
        <w:t>rządkowanej likwidacji regularnie gromadziły minimum podstawowych informacji dotyczących instytucji lub grup</w:t>
      </w:r>
      <w:r w:rsidR="009A0535" w:rsidRPr="00CC472B">
        <w:t xml:space="preserve"> w</w:t>
      </w:r>
      <w:r w:rsidR="009A0535">
        <w:t> </w:t>
      </w:r>
      <w:r w:rsidR="009A0535" w:rsidRPr="00CC472B">
        <w:t>cał</w:t>
      </w:r>
      <w:r w:rsidRPr="00CC472B">
        <w:t>ej Unii. Nie uniemożliwia to gromadzenia przez organ ds. restrukturyzacji</w:t>
      </w:r>
      <w:r w:rsidR="009A0535" w:rsidRPr="00CC472B">
        <w:t xml:space="preserve"> i</w:t>
      </w:r>
      <w:r w:rsidR="009A0535">
        <w:t> </w:t>
      </w:r>
      <w:r w:rsidR="009A0535" w:rsidRPr="00CC472B">
        <w:t>upo</w:t>
      </w:r>
      <w:r w:rsidRPr="00CC472B">
        <w:t>rządkowanej likwidacji dodatkowych informacji, które uzna za niezbędne do opracowania</w:t>
      </w:r>
      <w:r w:rsidR="009A0535" w:rsidRPr="00CC472B">
        <w:t xml:space="preserve"> i</w:t>
      </w:r>
      <w:r w:rsidR="009A0535">
        <w:t> </w:t>
      </w:r>
      <w:r w:rsidR="009A0535" w:rsidRPr="00CC472B">
        <w:t>wdr</w:t>
      </w:r>
      <w:r w:rsidRPr="00CC472B">
        <w:t>ożenia planów restrukturyzacji</w:t>
      </w:r>
      <w:r w:rsidR="009A0535" w:rsidRPr="00CC472B">
        <w:t xml:space="preserve"> i</w:t>
      </w:r>
      <w:r w:rsidR="009A0535">
        <w:t> </w:t>
      </w:r>
      <w:r w:rsidR="009A0535" w:rsidRPr="00CC472B">
        <w:t>upo</w:t>
      </w:r>
      <w:r w:rsidRPr="00CC472B">
        <w:t>rządkowanej likwidacji lub do ustalenia, jak określono</w:t>
      </w:r>
      <w:r w:rsidR="009A0535" w:rsidRPr="00CC472B">
        <w:t xml:space="preserve"> w</w:t>
      </w:r>
      <w:r w:rsidR="009A0535">
        <w:t> </w:t>
      </w:r>
      <w:r w:rsidR="009A0535" w:rsidRPr="009A0535">
        <w:t>art</w:t>
      </w:r>
      <w:r w:rsidRPr="009A0535">
        <w:t>.</w:t>
      </w:r>
      <w:r w:rsidR="009A0535" w:rsidRPr="009A0535">
        <w:t> </w:t>
      </w:r>
      <w:r w:rsidRPr="009A0535">
        <w:t>4</w:t>
      </w:r>
      <w:r w:rsidRPr="00CC472B">
        <w:t xml:space="preserve"> dyrektywy 2014/59/UE, uproszczonych obowiązków informacyjnych.</w:t>
      </w:r>
    </w:p>
    <w:p w:rsidR="007E1AE4" w:rsidRPr="00CC472B" w:rsidRDefault="007E1AE4" w:rsidP="007E1AE4">
      <w:pPr>
        <w:pStyle w:val="Considrant"/>
      </w:pPr>
      <w:r w:rsidRPr="00CC472B">
        <w:t>W celu zapewnienia, aby plany restrukturyzacji</w:t>
      </w:r>
      <w:r w:rsidR="009A0535" w:rsidRPr="00CC472B">
        <w:t xml:space="preserve"> i</w:t>
      </w:r>
      <w:r w:rsidR="009A0535">
        <w:t> </w:t>
      </w:r>
      <w:r w:rsidR="009A0535" w:rsidRPr="00CC472B">
        <w:t>upo</w:t>
      </w:r>
      <w:r w:rsidRPr="00CC472B">
        <w:t>rządkowanej likwidacji opierały się na minimalnym zestawie danych charakteryzujących się stałą wysoką jakością</w:t>
      </w:r>
      <w:r w:rsidR="009A0535" w:rsidRPr="00CC472B">
        <w:t xml:space="preserve"> i</w:t>
      </w:r>
      <w:r w:rsidR="009A0535">
        <w:t> </w:t>
      </w:r>
      <w:r w:rsidR="009A0535" w:rsidRPr="00CC472B">
        <w:t>dok</w:t>
      </w:r>
      <w:r w:rsidRPr="00CC472B">
        <w:t>ładnością, należy przekształcić pozycje danych określone</w:t>
      </w:r>
      <w:r w:rsidR="009A0535" w:rsidRPr="00CC472B">
        <w:t xml:space="preserve"> w</w:t>
      </w:r>
      <w:r w:rsidR="009A0535">
        <w:t> </w:t>
      </w:r>
      <w:r w:rsidR="009A0535" w:rsidRPr="00CC472B">
        <w:t>for</w:t>
      </w:r>
      <w:r w:rsidRPr="00CC472B">
        <w:t>mularzach sprawozdawczych wprowadzonych rozporządzeniem wykonawczym (UE) 2016/1066</w:t>
      </w:r>
      <w:r w:rsidR="009A0535" w:rsidRPr="00CC472B">
        <w:t xml:space="preserve"> w</w:t>
      </w:r>
      <w:r w:rsidR="009A0535">
        <w:t> </w:t>
      </w:r>
      <w:r w:rsidR="009A0535" w:rsidRPr="00CC472B">
        <w:t>jed</w:t>
      </w:r>
      <w:r w:rsidRPr="00CC472B">
        <w:t>nolity model punktów danych zgodnie</w:t>
      </w:r>
      <w:r w:rsidR="009A0535" w:rsidRPr="00CC472B">
        <w:t xml:space="preserve"> z</w:t>
      </w:r>
      <w:r w:rsidR="009A0535">
        <w:t> </w:t>
      </w:r>
      <w:r w:rsidR="009A0535" w:rsidRPr="00CC472B">
        <w:t>pra</w:t>
      </w:r>
      <w:r w:rsidRPr="00CC472B">
        <w:t>ktyką stosowaną</w:t>
      </w:r>
      <w:r w:rsidR="009A0535" w:rsidRPr="00CC472B">
        <w:t xml:space="preserve"> w</w:t>
      </w:r>
      <w:r w:rsidR="009A0535">
        <w:t> </w:t>
      </w:r>
      <w:r w:rsidR="009A0535" w:rsidRPr="00CC472B">
        <w:t>spr</w:t>
      </w:r>
      <w:r w:rsidRPr="00CC472B">
        <w:t>awozdawczości nadzorczej. Jednolity model punktów danych powinien stanowić uporządkowane przedstawienie pozycji danych oraz identyfikować wszystkie koncepcje biznesowe mające znaczenie</w:t>
      </w:r>
      <w:r w:rsidR="009A0535" w:rsidRPr="00CC472B">
        <w:t xml:space="preserve"> w</w:t>
      </w:r>
      <w:r w:rsidR="009A0535">
        <w:t> </w:t>
      </w:r>
      <w:r w:rsidR="009A0535" w:rsidRPr="00CC472B">
        <w:t>odn</w:t>
      </w:r>
      <w:r w:rsidRPr="00CC472B">
        <w:t>iesieniu do jednolitej sprawozdawczości do celów planowania restrukturyzacji</w:t>
      </w:r>
      <w:r w:rsidR="009A0535" w:rsidRPr="00CC472B">
        <w:t xml:space="preserve"> i</w:t>
      </w:r>
      <w:r w:rsidR="009A0535">
        <w:t> </w:t>
      </w:r>
      <w:r w:rsidR="009A0535" w:rsidRPr="00CC472B">
        <w:t>upo</w:t>
      </w:r>
      <w:r w:rsidRPr="00CC472B">
        <w:t>rządkowanej likwidacji,</w:t>
      </w:r>
      <w:r w:rsidR="009A0535" w:rsidRPr="00CC472B">
        <w:t xml:space="preserve"> a</w:t>
      </w:r>
      <w:r w:rsidR="009A0535">
        <w:t> </w:t>
      </w:r>
      <w:r w:rsidR="009A0535" w:rsidRPr="00CC472B">
        <w:t>tak</w:t>
      </w:r>
      <w:r w:rsidRPr="00CC472B">
        <w:t>że powinien zawierać wszystkie odpowiednie specyfikacje konieczne do dalszego rozwoju jednolitych narzędzi informatycznych na potrzeby sprawozdawczości.</w:t>
      </w:r>
    </w:p>
    <w:p w:rsidR="007E1AE4" w:rsidRPr="00CC472B" w:rsidRDefault="007E1AE4" w:rsidP="007E1AE4">
      <w:pPr>
        <w:pStyle w:val="Considrant"/>
      </w:pPr>
      <w:r w:rsidRPr="00CC472B">
        <w:t>W celu zapewnienia jakości, spójności</w:t>
      </w:r>
      <w:r w:rsidR="009A0535" w:rsidRPr="00CC472B">
        <w:t xml:space="preserve"> i</w:t>
      </w:r>
      <w:r w:rsidR="009A0535">
        <w:t> </w:t>
      </w:r>
      <w:r w:rsidR="009A0535" w:rsidRPr="00CC472B">
        <w:t>dok</w:t>
      </w:r>
      <w:r w:rsidRPr="00CC472B">
        <w:t>ładności pozycji danych zgłaszanych przez instytucje pozycje te powinny podlegać wspólnym zasadom walidacji.</w:t>
      </w:r>
    </w:p>
    <w:p w:rsidR="007E1AE4" w:rsidRPr="00CC472B" w:rsidRDefault="007E1AE4" w:rsidP="007E1AE4">
      <w:pPr>
        <w:pStyle w:val="Considrant"/>
      </w:pPr>
      <w:r w:rsidRPr="00CC472B">
        <w:t>Z uwagi na ich szczególny charakter zasady walidacji</w:t>
      </w:r>
      <w:r w:rsidR="009A0535" w:rsidRPr="00CC472B">
        <w:t xml:space="preserve"> i</w:t>
      </w:r>
      <w:r w:rsidR="009A0535">
        <w:t> </w:t>
      </w:r>
      <w:r w:rsidR="009A0535" w:rsidRPr="00CC472B">
        <w:t>def</w:t>
      </w:r>
      <w:r w:rsidRPr="00CC472B">
        <w:t>inicje punktów danych podlegają regularnej aktualizacji, tak aby zapewnić ich stałą zgodność</w:t>
      </w:r>
      <w:r w:rsidR="009A0535" w:rsidRPr="00CC472B">
        <w:t xml:space="preserve"> z</w:t>
      </w:r>
      <w:r w:rsidR="009A0535">
        <w:t> </w:t>
      </w:r>
      <w:r w:rsidR="009A0535" w:rsidRPr="00CC472B">
        <w:t>obo</w:t>
      </w:r>
      <w:r w:rsidRPr="00CC472B">
        <w:t>wiązującymi wymogami regulacyjnymi, analitycznymi</w:t>
      </w:r>
      <w:r w:rsidR="009A0535" w:rsidRPr="00CC472B">
        <w:t xml:space="preserve"> i</w:t>
      </w:r>
      <w:r w:rsidR="009A0535">
        <w:t> </w:t>
      </w:r>
      <w:r w:rsidR="009A0535" w:rsidRPr="00CC472B">
        <w:t>inf</w:t>
      </w:r>
      <w:r w:rsidRPr="00CC472B">
        <w:t>ormatycznymi. Ze względu na długotrwałość obecnej procedury przyjmowania</w:t>
      </w:r>
      <w:r w:rsidR="009A0535" w:rsidRPr="00CC472B">
        <w:t xml:space="preserve"> i</w:t>
      </w:r>
      <w:r w:rsidR="009A0535">
        <w:t> </w:t>
      </w:r>
      <w:r w:rsidR="009A0535" w:rsidRPr="00CC472B">
        <w:t>pub</w:t>
      </w:r>
      <w:r w:rsidRPr="00CC472B">
        <w:t>likacji szczegółowy jednolity model punktów danych</w:t>
      </w:r>
      <w:r w:rsidR="009A0535" w:rsidRPr="00CC472B">
        <w:t xml:space="preserve"> i</w:t>
      </w:r>
      <w:r w:rsidR="009A0535">
        <w:t> </w:t>
      </w:r>
      <w:r w:rsidR="009A0535" w:rsidRPr="00CC472B">
        <w:t>zas</w:t>
      </w:r>
      <w:r w:rsidRPr="00CC472B">
        <w:t>ady walidacji nie mogą być zmieniane odpowiednio szybko</w:t>
      </w:r>
      <w:r w:rsidR="009A0535" w:rsidRPr="00CC472B">
        <w:t xml:space="preserve"> i</w:t>
      </w:r>
      <w:r w:rsidR="009A0535">
        <w:t> </w:t>
      </w:r>
      <w:r w:rsidR="009A0535" w:rsidRPr="00CC472B">
        <w:t>ter</w:t>
      </w:r>
      <w:r w:rsidRPr="00CC472B">
        <w:t>minowo, tak aby zapewnić ciągłe przekazywanie jednolitych informacji dotyczących planów restrukturyzacji</w:t>
      </w:r>
      <w:r w:rsidR="009A0535" w:rsidRPr="00CC472B">
        <w:t xml:space="preserve"> i</w:t>
      </w:r>
      <w:r w:rsidR="009A0535">
        <w:t> </w:t>
      </w:r>
      <w:r w:rsidR="009A0535" w:rsidRPr="00CC472B">
        <w:t>upo</w:t>
      </w:r>
      <w:r w:rsidRPr="00CC472B">
        <w:t>rządkowanej likwidacji</w:t>
      </w:r>
      <w:r w:rsidR="009A0535" w:rsidRPr="00CC472B">
        <w:t xml:space="preserve"> w</w:t>
      </w:r>
      <w:r w:rsidR="009A0535">
        <w:t> </w:t>
      </w:r>
      <w:r w:rsidR="009A0535" w:rsidRPr="00CC472B">
        <w:t>Uni</w:t>
      </w:r>
      <w:r w:rsidRPr="00CC472B">
        <w:t>i. Należy zatem ustanowić rygorystyczne kryteria jakościowe dotyczące jednolitego modelu punktów danych oraz szczegółowe wspólne zasady walidacji, które zostaną opublikowane</w:t>
      </w:r>
      <w:r w:rsidR="009A0535" w:rsidRPr="00CC472B">
        <w:t xml:space="preserve"> w</w:t>
      </w:r>
      <w:r w:rsidR="009A0535">
        <w:t> </w:t>
      </w:r>
      <w:r w:rsidR="009A0535" w:rsidRPr="00CC472B">
        <w:t>for</w:t>
      </w:r>
      <w:r w:rsidRPr="00CC472B">
        <w:t xml:space="preserve">mie elektronicznej przez Europejski Urząd Nadzoru Bankowego (EUNB) na jego stronie internetowej. </w:t>
      </w:r>
    </w:p>
    <w:p w:rsidR="007E1AE4" w:rsidRPr="00CC472B" w:rsidRDefault="007E1AE4" w:rsidP="007E1AE4">
      <w:pPr>
        <w:pStyle w:val="Considrant"/>
      </w:pPr>
      <w:r w:rsidRPr="00CC472B">
        <w:t>Zgodnie</w:t>
      </w:r>
      <w:r w:rsidR="009A0535" w:rsidRPr="00CC472B">
        <w:t xml:space="preserve"> z</w:t>
      </w:r>
      <w:r w:rsidR="009A0535">
        <w:t> </w:t>
      </w:r>
      <w:r w:rsidR="009A0535" w:rsidRPr="009A0535">
        <w:t>art</w:t>
      </w:r>
      <w:r w:rsidRPr="009A0535">
        <w:t>.</w:t>
      </w:r>
      <w:r w:rsidR="009A0535" w:rsidRPr="009A0535">
        <w:t> </w:t>
      </w:r>
      <w:r w:rsidRPr="009A0535">
        <w:t>1</w:t>
      </w:r>
      <w:r w:rsidRPr="00CC472B">
        <w:t xml:space="preserve">1 </w:t>
      </w:r>
      <w:r w:rsidRPr="009A0535">
        <w:t>ust.</w:t>
      </w:r>
      <w:r w:rsidR="009A0535" w:rsidRPr="009A0535">
        <w:t> </w:t>
      </w:r>
      <w:r w:rsidRPr="009A0535">
        <w:t>2</w:t>
      </w:r>
      <w:r w:rsidRPr="00CC472B">
        <w:t xml:space="preserve"> dyrektywy 2014/59/UE właściwe organy</w:t>
      </w:r>
      <w:r w:rsidR="009A0535" w:rsidRPr="00CC472B">
        <w:t xml:space="preserve"> i</w:t>
      </w:r>
      <w:r w:rsidR="009A0535">
        <w:t> </w:t>
      </w:r>
      <w:r w:rsidR="009A0535" w:rsidRPr="00CC472B">
        <w:t>org</w:t>
      </w:r>
      <w:r w:rsidRPr="00CC472B">
        <w:t>any ds. restrukturyzacji</w:t>
      </w:r>
      <w:r w:rsidR="009A0535" w:rsidRPr="00CC472B">
        <w:t xml:space="preserve"> i</w:t>
      </w:r>
      <w:r w:rsidR="009A0535">
        <w:t> </w:t>
      </w:r>
      <w:r w:rsidR="009A0535" w:rsidRPr="00CC472B">
        <w:t>upo</w:t>
      </w:r>
      <w:r w:rsidRPr="00CC472B">
        <w:t>rządkowanej likwidacji powinny współpracować</w:t>
      </w:r>
      <w:r w:rsidR="009A0535" w:rsidRPr="00CC472B">
        <w:t xml:space="preserve"> w</w:t>
      </w:r>
      <w:r w:rsidR="009A0535">
        <w:t> </w:t>
      </w:r>
      <w:r w:rsidR="009A0535" w:rsidRPr="00CC472B">
        <w:t>cel</w:t>
      </w:r>
      <w:r w:rsidRPr="00CC472B">
        <w:t>u zminimalizowania powielania wymogów</w:t>
      </w:r>
      <w:r w:rsidR="009A0535" w:rsidRPr="00CC472B">
        <w:t xml:space="preserve"> w</w:t>
      </w:r>
      <w:r w:rsidR="009A0535">
        <w:t> </w:t>
      </w:r>
      <w:r w:rsidR="009A0535" w:rsidRPr="00CC472B">
        <w:t>zak</w:t>
      </w:r>
      <w:r w:rsidRPr="00CC472B">
        <w:t>resie informacji</w:t>
      </w:r>
      <w:r w:rsidR="009A0535" w:rsidRPr="00CC472B">
        <w:t>. W</w:t>
      </w:r>
      <w:r w:rsidR="009A0535">
        <w:t> </w:t>
      </w:r>
      <w:r w:rsidR="009A0535" w:rsidRPr="00CC472B">
        <w:t>tym</w:t>
      </w:r>
      <w:r w:rsidRPr="00CC472B">
        <w:t xml:space="preserve"> celu</w:t>
      </w:r>
      <w:r w:rsidR="009A0535" w:rsidRPr="00CC472B">
        <w:t xml:space="preserve"> w</w:t>
      </w:r>
      <w:r w:rsidR="009A0535">
        <w:t> </w:t>
      </w:r>
      <w:r w:rsidR="009A0535" w:rsidRPr="00CC472B">
        <w:t>roz</w:t>
      </w:r>
      <w:r w:rsidRPr="00CC472B">
        <w:t>porządzeniu wykonawczym (UE) 2016/1066 wprowadzono procedurę współpracy pomiędzy właściwymi organami</w:t>
      </w:r>
      <w:r w:rsidR="009A0535" w:rsidRPr="00CC472B">
        <w:t xml:space="preserve"> a</w:t>
      </w:r>
      <w:r w:rsidR="009A0535">
        <w:t> </w:t>
      </w:r>
      <w:r w:rsidR="009A0535" w:rsidRPr="00CC472B">
        <w:t>org</w:t>
      </w:r>
      <w:r w:rsidRPr="00CC472B">
        <w:t>anami ds. restrukturyzacji</w:t>
      </w:r>
      <w:r w:rsidR="009A0535" w:rsidRPr="00CC472B">
        <w:t xml:space="preserve"> i</w:t>
      </w:r>
      <w:r w:rsidR="009A0535">
        <w:t> </w:t>
      </w:r>
      <w:r w:rsidR="009A0535" w:rsidRPr="00CC472B">
        <w:t>upo</w:t>
      </w:r>
      <w:r w:rsidRPr="00CC472B">
        <w:t>rządkowanej likwidacji, którą należy utrzymywać tak, aby właściwe organy oraz organy ds. restrukturyzacji</w:t>
      </w:r>
      <w:r w:rsidR="009A0535" w:rsidRPr="00CC472B">
        <w:t xml:space="preserve"> i</w:t>
      </w:r>
      <w:r w:rsidR="009A0535">
        <w:t> </w:t>
      </w:r>
      <w:r w:rsidR="009A0535" w:rsidRPr="00CC472B">
        <w:t>upo</w:t>
      </w:r>
      <w:r w:rsidRPr="00CC472B">
        <w:t>rządkowanej likwidacji wspólnie weryfikowały, czy dany właściwy organ ma już dostęp do części lub całości wymaganych informacji. Jeżeli informacje te są dostępne właściwemu organowi, powinien on przekazać je bezpośrednio organowi ds. restrukturyzacji</w:t>
      </w:r>
      <w:r w:rsidR="009A0535" w:rsidRPr="00CC472B">
        <w:t xml:space="preserve"> i</w:t>
      </w:r>
      <w:r w:rsidR="009A0535">
        <w:t> </w:t>
      </w:r>
      <w:r w:rsidR="009A0535" w:rsidRPr="00CC472B">
        <w:t>upo</w:t>
      </w:r>
      <w:r w:rsidRPr="00CC472B">
        <w:t>rządkowanej likwidacji.</w:t>
      </w:r>
    </w:p>
    <w:p w:rsidR="007E1AE4" w:rsidRPr="00CC472B" w:rsidRDefault="007E1AE4" w:rsidP="007E1AE4">
      <w:pPr>
        <w:pStyle w:val="Considrant"/>
      </w:pPr>
      <w:r w:rsidRPr="00CC472B">
        <w:t>Uwzględniając zakres koniecznych zmian</w:t>
      </w:r>
      <w:r w:rsidR="009A0535" w:rsidRPr="00CC472B">
        <w:t xml:space="preserve"> w</w:t>
      </w:r>
      <w:r w:rsidR="009A0535">
        <w:t> </w:t>
      </w:r>
      <w:r w:rsidR="009A0535" w:rsidRPr="00CC472B">
        <w:t>roz</w:t>
      </w:r>
      <w:r w:rsidRPr="00CC472B">
        <w:t>porządzeniu wykonawczym (UE) 2016/1066,</w:t>
      </w:r>
      <w:r w:rsidR="009A0535" w:rsidRPr="00CC472B">
        <w:t xml:space="preserve"> w</w:t>
      </w:r>
      <w:r w:rsidR="009A0535">
        <w:t> </w:t>
      </w:r>
      <w:r w:rsidR="009A0535" w:rsidRPr="00CC472B">
        <w:t>cel</w:t>
      </w:r>
      <w:r w:rsidRPr="00CC472B">
        <w:t>u zapewnienia pewności</w:t>
      </w:r>
      <w:r w:rsidR="009A0535" w:rsidRPr="00CC472B">
        <w:t xml:space="preserve"> i</w:t>
      </w:r>
      <w:r w:rsidR="009A0535">
        <w:t> </w:t>
      </w:r>
      <w:r w:rsidR="009A0535" w:rsidRPr="00CC472B">
        <w:t>jas</w:t>
      </w:r>
      <w:r w:rsidRPr="00CC472B">
        <w:t>ności prawa zaleca się przyjęcie nowego rozporządzenia wykonawczego i,</w:t>
      </w:r>
      <w:r w:rsidR="009A0535" w:rsidRPr="00CC472B">
        <w:t xml:space="preserve"> w</w:t>
      </w:r>
      <w:r w:rsidR="009A0535">
        <w:t> </w:t>
      </w:r>
      <w:r w:rsidR="009A0535" w:rsidRPr="00CC472B">
        <w:t>zwi</w:t>
      </w:r>
      <w:r w:rsidRPr="00CC472B">
        <w:t>ązku</w:t>
      </w:r>
      <w:r w:rsidR="009A0535" w:rsidRPr="00CC472B">
        <w:t xml:space="preserve"> z</w:t>
      </w:r>
      <w:r w:rsidR="009A0535">
        <w:t> </w:t>
      </w:r>
      <w:r w:rsidR="009A0535" w:rsidRPr="00CC472B">
        <w:t>tym</w:t>
      </w:r>
      <w:r w:rsidRPr="00CC472B">
        <w:t>, uchylenie rozporządzenia wykonawczego (UE) 2016/1066.</w:t>
      </w:r>
    </w:p>
    <w:p w:rsidR="007E1AE4" w:rsidRPr="00CC472B" w:rsidRDefault="007E1AE4" w:rsidP="007E1AE4">
      <w:pPr>
        <w:pStyle w:val="Considrant"/>
      </w:pPr>
      <w:r w:rsidRPr="00CC472B">
        <w:t>Podstawę niniejszego rozporządzenia stanowią wykonawcze standardy techniczne przedstawione Komisji przez EUNB.</w:t>
      </w:r>
    </w:p>
    <w:p w:rsidR="007E1AE4" w:rsidRPr="00CC472B" w:rsidRDefault="007E1AE4" w:rsidP="007E1AE4">
      <w:pPr>
        <w:pStyle w:val="Considrant"/>
      </w:pPr>
      <w:r w:rsidRPr="00CC472B">
        <w:t>EUNB przeprowadził otwarte konsultacje publiczne na temat wykonawczych standardów technicznych, które stanowią podstawę niniejszego rozporządzenia, dokonał analizy potencjalnych powiązanych kosztów</w:t>
      </w:r>
      <w:r w:rsidR="009A0535" w:rsidRPr="00CC472B">
        <w:t xml:space="preserve"> i</w:t>
      </w:r>
      <w:r w:rsidR="009A0535">
        <w:t> </w:t>
      </w:r>
      <w:r w:rsidR="009A0535" w:rsidRPr="00CC472B">
        <w:t>kor</w:t>
      </w:r>
      <w:r w:rsidRPr="00CC472B">
        <w:t>zyści oraz zwrócił się</w:t>
      </w:r>
      <w:r w:rsidR="009A0535" w:rsidRPr="00CC472B">
        <w:t xml:space="preserve"> o</w:t>
      </w:r>
      <w:r w:rsidR="009A0535">
        <w:t> </w:t>
      </w:r>
      <w:r w:rsidR="009A0535" w:rsidRPr="00CC472B">
        <w:t>wyd</w:t>
      </w:r>
      <w:r w:rsidRPr="00CC472B">
        <w:t xml:space="preserve">anie opinii do Bankowej Grupy Interesariuszy powołanej na podstawie </w:t>
      </w:r>
      <w:r w:rsidRPr="009A0535">
        <w:t>art.</w:t>
      </w:r>
      <w:r w:rsidR="009A0535" w:rsidRPr="009A0535">
        <w:t> </w:t>
      </w:r>
      <w:r w:rsidRPr="009A0535">
        <w:t>3</w:t>
      </w:r>
      <w:r w:rsidRPr="00CC472B">
        <w:t>7 rozporządzenia Parlamentu Europejskiego</w:t>
      </w:r>
      <w:r w:rsidR="009A0535" w:rsidRPr="00CC472B">
        <w:t xml:space="preserve"> i</w:t>
      </w:r>
      <w:r w:rsidR="009A0535">
        <w:t> </w:t>
      </w:r>
      <w:r w:rsidR="009A0535" w:rsidRPr="00CC472B">
        <w:t>Rad</w:t>
      </w:r>
      <w:r w:rsidRPr="00CC472B">
        <w:t xml:space="preserve">y (UE) </w:t>
      </w:r>
      <w:r w:rsidRPr="009A0535">
        <w:t>nr</w:t>
      </w:r>
      <w:r w:rsidR="009A0535" w:rsidRPr="009A0535">
        <w:t> </w:t>
      </w:r>
      <w:r w:rsidRPr="009A0535">
        <w:t>1</w:t>
      </w:r>
      <w:r w:rsidRPr="00CC472B">
        <w:t>093/2010</w:t>
      </w:r>
      <w:r w:rsidRPr="00CC472B">
        <w:rPr>
          <w:rStyle w:val="FootnoteReference"/>
        </w:rPr>
        <w:footnoteReference w:id="4"/>
      </w:r>
      <w:r w:rsidRPr="00CC472B">
        <w:t>,</w:t>
      </w:r>
    </w:p>
    <w:p w:rsidR="007E1AE4" w:rsidRPr="00CC472B" w:rsidRDefault="007E1AE4" w:rsidP="007E1AE4">
      <w:pPr>
        <w:pStyle w:val="Formuledadoption"/>
        <w:rPr>
          <w:color w:val="000000" w:themeColor="text1"/>
        </w:rPr>
      </w:pPr>
      <w:r w:rsidRPr="00CC472B">
        <w:rPr>
          <w:color w:val="000000" w:themeColor="text1"/>
        </w:rPr>
        <w:t>PRZYJMUJE NINIEJSZE ROZPORZĄDZENIE:</w:t>
      </w:r>
    </w:p>
    <w:p w:rsidR="007E1AE4" w:rsidRPr="00CC472B" w:rsidRDefault="007E1AE4" w:rsidP="007E1AE4">
      <w:pPr>
        <w:pStyle w:val="Titrearticle"/>
        <w:rPr>
          <w:color w:val="000000" w:themeColor="text1"/>
        </w:rPr>
      </w:pPr>
      <w:r w:rsidRPr="00CC472B">
        <w:rPr>
          <w:color w:val="000000" w:themeColor="text1"/>
        </w:rPr>
        <w:t xml:space="preserve">Artykuł 1 </w:t>
      </w:r>
      <w:r w:rsidRPr="00CC472B">
        <w:rPr>
          <w:color w:val="000000" w:themeColor="text1"/>
        </w:rPr>
        <w:br/>
        <w:t>Przedmiot</w:t>
      </w:r>
    </w:p>
    <w:p w:rsidR="007E1AE4" w:rsidRPr="00CC472B" w:rsidRDefault="007E1AE4" w:rsidP="007E1AE4">
      <w:r w:rsidRPr="00CC472B">
        <w:t>Niniejsze rozporządzenie ustanawia wykonawcze standardy techniczne określające procedury</w:t>
      </w:r>
      <w:r w:rsidR="009A0535" w:rsidRPr="00CC472B">
        <w:t xml:space="preserve"> i</w:t>
      </w:r>
      <w:r w:rsidR="009A0535">
        <w:t> </w:t>
      </w:r>
      <w:r w:rsidR="009A0535" w:rsidRPr="00CC472B">
        <w:t>min</w:t>
      </w:r>
      <w:r w:rsidRPr="00CC472B">
        <w:t>imalny zestaw standardowych szablonów stosowanych do przedkładania organom ds. restrukturyzacji</w:t>
      </w:r>
      <w:r w:rsidR="009A0535" w:rsidRPr="00CC472B">
        <w:t xml:space="preserve"> i</w:t>
      </w:r>
      <w:r w:rsidR="009A0535">
        <w:t> </w:t>
      </w:r>
      <w:r w:rsidR="009A0535" w:rsidRPr="00CC472B">
        <w:t>upo</w:t>
      </w:r>
      <w:r w:rsidRPr="00CC472B">
        <w:t>rządkowanej likwidacji informacji niezbędnych do opracowania</w:t>
      </w:r>
      <w:r w:rsidR="009A0535" w:rsidRPr="00CC472B">
        <w:t xml:space="preserve"> i</w:t>
      </w:r>
      <w:r w:rsidR="009A0535">
        <w:t> </w:t>
      </w:r>
      <w:r w:rsidR="009A0535" w:rsidRPr="00CC472B">
        <w:t>wdr</w:t>
      </w:r>
      <w:r w:rsidRPr="00CC472B">
        <w:t>ożenia planów restrukturyzacji</w:t>
      </w:r>
      <w:r w:rsidR="009A0535" w:rsidRPr="00CC472B">
        <w:t xml:space="preserve"> i</w:t>
      </w:r>
      <w:r w:rsidR="009A0535">
        <w:t> </w:t>
      </w:r>
      <w:r w:rsidR="009A0535" w:rsidRPr="00CC472B">
        <w:t>upo</w:t>
      </w:r>
      <w:r w:rsidRPr="00CC472B">
        <w:t>rządkowanej likwidacji zgodnie</w:t>
      </w:r>
      <w:r w:rsidR="009A0535" w:rsidRPr="00CC472B">
        <w:t xml:space="preserve"> z</w:t>
      </w:r>
      <w:r w:rsidR="009A0535">
        <w:t> </w:t>
      </w:r>
      <w:r w:rsidR="009A0535" w:rsidRPr="009A0535">
        <w:t>art</w:t>
      </w:r>
      <w:r w:rsidRPr="009A0535">
        <w:t>.</w:t>
      </w:r>
      <w:r w:rsidR="009A0535" w:rsidRPr="009A0535">
        <w:t> </w:t>
      </w:r>
      <w:r w:rsidRPr="009A0535">
        <w:t>1</w:t>
      </w:r>
      <w:r w:rsidRPr="00CC472B">
        <w:t>1 dyrektywy 2014/59/UE oraz grupowych planów restrukturyzacji</w:t>
      </w:r>
      <w:r w:rsidR="009A0535" w:rsidRPr="00CC472B">
        <w:t xml:space="preserve"> i</w:t>
      </w:r>
      <w:r w:rsidR="009A0535">
        <w:t> </w:t>
      </w:r>
      <w:r w:rsidR="009A0535" w:rsidRPr="00CC472B">
        <w:t>upo</w:t>
      </w:r>
      <w:r w:rsidRPr="00CC472B">
        <w:t>rządkowanej likwidacji zgodnie</w:t>
      </w:r>
      <w:r w:rsidR="009A0535" w:rsidRPr="00CC472B">
        <w:t xml:space="preserve"> z</w:t>
      </w:r>
      <w:r w:rsidR="009A0535">
        <w:t> </w:t>
      </w:r>
      <w:r w:rsidR="009A0535" w:rsidRPr="009A0535">
        <w:t>art</w:t>
      </w:r>
      <w:r w:rsidRPr="009A0535">
        <w:t>.</w:t>
      </w:r>
      <w:r w:rsidR="009A0535" w:rsidRPr="009A0535">
        <w:t> </w:t>
      </w:r>
      <w:r w:rsidRPr="009A0535">
        <w:t>1</w:t>
      </w:r>
      <w:r w:rsidRPr="00CC472B">
        <w:t>3 przedmiotowej dyrektywy.</w:t>
      </w:r>
    </w:p>
    <w:p w:rsidR="007E1AE4" w:rsidRPr="00CC472B" w:rsidRDefault="007E1AE4" w:rsidP="007E1AE4">
      <w:pPr>
        <w:pStyle w:val="Titrearticle"/>
        <w:rPr>
          <w:color w:val="000000" w:themeColor="text1"/>
        </w:rPr>
      </w:pPr>
      <w:r w:rsidRPr="00CC472B">
        <w:rPr>
          <w:color w:val="000000" w:themeColor="text1"/>
        </w:rPr>
        <w:t xml:space="preserve">Artykuł 2 </w:t>
      </w:r>
      <w:r w:rsidRPr="00CC472B">
        <w:rPr>
          <w:color w:val="000000" w:themeColor="text1"/>
        </w:rPr>
        <w:br/>
        <w:t>Definicje</w:t>
      </w:r>
    </w:p>
    <w:p w:rsidR="007E1AE4" w:rsidRPr="00CC472B" w:rsidRDefault="007E1AE4" w:rsidP="007E1AE4">
      <w:r w:rsidRPr="00CC472B">
        <w:t>Do celów niniejszego rozporządzenia stosuje się następujące definicje:</w:t>
      </w:r>
    </w:p>
    <w:p w:rsidR="00F14DE3" w:rsidRPr="00CC472B" w:rsidRDefault="00CC472B" w:rsidP="00CC472B">
      <w:pPr>
        <w:pStyle w:val="Point0"/>
      </w:pPr>
      <w:r w:rsidRPr="00CC472B">
        <w:t>1)</w:t>
      </w:r>
      <w:r w:rsidRPr="00CC472B">
        <w:tab/>
      </w:r>
      <w:r w:rsidR="00AD470D" w:rsidRPr="00CC472B">
        <w:t>„podmiot objęty planem restrukturyzacji</w:t>
      </w:r>
      <w:r w:rsidR="009A0535" w:rsidRPr="00CC472B">
        <w:t xml:space="preserve"> i</w:t>
      </w:r>
      <w:r w:rsidR="009A0535">
        <w:t> </w:t>
      </w:r>
      <w:r w:rsidR="009A0535" w:rsidRPr="00CC472B">
        <w:t>upo</w:t>
      </w:r>
      <w:r w:rsidR="00AD470D" w:rsidRPr="00CC472B">
        <w:t>rządkowanej likwidacji” oznacza jedno</w:t>
      </w:r>
      <w:r w:rsidR="009A0535" w:rsidRPr="00CC472B">
        <w:t xml:space="preserve"> z</w:t>
      </w:r>
      <w:r w:rsidR="009A0535">
        <w:t> </w:t>
      </w:r>
      <w:r w:rsidR="009A0535" w:rsidRPr="00CC472B">
        <w:t>pon</w:t>
      </w:r>
      <w:r w:rsidR="00AD470D" w:rsidRPr="00CC472B">
        <w:t>iższych:</w:t>
      </w:r>
    </w:p>
    <w:p w:rsidR="00AD470D" w:rsidRPr="00CC472B" w:rsidRDefault="00CC472B" w:rsidP="00CC472B">
      <w:pPr>
        <w:pStyle w:val="Point2"/>
      </w:pPr>
      <w:r w:rsidRPr="00CC472B">
        <w:t>a)</w:t>
      </w:r>
      <w:r w:rsidRPr="00CC472B">
        <w:tab/>
      </w:r>
      <w:r w:rsidR="00AD470D" w:rsidRPr="00CC472B">
        <w:t>podmiot mający siedzibę</w:t>
      </w:r>
      <w:r w:rsidR="009A0535" w:rsidRPr="00CC472B">
        <w:t xml:space="preserve"> w</w:t>
      </w:r>
      <w:r w:rsidR="009A0535">
        <w:t> </w:t>
      </w:r>
      <w:r w:rsidR="009A0535" w:rsidRPr="00CC472B">
        <w:t>Uni</w:t>
      </w:r>
      <w:r w:rsidR="00AD470D" w:rsidRPr="00CC472B">
        <w:t>i, wskazany przez organ ds. restrukturyzacji</w:t>
      </w:r>
      <w:r w:rsidR="009A0535" w:rsidRPr="00CC472B">
        <w:t xml:space="preserve"> i</w:t>
      </w:r>
      <w:r w:rsidR="009A0535">
        <w:t> </w:t>
      </w:r>
      <w:r w:rsidR="009A0535" w:rsidRPr="00CC472B">
        <w:t>upo</w:t>
      </w:r>
      <w:r w:rsidR="00AD470D" w:rsidRPr="00CC472B">
        <w:t>rządkowanej likwidacji zgodnie</w:t>
      </w:r>
      <w:r w:rsidR="009A0535" w:rsidRPr="00CC472B">
        <w:t xml:space="preserve"> z</w:t>
      </w:r>
      <w:r w:rsidR="009A0535">
        <w:t> </w:t>
      </w:r>
      <w:r w:rsidR="009A0535" w:rsidRPr="009A0535">
        <w:t>art</w:t>
      </w:r>
      <w:r w:rsidR="00AD470D" w:rsidRPr="009A0535">
        <w:t>.</w:t>
      </w:r>
      <w:r w:rsidR="009A0535" w:rsidRPr="009A0535">
        <w:t> </w:t>
      </w:r>
      <w:r w:rsidR="00AD470D" w:rsidRPr="009A0535">
        <w:t>1</w:t>
      </w:r>
      <w:r w:rsidR="00AD470D" w:rsidRPr="00CC472B">
        <w:t>2 dyrektywy 2014/59/UE jako podmiot,</w:t>
      </w:r>
      <w:r w:rsidR="009A0535" w:rsidRPr="00CC472B">
        <w:t xml:space="preserve"> w</w:t>
      </w:r>
      <w:r w:rsidR="009A0535">
        <w:t> </w:t>
      </w:r>
      <w:r w:rsidR="009A0535" w:rsidRPr="00CC472B">
        <w:t>odn</w:t>
      </w:r>
      <w:r w:rsidR="00AD470D" w:rsidRPr="00CC472B">
        <w:t>iesieniu do którego</w:t>
      </w:r>
      <w:r w:rsidR="009A0535" w:rsidRPr="00CC472B">
        <w:t xml:space="preserve"> w</w:t>
      </w:r>
      <w:r w:rsidR="009A0535">
        <w:t> </w:t>
      </w:r>
      <w:r w:rsidR="009A0535" w:rsidRPr="00CC472B">
        <w:t>pla</w:t>
      </w:r>
      <w:r w:rsidR="00AD470D" w:rsidRPr="00CC472B">
        <w:t>nie restrukturyzacji</w:t>
      </w:r>
      <w:r w:rsidR="009A0535" w:rsidRPr="00CC472B">
        <w:t xml:space="preserve"> i</w:t>
      </w:r>
      <w:r w:rsidR="009A0535">
        <w:t> </w:t>
      </w:r>
      <w:r w:rsidR="009A0535" w:rsidRPr="00CC472B">
        <w:t>upo</w:t>
      </w:r>
      <w:r w:rsidR="00AD470D" w:rsidRPr="00CC472B">
        <w:t>rządkowanej likwidacji przewidziano działanie</w:t>
      </w:r>
      <w:r w:rsidR="009A0535" w:rsidRPr="00CC472B">
        <w:t xml:space="preserve"> w</w:t>
      </w:r>
      <w:r w:rsidR="009A0535">
        <w:t> </w:t>
      </w:r>
      <w:r w:rsidR="009A0535" w:rsidRPr="00CC472B">
        <w:t>ram</w:t>
      </w:r>
      <w:r w:rsidR="00AD470D" w:rsidRPr="00CC472B">
        <w:t>ach restrukturyzacji</w:t>
      </w:r>
      <w:r w:rsidR="009A0535" w:rsidRPr="00CC472B">
        <w:t xml:space="preserve"> i</w:t>
      </w:r>
      <w:r w:rsidR="009A0535">
        <w:t> </w:t>
      </w:r>
      <w:r w:rsidR="009A0535" w:rsidRPr="00CC472B">
        <w:t>upo</w:t>
      </w:r>
      <w:r w:rsidR="00AD470D" w:rsidRPr="00CC472B">
        <w:t>rządkowanej likwidacji; lub</w:t>
      </w:r>
    </w:p>
    <w:p w:rsidR="00AD470D" w:rsidRPr="00CC472B" w:rsidRDefault="00CC472B" w:rsidP="00CC472B">
      <w:pPr>
        <w:pStyle w:val="Point2"/>
      </w:pPr>
      <w:r w:rsidRPr="00CC472B">
        <w:t>b)</w:t>
      </w:r>
      <w:r w:rsidRPr="00CC472B">
        <w:tab/>
      </w:r>
      <w:r w:rsidR="00AD470D" w:rsidRPr="00CC472B">
        <w:t xml:space="preserve">instytucję, która nie należy do grupy objętej nadzorem skonsolidowanym na podstawie </w:t>
      </w:r>
      <w:r w:rsidR="00AD470D" w:rsidRPr="009A0535">
        <w:t>art.</w:t>
      </w:r>
      <w:r w:rsidR="009A0535" w:rsidRPr="009A0535">
        <w:t> </w:t>
      </w:r>
      <w:r w:rsidR="00AD470D" w:rsidRPr="009A0535">
        <w:t>1</w:t>
      </w:r>
      <w:r w:rsidR="00AD470D" w:rsidRPr="00CC472B">
        <w:t>11</w:t>
      </w:r>
      <w:r w:rsidR="009A0535" w:rsidRPr="00CC472B">
        <w:t xml:space="preserve"> i</w:t>
      </w:r>
      <w:r w:rsidR="009A0535">
        <w:t> </w:t>
      </w:r>
      <w:r w:rsidR="009A0535" w:rsidRPr="00CC472B">
        <w:t>1</w:t>
      </w:r>
      <w:r w:rsidR="00AD470D" w:rsidRPr="00CC472B">
        <w:t>12 dyrektywy 2013/36/UE,</w:t>
      </w:r>
      <w:r w:rsidR="009A0535" w:rsidRPr="00CC472B">
        <w:t xml:space="preserve"> w</w:t>
      </w:r>
      <w:r w:rsidR="009A0535">
        <w:t> </w:t>
      </w:r>
      <w:r w:rsidR="009A0535" w:rsidRPr="00CC472B">
        <w:t>odn</w:t>
      </w:r>
      <w:r w:rsidR="00AD470D" w:rsidRPr="00CC472B">
        <w:t>iesieniu do której</w:t>
      </w:r>
      <w:r w:rsidR="009A0535" w:rsidRPr="00CC472B">
        <w:t xml:space="preserve"> w</w:t>
      </w:r>
      <w:r w:rsidR="009A0535">
        <w:t> </w:t>
      </w:r>
      <w:r w:rsidR="009A0535" w:rsidRPr="00CC472B">
        <w:t>pla</w:t>
      </w:r>
      <w:r w:rsidR="00AD470D" w:rsidRPr="00CC472B">
        <w:t>nie restrukturyzacji</w:t>
      </w:r>
      <w:r w:rsidR="009A0535" w:rsidRPr="00CC472B">
        <w:t xml:space="preserve"> i</w:t>
      </w:r>
      <w:r w:rsidR="009A0535">
        <w:t> </w:t>
      </w:r>
      <w:r w:rsidR="009A0535" w:rsidRPr="00CC472B">
        <w:t>upo</w:t>
      </w:r>
      <w:r w:rsidR="00AD470D" w:rsidRPr="00CC472B">
        <w:t>rządkowanej likwidacji opracowanym zgodnie</w:t>
      </w:r>
      <w:r w:rsidR="009A0535" w:rsidRPr="00CC472B">
        <w:t xml:space="preserve"> z</w:t>
      </w:r>
      <w:r w:rsidR="009A0535">
        <w:t> </w:t>
      </w:r>
      <w:r w:rsidR="009A0535" w:rsidRPr="009A0535">
        <w:t>art</w:t>
      </w:r>
      <w:r w:rsidR="00AD470D" w:rsidRPr="009A0535">
        <w:t>.</w:t>
      </w:r>
      <w:r w:rsidR="009A0535" w:rsidRPr="009A0535">
        <w:t> </w:t>
      </w:r>
      <w:r w:rsidR="00AD470D" w:rsidRPr="009A0535">
        <w:t>1</w:t>
      </w:r>
      <w:r w:rsidR="00AD470D" w:rsidRPr="00CC472B">
        <w:t>0 dyrektywy 2014/59/UE przewidziano działanie</w:t>
      </w:r>
      <w:r w:rsidR="009A0535" w:rsidRPr="00CC472B">
        <w:t xml:space="preserve"> w</w:t>
      </w:r>
      <w:r w:rsidR="009A0535">
        <w:t> </w:t>
      </w:r>
      <w:r w:rsidR="009A0535" w:rsidRPr="00CC472B">
        <w:t>ram</w:t>
      </w:r>
      <w:r w:rsidR="00AD470D" w:rsidRPr="00CC472B">
        <w:t>ach restrukturyzacji</w:t>
      </w:r>
      <w:r w:rsidR="009A0535" w:rsidRPr="00CC472B">
        <w:t xml:space="preserve"> i</w:t>
      </w:r>
      <w:r w:rsidR="009A0535">
        <w:t> </w:t>
      </w:r>
      <w:r w:rsidR="009A0535" w:rsidRPr="00CC472B">
        <w:t>upo</w:t>
      </w:r>
      <w:r w:rsidR="00AD470D" w:rsidRPr="00CC472B">
        <w:t>rządkowanej likwidacji;</w:t>
      </w:r>
    </w:p>
    <w:p w:rsidR="00AD470D" w:rsidRPr="00CC472B" w:rsidRDefault="00CC472B" w:rsidP="00CC472B">
      <w:pPr>
        <w:pStyle w:val="Point0"/>
        <w:rPr>
          <w:szCs w:val="24"/>
        </w:rPr>
      </w:pPr>
      <w:r w:rsidRPr="00CC472B">
        <w:t>2)</w:t>
      </w:r>
      <w:r w:rsidRPr="00CC472B">
        <w:tab/>
      </w:r>
      <w:r w:rsidR="00AD470D" w:rsidRPr="00CC472B">
        <w:t>„grupa objęta planem restrukturyzacji</w:t>
      </w:r>
      <w:r w:rsidR="009A0535" w:rsidRPr="00CC472B">
        <w:t xml:space="preserve"> i</w:t>
      </w:r>
      <w:r w:rsidR="009A0535">
        <w:t> </w:t>
      </w:r>
      <w:r w:rsidR="009A0535" w:rsidRPr="00CC472B">
        <w:t>upo</w:t>
      </w:r>
      <w:r w:rsidR="00AD470D" w:rsidRPr="00CC472B">
        <w:t>rządkowanej likwidacji” oznacza jedno</w:t>
      </w:r>
      <w:r w:rsidR="009A0535" w:rsidRPr="00CC472B">
        <w:t xml:space="preserve"> z</w:t>
      </w:r>
      <w:r w:rsidR="009A0535">
        <w:t> </w:t>
      </w:r>
      <w:r w:rsidR="009A0535" w:rsidRPr="00CC472B">
        <w:t>pon</w:t>
      </w:r>
      <w:r w:rsidR="00AD470D" w:rsidRPr="00CC472B">
        <w:t>iższych:</w:t>
      </w:r>
    </w:p>
    <w:p w:rsidR="00AD470D" w:rsidRPr="00CC472B" w:rsidRDefault="00CC472B" w:rsidP="00CC472B">
      <w:pPr>
        <w:pStyle w:val="Point1"/>
      </w:pPr>
      <w:r w:rsidRPr="00CC472B">
        <w:t>a)</w:t>
      </w:r>
      <w:r w:rsidRPr="00CC472B">
        <w:tab/>
      </w:r>
      <w:r w:rsidR="00AD470D" w:rsidRPr="00CC472B">
        <w:t>podmiot objęty planem restrukturyzacji</w:t>
      </w:r>
      <w:r w:rsidR="009A0535" w:rsidRPr="00CC472B">
        <w:t xml:space="preserve"> i</w:t>
      </w:r>
      <w:r w:rsidR="009A0535">
        <w:t> </w:t>
      </w:r>
      <w:r w:rsidR="009A0535" w:rsidRPr="00CC472B">
        <w:t>upo</w:t>
      </w:r>
      <w:r w:rsidR="00AD470D" w:rsidRPr="00CC472B">
        <w:t>rządkowanej likwidacji oraz jego jednostki zależne, które nie są:</w:t>
      </w:r>
    </w:p>
    <w:p w:rsidR="00AD470D" w:rsidRPr="00CC472B" w:rsidRDefault="00AD470D" w:rsidP="00AE1240">
      <w:pPr>
        <w:pStyle w:val="Point3"/>
      </w:pPr>
      <w:r w:rsidRPr="00CC472B">
        <w:t>(i) same podmiotami objętymi planem restrukturyzacji</w:t>
      </w:r>
      <w:r w:rsidR="009A0535" w:rsidRPr="00CC472B">
        <w:t xml:space="preserve"> i</w:t>
      </w:r>
      <w:r w:rsidR="009A0535">
        <w:t> </w:t>
      </w:r>
      <w:r w:rsidR="009A0535" w:rsidRPr="00CC472B">
        <w:t>upo</w:t>
      </w:r>
      <w:r w:rsidRPr="00CC472B">
        <w:t>rządkowanej likwidacji; ani</w:t>
      </w:r>
    </w:p>
    <w:p w:rsidR="00AD470D" w:rsidRPr="00CC472B" w:rsidRDefault="00AD470D" w:rsidP="0051415A">
      <w:pPr>
        <w:pStyle w:val="Point3"/>
      </w:pPr>
      <w:r w:rsidRPr="00CC472B">
        <w:t>(ii) jednostkami zależnymi innego podmiotu objętego planem restrukturyzacji</w:t>
      </w:r>
      <w:r w:rsidR="009A0535" w:rsidRPr="00CC472B">
        <w:t xml:space="preserve"> i</w:t>
      </w:r>
      <w:r w:rsidR="009A0535">
        <w:t> </w:t>
      </w:r>
      <w:r w:rsidR="009A0535" w:rsidRPr="00CC472B">
        <w:t>upo</w:t>
      </w:r>
      <w:r w:rsidRPr="00CC472B">
        <w:t>rządkowanej likwidacji; ani</w:t>
      </w:r>
    </w:p>
    <w:p w:rsidR="006D0EA9" w:rsidRPr="00CC472B" w:rsidRDefault="00AD470D" w:rsidP="0051415A">
      <w:pPr>
        <w:pStyle w:val="Point3"/>
      </w:pPr>
      <w:r w:rsidRPr="00CC472B">
        <w:t>(iii) podmiotami mającymi siedzibę</w:t>
      </w:r>
      <w:r w:rsidR="009A0535" w:rsidRPr="00CC472B">
        <w:t xml:space="preserve"> w</w:t>
      </w:r>
      <w:r w:rsidR="009A0535">
        <w:t> </w:t>
      </w:r>
      <w:r w:rsidR="009A0535" w:rsidRPr="00CC472B">
        <w:t>pań</w:t>
      </w:r>
      <w:r w:rsidRPr="00CC472B">
        <w:t>stwie trzecim, które zgodnie</w:t>
      </w:r>
      <w:r w:rsidR="009A0535" w:rsidRPr="00CC472B">
        <w:t xml:space="preserve"> z</w:t>
      </w:r>
      <w:r w:rsidR="009A0535">
        <w:t> </w:t>
      </w:r>
      <w:r w:rsidR="009A0535" w:rsidRPr="00CC472B">
        <w:t>pla</w:t>
      </w:r>
      <w:r w:rsidRPr="00CC472B">
        <w:t>nem restrukturyzacji</w:t>
      </w:r>
      <w:r w:rsidR="009A0535" w:rsidRPr="00CC472B">
        <w:t xml:space="preserve"> i</w:t>
      </w:r>
      <w:r w:rsidR="009A0535">
        <w:t> </w:t>
      </w:r>
      <w:r w:rsidR="009A0535" w:rsidRPr="00CC472B">
        <w:t>upo</w:t>
      </w:r>
      <w:r w:rsidRPr="00CC472B">
        <w:t>rządkowanej likwidacji nie są ujęte</w:t>
      </w:r>
      <w:r w:rsidR="009A0535" w:rsidRPr="00CC472B">
        <w:t xml:space="preserve"> w</w:t>
      </w:r>
      <w:r w:rsidR="009A0535">
        <w:t> </w:t>
      </w:r>
      <w:r w:rsidR="009A0535" w:rsidRPr="00CC472B">
        <w:t>gru</w:t>
      </w:r>
      <w:r w:rsidRPr="00CC472B">
        <w:t>pie objętej planem restrukturyzacji</w:t>
      </w:r>
      <w:r w:rsidR="009A0535" w:rsidRPr="00CC472B">
        <w:t xml:space="preserve"> i</w:t>
      </w:r>
      <w:r w:rsidR="009A0535">
        <w:t> </w:t>
      </w:r>
      <w:r w:rsidR="009A0535" w:rsidRPr="00CC472B">
        <w:t>upo</w:t>
      </w:r>
      <w:r w:rsidRPr="00CC472B">
        <w:t>rządkowanej likwidacji, ani ich jednostkami zależnymi;</w:t>
      </w:r>
    </w:p>
    <w:p w:rsidR="00AD470D" w:rsidRPr="00CC472B" w:rsidRDefault="00CC472B" w:rsidP="00CC472B">
      <w:pPr>
        <w:pStyle w:val="Point1"/>
      </w:pPr>
      <w:r w:rsidRPr="00CC472B">
        <w:t>b)</w:t>
      </w:r>
      <w:r w:rsidRPr="00CC472B">
        <w:tab/>
      </w:r>
      <w:r w:rsidR="00AD470D" w:rsidRPr="00CC472B">
        <w:t>instytucje kredytowe trwale powiązane</w:t>
      </w:r>
      <w:r w:rsidR="009A0535" w:rsidRPr="00CC472B">
        <w:t xml:space="preserve"> z</w:t>
      </w:r>
      <w:r w:rsidR="009A0535">
        <w:t> </w:t>
      </w:r>
      <w:r w:rsidR="009A0535" w:rsidRPr="00CC472B">
        <w:t>org</w:t>
      </w:r>
      <w:r w:rsidR="00AD470D" w:rsidRPr="00CC472B">
        <w:t>anem centralnym, organ centralny</w:t>
      </w:r>
      <w:r w:rsidR="009A0535" w:rsidRPr="00CC472B">
        <w:t xml:space="preserve"> i</w:t>
      </w:r>
      <w:r w:rsidR="009A0535">
        <w:t> </w:t>
      </w:r>
      <w:r w:rsidR="009A0535" w:rsidRPr="00CC472B">
        <w:t>jak</w:t>
      </w:r>
      <w:r w:rsidR="00AD470D" w:rsidRPr="00CC472B">
        <w:t>iekolwiek instytucje pozostające pod kontrolą organu centralnego, gdy jeden</w:t>
      </w:r>
      <w:r w:rsidR="009A0535" w:rsidRPr="00CC472B">
        <w:t xml:space="preserve"> z</w:t>
      </w:r>
      <w:r w:rsidR="009A0535">
        <w:t> </w:t>
      </w:r>
      <w:r w:rsidR="009A0535" w:rsidRPr="00CC472B">
        <w:t>tyc</w:t>
      </w:r>
      <w:r w:rsidR="00AD470D" w:rsidRPr="00CC472B">
        <w:t>h podmiotów jest podmiotem objętym planem restrukturyzacji</w:t>
      </w:r>
      <w:r w:rsidR="009A0535" w:rsidRPr="00CC472B">
        <w:t xml:space="preserve"> i</w:t>
      </w:r>
      <w:r w:rsidR="009A0535">
        <w:t> </w:t>
      </w:r>
      <w:r w:rsidR="009A0535" w:rsidRPr="00CC472B">
        <w:t>upo</w:t>
      </w:r>
      <w:r w:rsidR="00AD470D" w:rsidRPr="00CC472B">
        <w:t>rządkowanej likwidacji;</w:t>
      </w:r>
    </w:p>
    <w:p w:rsidR="007E1AE4" w:rsidRPr="00CC472B" w:rsidRDefault="00CC472B" w:rsidP="00CC472B">
      <w:pPr>
        <w:pStyle w:val="Point0"/>
      </w:pPr>
      <w:r w:rsidRPr="00CC472B">
        <w:t>3)</w:t>
      </w:r>
      <w:r w:rsidRPr="00CC472B">
        <w:tab/>
      </w:r>
      <w:r w:rsidR="007E1AE4" w:rsidRPr="00CC472B">
        <w:t>„instytucja powiązana” oznacza podmiot powiązany, który jest instytucją kredytową lub firmą inwestycyjną;</w:t>
      </w:r>
    </w:p>
    <w:p w:rsidR="00F80209" w:rsidRPr="00CC472B" w:rsidRDefault="00CC472B" w:rsidP="00CC472B">
      <w:pPr>
        <w:pStyle w:val="Point0"/>
      </w:pPr>
      <w:r w:rsidRPr="00CC472B">
        <w:t>4)</w:t>
      </w:r>
      <w:r w:rsidRPr="00CC472B">
        <w:tab/>
      </w:r>
      <w:r w:rsidR="00F80209" w:rsidRPr="00CC472B">
        <w:t>„właściwy podmiot prawny” oznacza podmiot powiązany, który:</w:t>
      </w:r>
    </w:p>
    <w:p w:rsidR="00F80209" w:rsidRPr="00CC472B" w:rsidRDefault="00CC472B" w:rsidP="00CC472B">
      <w:pPr>
        <w:pStyle w:val="Point2"/>
      </w:pPr>
      <w:r w:rsidRPr="00CC472B">
        <w:t>a)</w:t>
      </w:r>
      <w:r w:rsidRPr="00CC472B">
        <w:tab/>
      </w:r>
      <w:r w:rsidR="00F80209" w:rsidRPr="00CC472B">
        <w:t>pełni funkcje krytyczne; lub</w:t>
      </w:r>
    </w:p>
    <w:p w:rsidR="00F80209" w:rsidRPr="00CC472B" w:rsidRDefault="00CC472B" w:rsidP="00CC472B">
      <w:pPr>
        <w:pStyle w:val="Point2"/>
      </w:pPr>
      <w:r w:rsidRPr="00CC472B">
        <w:t>b)</w:t>
      </w:r>
      <w:r w:rsidRPr="00CC472B">
        <w:tab/>
      </w:r>
      <w:r w:rsidR="00F80209" w:rsidRPr="00CC472B">
        <w:t xml:space="preserve">reprezentuje bądź odpowiada za ponad </w:t>
      </w:r>
      <w:r w:rsidR="00F80209" w:rsidRPr="009A0535">
        <w:t>5</w:t>
      </w:r>
      <w:r w:rsidR="009A0535" w:rsidRPr="009A0535">
        <w:t> </w:t>
      </w:r>
      <w:r w:rsidR="00F80209" w:rsidRPr="009A0535">
        <w:t>%</w:t>
      </w:r>
      <w:r w:rsidR="00F80209" w:rsidRPr="00CC472B">
        <w:t xml:space="preserve"> jednego</w:t>
      </w:r>
      <w:r w:rsidR="009A0535" w:rsidRPr="00CC472B">
        <w:t xml:space="preserve"> z</w:t>
      </w:r>
      <w:r w:rsidR="009A0535">
        <w:t> </w:t>
      </w:r>
      <w:r w:rsidR="009A0535" w:rsidRPr="00CC472B">
        <w:t>pon</w:t>
      </w:r>
      <w:r w:rsidR="00F80209" w:rsidRPr="00CC472B">
        <w:t>iższych:</w:t>
      </w:r>
    </w:p>
    <w:p w:rsidR="00F80209" w:rsidRPr="00CC472B" w:rsidRDefault="00F80209" w:rsidP="00AE1240">
      <w:pPr>
        <w:pStyle w:val="Point3"/>
        <w:ind w:left="2268" w:hanging="284"/>
        <w:rPr>
          <w:rStyle w:val="Strong"/>
          <w:b w:val="0"/>
          <w:color w:val="444444"/>
          <w:szCs w:val="24"/>
        </w:rPr>
      </w:pPr>
      <w:r w:rsidRPr="00CC472B">
        <w:t>(i) łącznej kwoty ekspozycji na ryzyko grupy,</w:t>
      </w:r>
      <w:r w:rsidR="009A0535" w:rsidRPr="00CC472B">
        <w:t xml:space="preserve"> o</w:t>
      </w:r>
      <w:r w:rsidR="009A0535">
        <w:t> </w:t>
      </w:r>
      <w:r w:rsidR="009A0535" w:rsidRPr="00CC472B">
        <w:t>któ</w:t>
      </w:r>
      <w:r w:rsidRPr="00CC472B">
        <w:t>rej mowa</w:t>
      </w:r>
      <w:r w:rsidR="009A0535" w:rsidRPr="00CC472B">
        <w:t xml:space="preserve"> w</w:t>
      </w:r>
      <w:r w:rsidR="009A0535">
        <w:t> </w:t>
      </w:r>
      <w:r w:rsidR="009A0535" w:rsidRPr="009A0535">
        <w:t>art</w:t>
      </w:r>
      <w:r w:rsidRPr="009A0535">
        <w:t>.</w:t>
      </w:r>
      <w:r w:rsidR="009A0535" w:rsidRPr="009A0535">
        <w:t> </w:t>
      </w:r>
      <w:r w:rsidRPr="009A0535">
        <w:t>9</w:t>
      </w:r>
      <w:r w:rsidRPr="00CC472B">
        <w:t xml:space="preserve">2 </w:t>
      </w:r>
      <w:r w:rsidRPr="009A0535">
        <w:t>ust.</w:t>
      </w:r>
      <w:r w:rsidR="009A0535" w:rsidRPr="009A0535">
        <w:t> </w:t>
      </w:r>
      <w:r w:rsidRPr="009A0535">
        <w:t>3</w:t>
      </w:r>
      <w:r w:rsidRPr="00CC472B">
        <w:t xml:space="preserve"> rozporządzenia </w:t>
      </w:r>
      <w:r w:rsidRPr="00CC472B">
        <w:rPr>
          <w:rStyle w:val="Strong"/>
          <w:b w:val="0"/>
          <w:color w:val="444444"/>
        </w:rPr>
        <w:t>Parlamentu Europejskiego</w:t>
      </w:r>
      <w:r w:rsidR="009A0535" w:rsidRPr="00CC472B">
        <w:rPr>
          <w:rStyle w:val="Strong"/>
          <w:b w:val="0"/>
          <w:color w:val="444444"/>
        </w:rPr>
        <w:t xml:space="preserve"> i</w:t>
      </w:r>
      <w:r w:rsidR="009A0535">
        <w:rPr>
          <w:rStyle w:val="Strong"/>
          <w:b w:val="0"/>
          <w:color w:val="444444"/>
        </w:rPr>
        <w:t> </w:t>
      </w:r>
      <w:r w:rsidR="009A0535" w:rsidRPr="00CC472B">
        <w:rPr>
          <w:rStyle w:val="Strong"/>
          <w:b w:val="0"/>
          <w:color w:val="444444"/>
        </w:rPr>
        <w:t>Rad</w:t>
      </w:r>
      <w:r w:rsidRPr="00CC472B">
        <w:rPr>
          <w:rStyle w:val="Strong"/>
          <w:b w:val="0"/>
          <w:color w:val="444444"/>
        </w:rPr>
        <w:t xml:space="preserve">y (UE) </w:t>
      </w:r>
      <w:r w:rsidRPr="009A0535">
        <w:rPr>
          <w:rStyle w:val="Strong"/>
          <w:b w:val="0"/>
          <w:color w:val="444444"/>
        </w:rPr>
        <w:t>nr</w:t>
      </w:r>
      <w:r w:rsidR="009A0535" w:rsidRPr="009A0535">
        <w:rPr>
          <w:rStyle w:val="Strong"/>
          <w:b w:val="0"/>
          <w:color w:val="444444"/>
        </w:rPr>
        <w:t> </w:t>
      </w:r>
      <w:r w:rsidRPr="009A0535">
        <w:rPr>
          <w:rStyle w:val="Strong"/>
          <w:b w:val="0"/>
          <w:color w:val="444444"/>
        </w:rPr>
        <w:t>5</w:t>
      </w:r>
      <w:r w:rsidRPr="00CC472B">
        <w:rPr>
          <w:rStyle w:val="Strong"/>
          <w:b w:val="0"/>
          <w:color w:val="444444"/>
        </w:rPr>
        <w:t>75/2013</w:t>
      </w:r>
      <w:r w:rsidRPr="00CC472B">
        <w:rPr>
          <w:rStyle w:val="FootnoteReference"/>
          <w:color w:val="444444"/>
        </w:rPr>
        <w:footnoteReference w:id="5"/>
      </w:r>
      <w:r w:rsidRPr="00CC472B">
        <w:rPr>
          <w:rStyle w:val="Strong"/>
          <w:b w:val="0"/>
          <w:color w:val="444444"/>
        </w:rPr>
        <w:t>;</w:t>
      </w:r>
    </w:p>
    <w:p w:rsidR="00F80209" w:rsidRPr="00CC472B" w:rsidRDefault="00F80209" w:rsidP="00AE1240">
      <w:pPr>
        <w:pStyle w:val="Point3"/>
        <w:ind w:left="2410" w:hanging="426"/>
      </w:pPr>
      <w:r w:rsidRPr="00CC472B">
        <w:rPr>
          <w:rStyle w:val="Strong"/>
          <w:b w:val="0"/>
          <w:color w:val="444444"/>
        </w:rPr>
        <w:t xml:space="preserve">(ii) </w:t>
      </w:r>
      <w:r w:rsidRPr="00CC472B">
        <w:t>miary ekspozycji całkowitej wskaźnika dźwigni grupy,</w:t>
      </w:r>
      <w:r w:rsidR="009A0535" w:rsidRPr="00CC472B">
        <w:t xml:space="preserve"> o</w:t>
      </w:r>
      <w:r w:rsidR="009A0535">
        <w:t> </w:t>
      </w:r>
      <w:r w:rsidR="009A0535" w:rsidRPr="00CC472B">
        <w:t>któ</w:t>
      </w:r>
      <w:r w:rsidRPr="00CC472B">
        <w:t>rej mowa</w:t>
      </w:r>
      <w:r w:rsidR="009A0535" w:rsidRPr="00CC472B">
        <w:t xml:space="preserve"> w</w:t>
      </w:r>
      <w:r w:rsidR="009A0535">
        <w:t> </w:t>
      </w:r>
      <w:r w:rsidR="009A0535" w:rsidRPr="009A0535">
        <w:t>art</w:t>
      </w:r>
      <w:r w:rsidRPr="009A0535">
        <w:t>.</w:t>
      </w:r>
      <w:r w:rsidR="009A0535" w:rsidRPr="009A0535">
        <w:t> </w:t>
      </w:r>
      <w:r w:rsidRPr="009A0535">
        <w:t>4</w:t>
      </w:r>
      <w:r w:rsidRPr="00CC472B">
        <w:t xml:space="preserve">29 </w:t>
      </w:r>
      <w:r w:rsidRPr="009A0535">
        <w:t>ust.</w:t>
      </w:r>
      <w:r w:rsidR="009A0535" w:rsidRPr="009A0535">
        <w:t> </w:t>
      </w:r>
      <w:r w:rsidRPr="009A0535">
        <w:t>4</w:t>
      </w:r>
      <w:r w:rsidRPr="00CC472B">
        <w:t xml:space="preserve"> rozporządzenia (UE) </w:t>
      </w:r>
      <w:r w:rsidRPr="009A0535">
        <w:t>nr</w:t>
      </w:r>
      <w:r w:rsidR="009A0535" w:rsidRPr="009A0535">
        <w:t> </w:t>
      </w:r>
      <w:r w:rsidRPr="009A0535">
        <w:t>5</w:t>
      </w:r>
      <w:r w:rsidRPr="00CC472B">
        <w:t>75/2013;</w:t>
      </w:r>
    </w:p>
    <w:p w:rsidR="001150B6" w:rsidRPr="00CC472B" w:rsidRDefault="00F80209" w:rsidP="00AE1240">
      <w:pPr>
        <w:pStyle w:val="Point3"/>
      </w:pPr>
      <w:r w:rsidRPr="00CC472B">
        <w:t>(iii) przychodów operacyjnych grupy na zasadzie skonsolidowanej.</w:t>
      </w:r>
    </w:p>
    <w:p w:rsidR="007E1AE4" w:rsidRPr="00CC472B" w:rsidRDefault="007E1AE4" w:rsidP="007E1AE4">
      <w:pPr>
        <w:pStyle w:val="Titrearticle"/>
        <w:rPr>
          <w:color w:val="000000" w:themeColor="text1"/>
        </w:rPr>
      </w:pPr>
      <w:r w:rsidRPr="00CC472B">
        <w:rPr>
          <w:color w:val="000000" w:themeColor="text1"/>
        </w:rPr>
        <w:t>Artykuł 3</w:t>
      </w:r>
      <w:r w:rsidRPr="00CC472B">
        <w:rPr>
          <w:color w:val="000000" w:themeColor="text1"/>
        </w:rPr>
        <w:br/>
        <w:t>Przekazywanie podstawowych informacji do celów indywidualnych</w:t>
      </w:r>
      <w:r w:rsidR="009A0535" w:rsidRPr="00CC472B">
        <w:rPr>
          <w:color w:val="000000" w:themeColor="text1"/>
        </w:rPr>
        <w:t xml:space="preserve"> i</w:t>
      </w:r>
      <w:r w:rsidR="009A0535">
        <w:rPr>
          <w:color w:val="000000" w:themeColor="text1"/>
        </w:rPr>
        <w:t> </w:t>
      </w:r>
      <w:r w:rsidR="009A0535" w:rsidRPr="00CC472B">
        <w:rPr>
          <w:color w:val="000000" w:themeColor="text1"/>
        </w:rPr>
        <w:t>gru</w:t>
      </w:r>
      <w:r w:rsidRPr="00CC472B">
        <w:rPr>
          <w:color w:val="000000" w:themeColor="text1"/>
        </w:rPr>
        <w:t>powych planów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w:t>
      </w:r>
    </w:p>
    <w:p w:rsidR="007E1AE4" w:rsidRPr="00CC472B" w:rsidRDefault="005062D8" w:rsidP="000D42E6">
      <w:pPr>
        <w:pStyle w:val="NumPar1"/>
        <w:numPr>
          <w:ilvl w:val="0"/>
          <w:numId w:val="7"/>
        </w:numPr>
        <w:rPr>
          <w:color w:val="000000" w:themeColor="text1"/>
        </w:rPr>
      </w:pPr>
      <w:r w:rsidRPr="00CC472B">
        <w:rPr>
          <w:color w:val="000000" w:themeColor="text1"/>
        </w:rPr>
        <w:t>Instytucje i –</w:t>
      </w:r>
      <w:r w:rsidR="009A0535" w:rsidRPr="00CC472B">
        <w:rPr>
          <w:color w:val="000000" w:themeColor="text1"/>
        </w:rPr>
        <w:t xml:space="preserve"> w</w:t>
      </w:r>
      <w:r w:rsidR="009A0535">
        <w:rPr>
          <w:color w:val="000000" w:themeColor="text1"/>
        </w:rPr>
        <w:t> </w:t>
      </w:r>
      <w:r w:rsidR="009A0535" w:rsidRPr="00CC472B">
        <w:rPr>
          <w:color w:val="000000" w:themeColor="text1"/>
        </w:rPr>
        <w:t>prz</w:t>
      </w:r>
      <w:r w:rsidRPr="00CC472B">
        <w:rPr>
          <w:color w:val="000000" w:themeColor="text1"/>
        </w:rPr>
        <w:t>ypadku grup – unijne jednostki dominujące przedkładają organom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bezpośrednio albo za pośrednictwem właściwego organu, informacje wyszczególnione</w:t>
      </w:r>
      <w:r w:rsidR="009A0535" w:rsidRPr="00CC472B">
        <w:rPr>
          <w:color w:val="000000" w:themeColor="text1"/>
        </w:rPr>
        <w:t xml:space="preserve"> w</w:t>
      </w:r>
      <w:r w:rsidR="009A0535">
        <w:rPr>
          <w:color w:val="000000" w:themeColor="text1"/>
        </w:rPr>
        <w:t> </w:t>
      </w:r>
      <w:r w:rsidR="009A0535" w:rsidRPr="00CC472B">
        <w:rPr>
          <w:color w:val="000000" w:themeColor="text1"/>
        </w:rPr>
        <w:t>sza</w:t>
      </w:r>
      <w:r w:rsidRPr="00CC472B">
        <w:rPr>
          <w:color w:val="000000" w:themeColor="text1"/>
        </w:rPr>
        <w:t>blonach zawartych</w:t>
      </w:r>
      <w:r w:rsidR="009A0535" w:rsidRPr="00CC472B">
        <w:rPr>
          <w:color w:val="000000" w:themeColor="text1"/>
        </w:rPr>
        <w:t xml:space="preserve"> w</w:t>
      </w:r>
      <w:r w:rsidR="009A0535">
        <w:rPr>
          <w:color w:val="000000" w:themeColor="text1"/>
        </w:rPr>
        <w:t> </w:t>
      </w:r>
      <w:r w:rsidR="009A0535" w:rsidRPr="00CC472B">
        <w:rPr>
          <w:color w:val="000000" w:themeColor="text1"/>
        </w:rPr>
        <w:t>zał</w:t>
      </w:r>
      <w:r w:rsidRPr="00CC472B">
        <w:rPr>
          <w:color w:val="000000" w:themeColor="text1"/>
        </w:rPr>
        <w:t>ączniku I zgodnie</w:t>
      </w:r>
      <w:r w:rsidR="009A0535" w:rsidRPr="00CC472B">
        <w:rPr>
          <w:color w:val="000000" w:themeColor="text1"/>
        </w:rPr>
        <w:t xml:space="preserve"> z</w:t>
      </w:r>
      <w:r w:rsidR="009A0535">
        <w:rPr>
          <w:color w:val="000000" w:themeColor="text1"/>
        </w:rPr>
        <w:t> </w:t>
      </w:r>
      <w:r w:rsidR="009A0535" w:rsidRPr="00CC472B">
        <w:rPr>
          <w:color w:val="000000" w:themeColor="text1"/>
        </w:rPr>
        <w:t>poz</w:t>
      </w:r>
      <w:r w:rsidRPr="00CC472B">
        <w:rPr>
          <w:color w:val="000000" w:themeColor="text1"/>
        </w:rPr>
        <w:t>iomem konsolidacji informacji, częstotliwością</w:t>
      </w:r>
      <w:r w:rsidR="009A0535" w:rsidRPr="00CC472B">
        <w:rPr>
          <w:color w:val="000000" w:themeColor="text1"/>
        </w:rPr>
        <w:t xml:space="preserve"> i</w:t>
      </w:r>
      <w:r w:rsidR="009A0535">
        <w:rPr>
          <w:color w:val="000000" w:themeColor="text1"/>
        </w:rPr>
        <w:t> </w:t>
      </w:r>
      <w:r w:rsidR="009A0535" w:rsidRPr="00CC472B">
        <w:rPr>
          <w:color w:val="000000" w:themeColor="text1"/>
        </w:rPr>
        <w:t>for</w:t>
      </w:r>
      <w:r w:rsidRPr="00CC472B">
        <w:rPr>
          <w:color w:val="000000" w:themeColor="text1"/>
        </w:rPr>
        <w:t>matem określonymi odpowiednio</w:t>
      </w:r>
      <w:r w:rsidR="009A0535" w:rsidRPr="00CC472B">
        <w:rPr>
          <w:color w:val="000000" w:themeColor="text1"/>
        </w:rPr>
        <w:t xml:space="preserve"> w</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4</w:t>
      </w:r>
      <w:r w:rsidRPr="00CC472B">
        <w:rPr>
          <w:color w:val="000000" w:themeColor="text1"/>
        </w:rPr>
        <w:t>, 5</w:t>
      </w:r>
      <w:r w:rsidR="009A0535" w:rsidRPr="00CC472B">
        <w:rPr>
          <w:color w:val="000000" w:themeColor="text1"/>
        </w:rPr>
        <w:t xml:space="preserve"> i</w:t>
      </w:r>
      <w:r w:rsidR="009A0535">
        <w:rPr>
          <w:color w:val="000000" w:themeColor="text1"/>
        </w:rPr>
        <w:t> </w:t>
      </w:r>
      <w:r w:rsidR="009A0535" w:rsidRPr="00CC472B">
        <w:rPr>
          <w:color w:val="000000" w:themeColor="text1"/>
        </w:rPr>
        <w:t>6</w:t>
      </w:r>
      <w:r w:rsidRPr="00CC472B">
        <w:rPr>
          <w:color w:val="000000" w:themeColor="text1"/>
        </w:rPr>
        <w:t xml:space="preserve"> oraz zgodnie</w:t>
      </w:r>
      <w:r w:rsidR="009A0535" w:rsidRPr="00CC472B">
        <w:rPr>
          <w:color w:val="000000" w:themeColor="text1"/>
        </w:rPr>
        <w:t xml:space="preserve"> z</w:t>
      </w:r>
      <w:r w:rsidR="009A0535">
        <w:rPr>
          <w:color w:val="000000" w:themeColor="text1"/>
        </w:rPr>
        <w:t> </w:t>
      </w:r>
      <w:r w:rsidR="009A0535" w:rsidRPr="00CC472B">
        <w:rPr>
          <w:color w:val="000000" w:themeColor="text1"/>
        </w:rPr>
        <w:t>ins</w:t>
      </w:r>
      <w:r w:rsidRPr="00CC472B">
        <w:rPr>
          <w:color w:val="000000" w:themeColor="text1"/>
        </w:rPr>
        <w:t>trukcjami określonymi</w:t>
      </w:r>
      <w:r w:rsidR="009A0535" w:rsidRPr="00CC472B">
        <w:rPr>
          <w:color w:val="000000" w:themeColor="text1"/>
        </w:rPr>
        <w:t xml:space="preserve"> w</w:t>
      </w:r>
      <w:r w:rsidR="009A0535">
        <w:rPr>
          <w:color w:val="000000" w:themeColor="text1"/>
        </w:rPr>
        <w:t> </w:t>
      </w:r>
      <w:r w:rsidR="009A0535" w:rsidRPr="00CC472B">
        <w:rPr>
          <w:color w:val="000000" w:themeColor="text1"/>
        </w:rPr>
        <w:t>zał</w:t>
      </w:r>
      <w:r w:rsidRPr="00CC472B">
        <w:rPr>
          <w:color w:val="000000" w:themeColor="text1"/>
        </w:rPr>
        <w:t>ączniku II.</w:t>
      </w:r>
    </w:p>
    <w:p w:rsidR="007E1AE4" w:rsidRPr="00CC472B" w:rsidRDefault="007E1AE4" w:rsidP="007E1AE4">
      <w:pPr>
        <w:pStyle w:val="NumPar1"/>
        <w:rPr>
          <w:color w:val="000000" w:themeColor="text1"/>
        </w:rPr>
      </w:pPr>
      <w:r w:rsidRPr="00CC472B">
        <w:rPr>
          <w:color w:val="000000" w:themeColor="text1"/>
        </w:rPr>
        <w:t>Jeżeli organ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lub –</w:t>
      </w:r>
      <w:r w:rsidR="009A0535" w:rsidRPr="00CC472B">
        <w:rPr>
          <w:color w:val="000000" w:themeColor="text1"/>
        </w:rPr>
        <w:t xml:space="preserve"> w</w:t>
      </w:r>
      <w:r w:rsidR="009A0535">
        <w:rPr>
          <w:color w:val="000000" w:themeColor="text1"/>
        </w:rPr>
        <w:t> </w:t>
      </w:r>
      <w:r w:rsidR="009A0535" w:rsidRPr="00CC472B">
        <w:rPr>
          <w:color w:val="000000" w:themeColor="text1"/>
        </w:rPr>
        <w:t>prz</w:t>
      </w:r>
      <w:r w:rsidRPr="00CC472B">
        <w:rPr>
          <w:color w:val="000000" w:themeColor="text1"/>
        </w:rPr>
        <w:t>ypadku grup – grupowy organ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stosuje uproszczone obowiązki zgodnie</w:t>
      </w:r>
      <w:r w:rsidR="009A0535" w:rsidRPr="00CC472B">
        <w:rPr>
          <w:color w:val="000000" w:themeColor="text1"/>
        </w:rPr>
        <w:t xml:space="preserve"> z</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4</w:t>
      </w:r>
      <w:r w:rsidRPr="00CC472B">
        <w:rPr>
          <w:color w:val="000000" w:themeColor="text1"/>
        </w:rPr>
        <w:t xml:space="preserve"> dyrektywy 2014/59/UE, informuje on zainteresowane instytucje lub zainteresowaną unijną jednostkę dominującą</w:t>
      </w:r>
      <w:r w:rsidR="009A0535" w:rsidRPr="00CC472B">
        <w:rPr>
          <w:color w:val="000000" w:themeColor="text1"/>
        </w:rPr>
        <w:t xml:space="preserve"> o</w:t>
      </w:r>
      <w:r w:rsidR="009A0535">
        <w:rPr>
          <w:color w:val="000000" w:themeColor="text1"/>
        </w:rPr>
        <w:t> </w:t>
      </w:r>
      <w:r w:rsidR="009A0535" w:rsidRPr="00CC472B">
        <w:rPr>
          <w:color w:val="000000" w:themeColor="text1"/>
        </w:rPr>
        <w:t>tym</w:t>
      </w:r>
      <w:r w:rsidRPr="00CC472B">
        <w:rPr>
          <w:color w:val="000000" w:themeColor="text1"/>
        </w:rPr>
        <w:t>, których informacji nie trzeba włączać do przedkładanych informacji,</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rych mowa</w:t>
      </w:r>
      <w:r w:rsidR="009A0535" w:rsidRPr="00CC472B">
        <w:rPr>
          <w:color w:val="000000" w:themeColor="text1"/>
        </w:rPr>
        <w:t xml:space="preserve"> w</w:t>
      </w:r>
      <w:r w:rsidR="009A0535">
        <w:rPr>
          <w:color w:val="000000" w:themeColor="text1"/>
        </w:rPr>
        <w:t> </w:t>
      </w:r>
      <w:r w:rsidR="009A0535" w:rsidRPr="009A0535">
        <w:rPr>
          <w:color w:val="000000" w:themeColor="text1"/>
        </w:rPr>
        <w:t>ust</w:t>
      </w:r>
      <w:r w:rsidRPr="009A0535">
        <w:rPr>
          <w:color w:val="000000" w:themeColor="text1"/>
        </w:rPr>
        <w:t>.</w:t>
      </w:r>
      <w:r w:rsidR="009A0535" w:rsidRPr="009A0535">
        <w:rPr>
          <w:color w:val="000000" w:themeColor="text1"/>
        </w:rPr>
        <w:t> </w:t>
      </w:r>
      <w:r w:rsidRPr="009A0535">
        <w:rPr>
          <w:color w:val="000000" w:themeColor="text1"/>
        </w:rPr>
        <w:t>1</w:t>
      </w:r>
      <w:r w:rsidRPr="00CC472B">
        <w:rPr>
          <w:color w:val="000000" w:themeColor="text1"/>
        </w:rPr>
        <w:t xml:space="preserve"> niniejszego artykułu. Organ identyfikuje te informacje, odnosząc się do szablonów zawartych</w:t>
      </w:r>
      <w:r w:rsidR="009A0535" w:rsidRPr="00CC472B">
        <w:rPr>
          <w:color w:val="000000" w:themeColor="text1"/>
        </w:rPr>
        <w:t xml:space="preserve"> w</w:t>
      </w:r>
      <w:r w:rsidR="009A0535">
        <w:rPr>
          <w:color w:val="000000" w:themeColor="text1"/>
        </w:rPr>
        <w:t> </w:t>
      </w:r>
      <w:r w:rsidR="009A0535" w:rsidRPr="00CC472B">
        <w:rPr>
          <w:color w:val="000000" w:themeColor="text1"/>
        </w:rPr>
        <w:t>zał</w:t>
      </w:r>
      <w:r w:rsidRPr="00CC472B">
        <w:rPr>
          <w:color w:val="000000" w:themeColor="text1"/>
        </w:rPr>
        <w:t>ączniku I.</w:t>
      </w:r>
    </w:p>
    <w:p w:rsidR="007E1AE4" w:rsidRPr="00CC472B" w:rsidRDefault="007E1AE4" w:rsidP="007E1AE4">
      <w:pPr>
        <w:pStyle w:val="Titrearticle"/>
        <w:rPr>
          <w:color w:val="000000" w:themeColor="text1"/>
        </w:rPr>
      </w:pPr>
      <w:r w:rsidRPr="00CC472B">
        <w:rPr>
          <w:color w:val="000000" w:themeColor="text1"/>
        </w:rPr>
        <w:t>Artykuł 4</w:t>
      </w:r>
      <w:r w:rsidRPr="00CC472B">
        <w:rPr>
          <w:color w:val="000000" w:themeColor="text1"/>
        </w:rPr>
        <w:br/>
        <w:t xml:space="preserve">Poziom konsolidacji informacji </w:t>
      </w:r>
    </w:p>
    <w:p w:rsidR="007E1AE4" w:rsidRPr="00CC472B" w:rsidRDefault="007E1AE4" w:rsidP="00EB1CD0">
      <w:pPr>
        <w:pStyle w:val="NumPar1"/>
        <w:numPr>
          <w:ilvl w:val="0"/>
          <w:numId w:val="1"/>
        </w:numPr>
        <w:rPr>
          <w:color w:val="000000" w:themeColor="text1"/>
        </w:rPr>
      </w:pPr>
      <w:r w:rsidRPr="00CC472B">
        <w:rPr>
          <w:color w:val="000000" w:themeColor="text1"/>
        </w:rPr>
        <w:t>Instytucje, które nie wchodzą</w:t>
      </w:r>
      <w:r w:rsidR="009A0535" w:rsidRPr="00CC472B">
        <w:rPr>
          <w:color w:val="000000" w:themeColor="text1"/>
        </w:rPr>
        <w:t xml:space="preserve"> w</w:t>
      </w:r>
      <w:r w:rsidR="009A0535">
        <w:rPr>
          <w:color w:val="000000" w:themeColor="text1"/>
        </w:rPr>
        <w:t> </w:t>
      </w:r>
      <w:r w:rsidR="009A0535" w:rsidRPr="00CC472B">
        <w:rPr>
          <w:color w:val="000000" w:themeColor="text1"/>
        </w:rPr>
        <w:t>skł</w:t>
      </w:r>
      <w:r w:rsidRPr="00CC472B">
        <w:rPr>
          <w:color w:val="000000" w:themeColor="text1"/>
        </w:rPr>
        <w:t>ad grupy, przedkładają informacje,</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rych mowa</w:t>
      </w:r>
      <w:r w:rsidR="009A0535" w:rsidRPr="00CC472B">
        <w:rPr>
          <w:color w:val="000000" w:themeColor="text1"/>
        </w:rPr>
        <w:t xml:space="preserve"> w</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3</w:t>
      </w:r>
      <w:r w:rsidRPr="00CC472B">
        <w:rPr>
          <w:color w:val="000000" w:themeColor="text1"/>
        </w:rPr>
        <w:t xml:space="preserve"> </w:t>
      </w:r>
      <w:r w:rsidRPr="009A0535">
        <w:rPr>
          <w:color w:val="000000" w:themeColor="text1"/>
        </w:rPr>
        <w:t>ust.</w:t>
      </w:r>
      <w:r w:rsidR="009A0535" w:rsidRPr="009A0535">
        <w:rPr>
          <w:color w:val="000000" w:themeColor="text1"/>
        </w:rPr>
        <w:t> </w:t>
      </w:r>
      <w:r w:rsidRPr="009A0535">
        <w:rPr>
          <w:color w:val="000000" w:themeColor="text1"/>
        </w:rPr>
        <w:t>1</w:t>
      </w:r>
      <w:r w:rsidRPr="00CC472B">
        <w:rPr>
          <w:color w:val="000000" w:themeColor="text1"/>
        </w:rPr>
        <w:t>,</w:t>
      </w:r>
      <w:r w:rsidR="009A0535" w:rsidRPr="00CC472B">
        <w:rPr>
          <w:color w:val="000000" w:themeColor="text1"/>
        </w:rPr>
        <w:t xml:space="preserve"> z</w:t>
      </w:r>
      <w:r w:rsidR="009A0535">
        <w:rPr>
          <w:color w:val="000000" w:themeColor="text1"/>
        </w:rPr>
        <w:t> </w:t>
      </w:r>
      <w:r w:rsidR="009A0535" w:rsidRPr="00CC472B">
        <w:rPr>
          <w:color w:val="000000" w:themeColor="text1"/>
        </w:rPr>
        <w:t>wyj</w:t>
      </w:r>
      <w:r w:rsidRPr="00CC472B">
        <w:rPr>
          <w:color w:val="000000" w:themeColor="text1"/>
        </w:rPr>
        <w:t>ątkiem informacji,</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rych mowa</w:t>
      </w:r>
      <w:r w:rsidR="009A0535" w:rsidRPr="00CC472B">
        <w:rPr>
          <w:color w:val="000000" w:themeColor="text1"/>
        </w:rPr>
        <w:t xml:space="preserve"> w</w:t>
      </w:r>
      <w:r w:rsidR="009A0535">
        <w:rPr>
          <w:color w:val="000000" w:themeColor="text1"/>
        </w:rPr>
        <w:t> </w:t>
      </w:r>
      <w:r w:rsidR="009A0535" w:rsidRPr="00CC472B">
        <w:rPr>
          <w:color w:val="000000" w:themeColor="text1"/>
        </w:rPr>
        <w:t>sza</w:t>
      </w:r>
      <w:r w:rsidRPr="00CC472B">
        <w:rPr>
          <w:color w:val="000000" w:themeColor="text1"/>
        </w:rPr>
        <w:t>blonach Z 07.02 i Z 04.00</w:t>
      </w:r>
      <w:r w:rsidR="009A0535" w:rsidRPr="00CC472B">
        <w:rPr>
          <w:color w:val="000000" w:themeColor="text1"/>
        </w:rPr>
        <w:t xml:space="preserve"> w</w:t>
      </w:r>
      <w:r w:rsidR="009A0535">
        <w:rPr>
          <w:color w:val="000000" w:themeColor="text1"/>
        </w:rPr>
        <w:t> </w:t>
      </w:r>
      <w:r w:rsidR="009A0535" w:rsidRPr="00CC472B">
        <w:rPr>
          <w:color w:val="000000" w:themeColor="text1"/>
        </w:rPr>
        <w:t>zał</w:t>
      </w:r>
      <w:r w:rsidRPr="00CC472B">
        <w:rPr>
          <w:color w:val="000000" w:themeColor="text1"/>
        </w:rPr>
        <w:t>ączniku I, na zasadzie indywidualnej.</w:t>
      </w:r>
    </w:p>
    <w:p w:rsidR="007E1AE4" w:rsidRPr="00CC472B" w:rsidRDefault="007E1AE4" w:rsidP="00EB1CD0">
      <w:pPr>
        <w:pStyle w:val="NumPar1"/>
        <w:numPr>
          <w:ilvl w:val="0"/>
          <w:numId w:val="1"/>
        </w:numPr>
        <w:rPr>
          <w:color w:val="000000" w:themeColor="text1"/>
        </w:rPr>
      </w:pPr>
      <w:r w:rsidRPr="00CC472B">
        <w:rPr>
          <w:color w:val="000000" w:themeColor="text1"/>
        </w:rPr>
        <w:t>W przypadku grup unijna jednostka dominująca przedkłada informacje,</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rych mowa</w:t>
      </w:r>
      <w:r w:rsidR="009A0535" w:rsidRPr="00CC472B">
        <w:rPr>
          <w:color w:val="000000" w:themeColor="text1"/>
        </w:rPr>
        <w:t xml:space="preserve"> w</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3</w:t>
      </w:r>
      <w:r w:rsidRPr="00CC472B">
        <w:rPr>
          <w:color w:val="000000" w:themeColor="text1"/>
        </w:rPr>
        <w:t xml:space="preserve"> </w:t>
      </w:r>
      <w:r w:rsidRPr="009A0535">
        <w:rPr>
          <w:color w:val="000000" w:themeColor="text1"/>
        </w:rPr>
        <w:t>ust.</w:t>
      </w:r>
      <w:r w:rsidR="009A0535" w:rsidRPr="009A0535">
        <w:rPr>
          <w:color w:val="000000" w:themeColor="text1"/>
        </w:rPr>
        <w:t> </w:t>
      </w:r>
      <w:r w:rsidRPr="009A0535">
        <w:rPr>
          <w:color w:val="000000" w:themeColor="text1"/>
        </w:rPr>
        <w:t>1</w:t>
      </w:r>
      <w:r w:rsidRPr="00CC472B">
        <w:rPr>
          <w:color w:val="000000" w:themeColor="text1"/>
        </w:rPr>
        <w:t>, zgodnie</w:t>
      </w:r>
      <w:r w:rsidR="009A0535" w:rsidRPr="00CC472B">
        <w:rPr>
          <w:color w:val="000000" w:themeColor="text1"/>
        </w:rPr>
        <w:t xml:space="preserve"> z</w:t>
      </w:r>
      <w:r w:rsidR="009A0535">
        <w:rPr>
          <w:color w:val="000000" w:themeColor="text1"/>
        </w:rPr>
        <w:t> </w:t>
      </w:r>
      <w:r w:rsidR="009A0535" w:rsidRPr="00CC472B">
        <w:rPr>
          <w:color w:val="000000" w:themeColor="text1"/>
        </w:rPr>
        <w:t>nas</w:t>
      </w:r>
      <w:r w:rsidRPr="00CC472B">
        <w:rPr>
          <w:color w:val="000000" w:themeColor="text1"/>
        </w:rPr>
        <w:t xml:space="preserve">tępującymi specyfikacjami: </w:t>
      </w:r>
    </w:p>
    <w:p w:rsidR="007E1AE4" w:rsidRPr="00CC472B" w:rsidRDefault="00CC472B" w:rsidP="00CC472B">
      <w:pPr>
        <w:pStyle w:val="Point0"/>
      </w:pPr>
      <w:r w:rsidRPr="00CC472B">
        <w:t>a)</w:t>
      </w:r>
      <w:r w:rsidRPr="00CC472B">
        <w:tab/>
      </w:r>
      <w:r w:rsidR="007E1AE4" w:rsidRPr="00CC472B">
        <w:t>informacje określone</w:t>
      </w:r>
      <w:r w:rsidR="009A0535" w:rsidRPr="00CC472B">
        <w:t xml:space="preserve"> w</w:t>
      </w:r>
      <w:r w:rsidR="009A0535">
        <w:t> </w:t>
      </w:r>
      <w:r w:rsidR="009A0535" w:rsidRPr="00CC472B">
        <w:t>sza</w:t>
      </w:r>
      <w:r w:rsidR="007E1AE4" w:rsidRPr="00CC472B">
        <w:t>blonie Z 01.00</w:t>
      </w:r>
      <w:r w:rsidR="009A0535" w:rsidRPr="00CC472B">
        <w:t xml:space="preserve"> w</w:t>
      </w:r>
      <w:r w:rsidR="009A0535">
        <w:t> </w:t>
      </w:r>
      <w:r w:rsidR="009A0535" w:rsidRPr="00CC472B">
        <w:t>zał</w:t>
      </w:r>
      <w:r w:rsidR="007E1AE4" w:rsidRPr="00CC472B">
        <w:t>ączniku I</w:t>
      </w:r>
      <w:r w:rsidR="009A0535" w:rsidRPr="00CC472B">
        <w:t xml:space="preserve"> w</w:t>
      </w:r>
      <w:r w:rsidR="009A0535">
        <w:t> </w:t>
      </w:r>
      <w:r w:rsidR="009A0535" w:rsidRPr="00CC472B">
        <w:t>odn</w:t>
      </w:r>
      <w:r w:rsidR="007E1AE4" w:rsidRPr="00CC472B">
        <w:t>iesieniu do:</w:t>
      </w:r>
    </w:p>
    <w:p w:rsidR="007E1AE4" w:rsidRPr="00CC472B" w:rsidRDefault="00045775" w:rsidP="0051415A">
      <w:pPr>
        <w:pStyle w:val="Point2"/>
      </w:pPr>
      <w:r w:rsidRPr="00CC472B">
        <w:t xml:space="preserve">(i) </w:t>
      </w:r>
      <w:r w:rsidRPr="00CC472B">
        <w:tab/>
        <w:t>podmiotów powiązanych ujętych</w:t>
      </w:r>
      <w:r w:rsidR="009A0535" w:rsidRPr="00CC472B">
        <w:t xml:space="preserve"> w</w:t>
      </w:r>
      <w:r w:rsidR="009A0535">
        <w:t> </w:t>
      </w:r>
      <w:r w:rsidR="009A0535" w:rsidRPr="00CC472B">
        <w:t>jej</w:t>
      </w:r>
      <w:r w:rsidRPr="00CC472B">
        <w:t xml:space="preserve"> skonsolidowanych sprawozdaniach finansowych, które przekraczają 0,</w:t>
      </w:r>
      <w:r w:rsidRPr="009A0535">
        <w:t>5</w:t>
      </w:r>
      <w:r w:rsidR="009A0535" w:rsidRPr="009A0535">
        <w:t> </w:t>
      </w:r>
      <w:r w:rsidRPr="009A0535">
        <w:t>%</w:t>
      </w:r>
      <w:r w:rsidRPr="00CC472B">
        <w:t xml:space="preserve"> całkowitej sumy bilansowej lub łącznej kwoty zobowiązań tej grupy; </w:t>
      </w:r>
    </w:p>
    <w:p w:rsidR="007E1AE4" w:rsidRPr="00CC472B" w:rsidRDefault="00045775" w:rsidP="0051415A">
      <w:pPr>
        <w:pStyle w:val="Point2"/>
      </w:pPr>
      <w:r w:rsidRPr="00CC472B">
        <w:t>(ii)</w:t>
      </w:r>
      <w:r w:rsidRPr="00CC472B">
        <w:tab/>
        <w:t>instytucji powiązanych, które przekraczają 0,</w:t>
      </w:r>
      <w:r w:rsidRPr="009A0535">
        <w:t>5</w:t>
      </w:r>
      <w:r w:rsidR="009A0535" w:rsidRPr="009A0535">
        <w:t> </w:t>
      </w:r>
      <w:r w:rsidRPr="009A0535">
        <w:t>%</w:t>
      </w:r>
      <w:r w:rsidRPr="00CC472B">
        <w:t xml:space="preserve"> łącznej kwoty ekspozycji na ryzyko </w:t>
      </w:r>
      <w:r w:rsidRPr="009A0535">
        <w:t>lub</w:t>
      </w:r>
      <w:r w:rsidR="009A0535" w:rsidRPr="009A0535">
        <w:t> </w:t>
      </w:r>
      <w:r w:rsidRPr="009A0535">
        <w:t>0</w:t>
      </w:r>
      <w:r w:rsidRPr="00CC472B">
        <w:t>,</w:t>
      </w:r>
      <w:r w:rsidRPr="009A0535">
        <w:t>5</w:t>
      </w:r>
      <w:r w:rsidR="009A0535" w:rsidRPr="009A0535">
        <w:t> </w:t>
      </w:r>
      <w:r w:rsidRPr="009A0535">
        <w:t>%</w:t>
      </w:r>
      <w:r w:rsidRPr="00CC472B">
        <w:t xml:space="preserve"> całkowitego kapitału podstawowego Tier I grupy na podstawie sytuacji skonsolidowanej unijnej jednostki dominującej;</w:t>
      </w:r>
    </w:p>
    <w:p w:rsidR="007E1AE4" w:rsidRPr="00CC472B" w:rsidRDefault="00045775" w:rsidP="0051415A">
      <w:pPr>
        <w:pStyle w:val="Point2"/>
      </w:pPr>
      <w:r w:rsidRPr="00CC472B">
        <w:t xml:space="preserve">(iii) </w:t>
      </w:r>
      <w:r w:rsidRPr="00CC472B">
        <w:tab/>
        <w:t>podmiotów powiązanych pełniących funkcje krytyczne;</w:t>
      </w:r>
    </w:p>
    <w:p w:rsidR="007E1AE4" w:rsidRPr="00CC472B" w:rsidRDefault="00CC472B" w:rsidP="00CC472B">
      <w:pPr>
        <w:pStyle w:val="Point0"/>
      </w:pPr>
      <w:r w:rsidRPr="00CC472B">
        <w:t>b)</w:t>
      </w:r>
      <w:r w:rsidRPr="00CC472B">
        <w:tab/>
      </w:r>
      <w:r w:rsidR="007E1AE4" w:rsidRPr="00CC472B">
        <w:t>informacje określone</w:t>
      </w:r>
      <w:r w:rsidR="009A0535" w:rsidRPr="00CC472B">
        <w:t xml:space="preserve"> w</w:t>
      </w:r>
      <w:r w:rsidR="009A0535">
        <w:t> </w:t>
      </w:r>
      <w:r w:rsidR="009A0535" w:rsidRPr="00CC472B">
        <w:t>sza</w:t>
      </w:r>
      <w:r w:rsidR="007E1AE4" w:rsidRPr="00CC472B">
        <w:t>blonach Z 02.00 i Z 03.00</w:t>
      </w:r>
      <w:r w:rsidR="009A0535" w:rsidRPr="00CC472B">
        <w:t xml:space="preserve"> w</w:t>
      </w:r>
      <w:r w:rsidR="009A0535">
        <w:t> </w:t>
      </w:r>
      <w:r w:rsidR="009A0535" w:rsidRPr="00CC472B">
        <w:t>zał</w:t>
      </w:r>
      <w:r w:rsidR="007E1AE4" w:rsidRPr="00CC472B">
        <w:t>ączniku I:</w:t>
      </w:r>
    </w:p>
    <w:p w:rsidR="007E1AE4" w:rsidRPr="00CC472B" w:rsidRDefault="00045775" w:rsidP="0051415A">
      <w:pPr>
        <w:pStyle w:val="Point2"/>
      </w:pPr>
      <w:r w:rsidRPr="00CC472B">
        <w:t xml:space="preserve">(i) </w:t>
      </w:r>
      <w:r w:rsidRPr="00CC472B">
        <w:tab/>
        <w:t>na poziomie unijnej jednostki dominującej lub, gdy są one różne, na poziomie każdego podmiotu objętego planem restrukturyzacji</w:t>
      </w:r>
      <w:r w:rsidR="009A0535" w:rsidRPr="00CC472B">
        <w:t xml:space="preserve"> i</w:t>
      </w:r>
      <w:r w:rsidR="009A0535">
        <w:t> </w:t>
      </w:r>
      <w:r w:rsidR="009A0535" w:rsidRPr="00CC472B">
        <w:t>upo</w:t>
      </w:r>
      <w:r w:rsidRPr="00CC472B">
        <w:t xml:space="preserve">rządkowanej likwidacji na zasadzie indywidualnej; </w:t>
      </w:r>
    </w:p>
    <w:p w:rsidR="007E1AE4" w:rsidRPr="00CC472B" w:rsidRDefault="00045775" w:rsidP="0051415A">
      <w:pPr>
        <w:pStyle w:val="Point2"/>
      </w:pPr>
      <w:r w:rsidRPr="00CC472B">
        <w:t>(ii)</w:t>
      </w:r>
      <w:r w:rsidRPr="00CC472B">
        <w:tab/>
        <w:t>na poziomie każdej instytucji powiązanej, która jest właściwym podmiotem prawnym</w:t>
      </w:r>
      <w:r w:rsidR="009A0535" w:rsidRPr="00CC472B">
        <w:t xml:space="preserve"> i</w:t>
      </w:r>
      <w:r w:rsidR="009A0535">
        <w:t> </w:t>
      </w:r>
      <w:r w:rsidR="009A0535" w:rsidRPr="00CC472B">
        <w:t>nie</w:t>
      </w:r>
      <w:r w:rsidRPr="00CC472B">
        <w:t xml:space="preserve"> wchodzi</w:t>
      </w:r>
      <w:r w:rsidR="009A0535" w:rsidRPr="00CC472B">
        <w:t xml:space="preserve"> w</w:t>
      </w:r>
      <w:r w:rsidR="009A0535">
        <w:t> </w:t>
      </w:r>
      <w:r w:rsidR="009A0535" w:rsidRPr="00CC472B">
        <w:t>zak</w:t>
      </w:r>
      <w:r w:rsidRPr="00CC472B">
        <w:t>res ppkt (i), na zasadzie indywidualnej,</w:t>
      </w:r>
      <w:r w:rsidR="009A0535" w:rsidRPr="00CC472B">
        <w:t xml:space="preserve"> z</w:t>
      </w:r>
      <w:r w:rsidR="009A0535">
        <w:t> </w:t>
      </w:r>
      <w:r w:rsidR="009A0535" w:rsidRPr="00CC472B">
        <w:t>wyj</w:t>
      </w:r>
      <w:r w:rsidRPr="00CC472B">
        <w:t>ątkiem przypadków, gdy organ ds. restrukturyzacji</w:t>
      </w:r>
      <w:r w:rsidR="009A0535" w:rsidRPr="00CC472B">
        <w:t xml:space="preserve"> i</w:t>
      </w:r>
      <w:r w:rsidR="009A0535">
        <w:t> </w:t>
      </w:r>
      <w:r w:rsidR="009A0535" w:rsidRPr="00CC472B">
        <w:t>upo</w:t>
      </w:r>
      <w:r w:rsidRPr="00CC472B">
        <w:t>rządkowanej likwidacji</w:t>
      </w:r>
      <w:r w:rsidR="009A0535" w:rsidRPr="00CC472B">
        <w:t xml:space="preserve"> w</w:t>
      </w:r>
      <w:r w:rsidR="009A0535">
        <w:t> </w:t>
      </w:r>
      <w:r w:rsidR="009A0535" w:rsidRPr="00CC472B">
        <w:t>peł</w:t>
      </w:r>
      <w:r w:rsidRPr="00CC472B">
        <w:t>ni odstąpił od stosowania minimalnego wymogu</w:t>
      </w:r>
      <w:r w:rsidR="009A0535" w:rsidRPr="00CC472B">
        <w:t xml:space="preserve"> w</w:t>
      </w:r>
      <w:r w:rsidR="009A0535">
        <w:t> </w:t>
      </w:r>
      <w:r w:rsidR="009A0535" w:rsidRPr="00CC472B">
        <w:t>zak</w:t>
      </w:r>
      <w:r w:rsidRPr="00CC472B">
        <w:t>resie funduszy własnych</w:t>
      </w:r>
      <w:r w:rsidR="009A0535" w:rsidRPr="00CC472B">
        <w:t xml:space="preserve"> i</w:t>
      </w:r>
      <w:r w:rsidR="009A0535">
        <w:t> </w:t>
      </w:r>
      <w:r w:rsidR="009A0535" w:rsidRPr="00CC472B">
        <w:t>zob</w:t>
      </w:r>
      <w:r w:rsidRPr="00CC472B">
        <w:t>owiązań kwalifikowalnych na zasadzie indywidualnej zgodnie</w:t>
      </w:r>
      <w:r w:rsidR="009A0535" w:rsidRPr="00CC472B">
        <w:t xml:space="preserve"> z</w:t>
      </w:r>
      <w:r w:rsidR="009A0535">
        <w:t> </w:t>
      </w:r>
      <w:r w:rsidR="009A0535" w:rsidRPr="009A0535">
        <w:t>art</w:t>
      </w:r>
      <w:r w:rsidRPr="009A0535">
        <w:t>.</w:t>
      </w:r>
      <w:r w:rsidR="009A0535" w:rsidRPr="009A0535">
        <w:t> </w:t>
      </w:r>
      <w:r w:rsidRPr="009A0535">
        <w:t>4</w:t>
      </w:r>
      <w:r w:rsidRPr="00CC472B">
        <w:t xml:space="preserve">5 </w:t>
      </w:r>
      <w:r w:rsidRPr="009A0535">
        <w:t>ust.</w:t>
      </w:r>
      <w:r w:rsidR="009A0535" w:rsidRPr="009A0535">
        <w:t> </w:t>
      </w:r>
      <w:r w:rsidRPr="009A0535">
        <w:t>1</w:t>
      </w:r>
      <w:r w:rsidRPr="00CC472B">
        <w:t xml:space="preserve">1 </w:t>
      </w:r>
      <w:r w:rsidRPr="009A0535">
        <w:t>lub</w:t>
      </w:r>
      <w:r w:rsidR="009A0535" w:rsidRPr="009A0535">
        <w:t> </w:t>
      </w:r>
      <w:r w:rsidRPr="009A0535">
        <w:t>1</w:t>
      </w:r>
      <w:r w:rsidRPr="00CC472B">
        <w:t>2 dyrektywy 2014/59/UE</w:t>
      </w:r>
      <w:r w:rsidR="009A0535" w:rsidRPr="00CC472B">
        <w:t xml:space="preserve"> w</w:t>
      </w:r>
      <w:r w:rsidR="009A0535">
        <w:t> </w:t>
      </w:r>
      <w:r w:rsidR="009A0535" w:rsidRPr="00CC472B">
        <w:t>odn</w:t>
      </w:r>
      <w:r w:rsidRPr="00CC472B">
        <w:t>iesieniu do tej instytucji;</w:t>
      </w:r>
    </w:p>
    <w:p w:rsidR="007E1AE4" w:rsidRPr="00CC472B" w:rsidRDefault="00045775" w:rsidP="0051415A">
      <w:pPr>
        <w:pStyle w:val="Point2"/>
      </w:pPr>
      <w:r w:rsidRPr="00CC472B">
        <w:t>(iii)</w:t>
      </w:r>
      <w:r w:rsidRPr="00CC472B">
        <w:tab/>
        <w:t>na poziomie unijnej jednostki dominującej na zasadzie skonsolidowanej lub, gdy są one różne, na poziomie każdego podmiotu objętego planem restrukturyzacji</w:t>
      </w:r>
      <w:r w:rsidR="009A0535" w:rsidRPr="00CC472B">
        <w:t xml:space="preserve"> i</w:t>
      </w:r>
      <w:r w:rsidR="009A0535">
        <w:t> </w:t>
      </w:r>
      <w:r w:rsidR="009A0535" w:rsidRPr="00CC472B">
        <w:t>upo</w:t>
      </w:r>
      <w:r w:rsidRPr="00CC472B">
        <w:t>rządkowanej likwidacji na podstawie sytuacji skonsolidowanej grupy objętej planem restrukturyzacji</w:t>
      </w:r>
      <w:r w:rsidR="009A0535" w:rsidRPr="00CC472B">
        <w:t xml:space="preserve"> i</w:t>
      </w:r>
      <w:r w:rsidR="009A0535">
        <w:t> </w:t>
      </w:r>
      <w:r w:rsidR="009A0535" w:rsidRPr="00CC472B">
        <w:t>upo</w:t>
      </w:r>
      <w:r w:rsidRPr="00CC472B">
        <w:t>rządkowanej likwidacji;</w:t>
      </w:r>
    </w:p>
    <w:p w:rsidR="007E1AE4" w:rsidRPr="00CC472B" w:rsidRDefault="00CC472B" w:rsidP="00CC472B">
      <w:pPr>
        <w:pStyle w:val="Point0"/>
      </w:pPr>
      <w:r w:rsidRPr="00CC472B">
        <w:t>c)</w:t>
      </w:r>
      <w:r w:rsidRPr="00CC472B">
        <w:tab/>
      </w:r>
      <w:r w:rsidR="007E1AE4" w:rsidRPr="00CC472B">
        <w:t>informacje określone</w:t>
      </w:r>
      <w:r w:rsidR="009A0535" w:rsidRPr="00CC472B">
        <w:t xml:space="preserve"> w</w:t>
      </w:r>
      <w:r w:rsidR="009A0535">
        <w:t> </w:t>
      </w:r>
      <w:r w:rsidR="009A0535" w:rsidRPr="00CC472B">
        <w:t>sza</w:t>
      </w:r>
      <w:r w:rsidR="007E1AE4" w:rsidRPr="00CC472B">
        <w:t>blonie Z 04.00</w:t>
      </w:r>
      <w:r w:rsidR="009A0535" w:rsidRPr="00CC472B">
        <w:t xml:space="preserve"> w</w:t>
      </w:r>
      <w:r w:rsidR="009A0535">
        <w:t> </w:t>
      </w:r>
      <w:r w:rsidR="009A0535" w:rsidRPr="00CC472B">
        <w:t>zał</w:t>
      </w:r>
      <w:r w:rsidR="007E1AE4" w:rsidRPr="00CC472B">
        <w:t>ączniku I</w:t>
      </w:r>
      <w:r w:rsidR="009A0535" w:rsidRPr="00CC472B">
        <w:t xml:space="preserve"> w</w:t>
      </w:r>
      <w:r w:rsidR="009A0535">
        <w:t> </w:t>
      </w:r>
      <w:r w:rsidR="009A0535" w:rsidRPr="00CC472B">
        <w:t>odn</w:t>
      </w:r>
      <w:r w:rsidR="007E1AE4" w:rsidRPr="00CC472B">
        <w:t>iesieniu do wzajemnych powiązań finansowych między wszystkimi właściwymi podmiotami prawnymi;</w:t>
      </w:r>
    </w:p>
    <w:p w:rsidR="007E1AE4" w:rsidRPr="00CC472B" w:rsidRDefault="00CC472B" w:rsidP="00CC472B">
      <w:pPr>
        <w:pStyle w:val="Point0"/>
      </w:pPr>
      <w:r w:rsidRPr="00CC472B">
        <w:t>d)</w:t>
      </w:r>
      <w:r w:rsidRPr="00CC472B">
        <w:tab/>
      </w:r>
      <w:r w:rsidR="007E1AE4" w:rsidRPr="00CC472B">
        <w:t>informacje określone</w:t>
      </w:r>
      <w:r w:rsidR="009A0535" w:rsidRPr="00CC472B">
        <w:t xml:space="preserve"> w</w:t>
      </w:r>
      <w:r w:rsidR="009A0535">
        <w:t> </w:t>
      </w:r>
      <w:r w:rsidR="009A0535" w:rsidRPr="00CC472B">
        <w:t>sza</w:t>
      </w:r>
      <w:r w:rsidR="007E1AE4" w:rsidRPr="00CC472B">
        <w:t>blonach Z 05.01 i Z 05.02</w:t>
      </w:r>
      <w:r w:rsidR="009A0535" w:rsidRPr="00CC472B">
        <w:t xml:space="preserve"> w</w:t>
      </w:r>
      <w:r w:rsidR="009A0535">
        <w:t> </w:t>
      </w:r>
      <w:r w:rsidR="009A0535" w:rsidRPr="00CC472B">
        <w:t>zał</w:t>
      </w:r>
      <w:r w:rsidR="007E1AE4" w:rsidRPr="00CC472B">
        <w:t>ączniku I:</w:t>
      </w:r>
    </w:p>
    <w:p w:rsidR="007E1AE4" w:rsidRPr="00CC472B" w:rsidRDefault="00045775" w:rsidP="0051415A">
      <w:pPr>
        <w:pStyle w:val="Point2"/>
      </w:pPr>
      <w:r w:rsidRPr="00CC472B">
        <w:t>(i)</w:t>
      </w:r>
      <w:r w:rsidRPr="00CC472B">
        <w:tab/>
        <w:t>na poziomie unijnej jednostki dominującej lub, gdy są one różne, na poziomie każdego podmiotu objętego planem restrukturyzacji</w:t>
      </w:r>
      <w:r w:rsidR="009A0535" w:rsidRPr="00CC472B">
        <w:t xml:space="preserve"> i</w:t>
      </w:r>
      <w:r w:rsidR="009A0535">
        <w:t> </w:t>
      </w:r>
      <w:r w:rsidR="009A0535" w:rsidRPr="00CC472B">
        <w:t>upo</w:t>
      </w:r>
      <w:r w:rsidRPr="00CC472B">
        <w:t>rządkowanej likwidacji na zasadzie indywidualnej;</w:t>
      </w:r>
    </w:p>
    <w:p w:rsidR="007E1AE4" w:rsidRPr="00CC472B" w:rsidRDefault="00045775" w:rsidP="0051415A">
      <w:pPr>
        <w:pStyle w:val="Point2"/>
      </w:pPr>
      <w:r w:rsidRPr="00CC472B">
        <w:t>(ii)</w:t>
      </w:r>
      <w:r w:rsidRPr="00CC472B">
        <w:tab/>
        <w:t>na poziomie unijnej jednostki dominującej na zasadzie skonsolidowanej lub, gdy są one różne, na poziomie każdego podmiotu objętego planem restrukturyzacji</w:t>
      </w:r>
      <w:r w:rsidR="009A0535" w:rsidRPr="00CC472B">
        <w:t xml:space="preserve"> i</w:t>
      </w:r>
      <w:r w:rsidR="009A0535">
        <w:t> </w:t>
      </w:r>
      <w:r w:rsidR="009A0535" w:rsidRPr="00CC472B">
        <w:t>upo</w:t>
      </w:r>
      <w:r w:rsidRPr="00CC472B">
        <w:t>rządkowanej likwidacji na podstawie sytuacji skonsolidowanej grupy objętej planem restrukturyzacji</w:t>
      </w:r>
      <w:r w:rsidR="009A0535" w:rsidRPr="00CC472B">
        <w:t xml:space="preserve"> i</w:t>
      </w:r>
      <w:r w:rsidR="009A0535">
        <w:t> </w:t>
      </w:r>
      <w:r w:rsidR="009A0535" w:rsidRPr="00CC472B">
        <w:t>upo</w:t>
      </w:r>
      <w:r w:rsidRPr="00CC472B">
        <w:t>rządkowanej likwidacji;</w:t>
      </w:r>
    </w:p>
    <w:p w:rsidR="007E1AE4" w:rsidRPr="00CC472B" w:rsidRDefault="00CC472B" w:rsidP="00CC472B">
      <w:pPr>
        <w:pStyle w:val="Point0"/>
      </w:pPr>
      <w:r w:rsidRPr="00CC472B">
        <w:t>e)</w:t>
      </w:r>
      <w:r w:rsidRPr="00CC472B">
        <w:tab/>
      </w:r>
      <w:r w:rsidR="007E1AE4" w:rsidRPr="00CC472B">
        <w:t>informacje określone</w:t>
      </w:r>
      <w:r w:rsidR="009A0535" w:rsidRPr="00CC472B">
        <w:t xml:space="preserve"> w</w:t>
      </w:r>
      <w:r w:rsidR="009A0535">
        <w:t> </w:t>
      </w:r>
      <w:r w:rsidR="009A0535" w:rsidRPr="00CC472B">
        <w:t>sza</w:t>
      </w:r>
      <w:r w:rsidR="007E1AE4" w:rsidRPr="00CC472B">
        <w:t>blonie Z 06.00</w:t>
      </w:r>
      <w:r w:rsidR="009A0535" w:rsidRPr="00CC472B">
        <w:t xml:space="preserve"> w</w:t>
      </w:r>
      <w:r w:rsidR="009A0535">
        <w:t> </w:t>
      </w:r>
      <w:r w:rsidR="009A0535" w:rsidRPr="00CC472B">
        <w:t>zał</w:t>
      </w:r>
      <w:r w:rsidR="007E1AE4" w:rsidRPr="00CC472B">
        <w:t>ączniku I na poziomie unijnej jednostki dominującej na zasadzie skonsolidowanej</w:t>
      </w:r>
      <w:r w:rsidR="009A0535" w:rsidRPr="00CC472B">
        <w:t xml:space="preserve"> w</w:t>
      </w:r>
      <w:r w:rsidR="009A0535">
        <w:t> </w:t>
      </w:r>
      <w:r w:rsidR="009A0535" w:rsidRPr="00CC472B">
        <w:t>odn</w:t>
      </w:r>
      <w:r w:rsidR="007E1AE4" w:rsidRPr="00CC472B">
        <w:t>iesieniu do wszystkich instytucji kredytowych, które są właściwymi podmiotami prawnymi;</w:t>
      </w:r>
    </w:p>
    <w:p w:rsidR="007E1AE4" w:rsidRPr="00CC472B" w:rsidRDefault="00CC472B" w:rsidP="00CC472B">
      <w:pPr>
        <w:pStyle w:val="Point0"/>
      </w:pPr>
      <w:r w:rsidRPr="00CC472B">
        <w:t>f)</w:t>
      </w:r>
      <w:r w:rsidRPr="00CC472B">
        <w:tab/>
      </w:r>
      <w:r w:rsidR="007E1AE4" w:rsidRPr="00CC472B">
        <w:t>informacje określone</w:t>
      </w:r>
      <w:r w:rsidR="009A0535" w:rsidRPr="00CC472B">
        <w:t xml:space="preserve"> w</w:t>
      </w:r>
      <w:r w:rsidR="009A0535">
        <w:t> </w:t>
      </w:r>
      <w:r w:rsidR="009A0535" w:rsidRPr="00CC472B">
        <w:t>sza</w:t>
      </w:r>
      <w:r w:rsidR="007E1AE4" w:rsidRPr="00CC472B">
        <w:t>blonie Z 07.01</w:t>
      </w:r>
      <w:r w:rsidR="009A0535" w:rsidRPr="00CC472B">
        <w:t xml:space="preserve"> w</w:t>
      </w:r>
      <w:r w:rsidR="009A0535">
        <w:t> </w:t>
      </w:r>
      <w:r w:rsidR="009A0535" w:rsidRPr="00CC472B">
        <w:t>zał</w:t>
      </w:r>
      <w:r w:rsidR="007E1AE4" w:rsidRPr="00CC472B">
        <w:t>ączniku I odrębnie</w:t>
      </w:r>
      <w:r w:rsidR="009A0535" w:rsidRPr="00CC472B">
        <w:t xml:space="preserve"> w</w:t>
      </w:r>
      <w:r w:rsidR="009A0535">
        <w:t> </w:t>
      </w:r>
      <w:r w:rsidR="009A0535" w:rsidRPr="00CC472B">
        <w:t>odn</w:t>
      </w:r>
      <w:r w:rsidR="007E1AE4" w:rsidRPr="00CC472B">
        <w:t>iesieniu do każdego państwa członkowskiego,</w:t>
      </w:r>
      <w:r w:rsidR="009A0535" w:rsidRPr="00CC472B">
        <w:t xml:space="preserve"> w</w:t>
      </w:r>
      <w:r w:rsidR="009A0535">
        <w:t> </w:t>
      </w:r>
      <w:r w:rsidR="009A0535" w:rsidRPr="00CC472B">
        <w:t>któ</w:t>
      </w:r>
      <w:r w:rsidR="007E1AE4" w:rsidRPr="00CC472B">
        <w:t>rym grupa prowadzi działalność;</w:t>
      </w:r>
    </w:p>
    <w:p w:rsidR="007E1AE4" w:rsidRPr="00CC472B" w:rsidRDefault="00CC472B" w:rsidP="00CC472B">
      <w:pPr>
        <w:pStyle w:val="Point0"/>
      </w:pPr>
      <w:r w:rsidRPr="00CC472B">
        <w:t>g)</w:t>
      </w:r>
      <w:r w:rsidRPr="00CC472B">
        <w:tab/>
      </w:r>
      <w:r w:rsidR="007E1AE4" w:rsidRPr="00CC472B">
        <w:t>informacje określone</w:t>
      </w:r>
      <w:r w:rsidR="009A0535" w:rsidRPr="00CC472B">
        <w:t xml:space="preserve"> w</w:t>
      </w:r>
      <w:r w:rsidR="009A0535">
        <w:t> </w:t>
      </w:r>
      <w:r w:rsidR="009A0535" w:rsidRPr="00CC472B">
        <w:t>sza</w:t>
      </w:r>
      <w:r w:rsidR="007E1AE4" w:rsidRPr="00CC472B">
        <w:t>blonach Z 07.02 i Z 07.03 i Z 07.04</w:t>
      </w:r>
      <w:r w:rsidR="009A0535" w:rsidRPr="00CC472B">
        <w:t xml:space="preserve"> w</w:t>
      </w:r>
      <w:r w:rsidR="009A0535">
        <w:t> </w:t>
      </w:r>
      <w:r w:rsidR="009A0535" w:rsidRPr="00CC472B">
        <w:t>zał</w:t>
      </w:r>
      <w:r w:rsidR="007E1AE4" w:rsidRPr="00CC472B">
        <w:t>ączniku I</w:t>
      </w:r>
      <w:r w:rsidR="009A0535" w:rsidRPr="00CC472B">
        <w:t xml:space="preserve"> w</w:t>
      </w:r>
      <w:r w:rsidR="009A0535">
        <w:t> </w:t>
      </w:r>
      <w:r w:rsidR="009A0535" w:rsidRPr="00CC472B">
        <w:t>odn</w:t>
      </w:r>
      <w:r w:rsidR="007E1AE4" w:rsidRPr="00CC472B">
        <w:t>iesieniu do funkcji krytycznych pełnionych przez którykolwiek podmiot powiązany i do głównych linii biznesowych prowadzonych przez którykolwiek podmiot powiązany;</w:t>
      </w:r>
    </w:p>
    <w:p w:rsidR="007E1AE4" w:rsidRPr="00CC472B" w:rsidRDefault="00CC472B" w:rsidP="00CC472B">
      <w:pPr>
        <w:pStyle w:val="Point0"/>
      </w:pPr>
      <w:r w:rsidRPr="00CC472B">
        <w:t>h)</w:t>
      </w:r>
      <w:r w:rsidRPr="00CC472B">
        <w:tab/>
      </w:r>
      <w:r w:rsidR="007E1AE4" w:rsidRPr="00CC472B">
        <w:t>informacje określone</w:t>
      </w:r>
      <w:r w:rsidR="009A0535" w:rsidRPr="00CC472B">
        <w:t xml:space="preserve"> w</w:t>
      </w:r>
      <w:r w:rsidR="009A0535">
        <w:t> </w:t>
      </w:r>
      <w:r w:rsidR="009A0535" w:rsidRPr="00CC472B">
        <w:t>sza</w:t>
      </w:r>
      <w:r w:rsidR="007E1AE4" w:rsidRPr="00CC472B">
        <w:t>blonie Z 08.00</w:t>
      </w:r>
      <w:r w:rsidR="009A0535" w:rsidRPr="00CC472B">
        <w:t xml:space="preserve"> w</w:t>
      </w:r>
      <w:r w:rsidR="009A0535">
        <w:t> </w:t>
      </w:r>
      <w:r w:rsidR="009A0535" w:rsidRPr="00CC472B">
        <w:t>zał</w:t>
      </w:r>
      <w:r w:rsidR="007E1AE4" w:rsidRPr="00CC472B">
        <w:t>ączniku I</w:t>
      </w:r>
      <w:r w:rsidR="009A0535" w:rsidRPr="00CC472B">
        <w:t xml:space="preserve"> w</w:t>
      </w:r>
      <w:r w:rsidR="009A0535">
        <w:t> </w:t>
      </w:r>
      <w:r w:rsidR="009A0535" w:rsidRPr="00CC472B">
        <w:t>odn</w:t>
      </w:r>
      <w:r w:rsidR="007E1AE4" w:rsidRPr="00CC472B">
        <w:t>iesieniu do wszystkich usług</w:t>
      </w:r>
      <w:r w:rsidR="009A0535" w:rsidRPr="00CC472B">
        <w:t xml:space="preserve"> o</w:t>
      </w:r>
      <w:r w:rsidR="009A0535">
        <w:t> </w:t>
      </w:r>
      <w:r w:rsidR="009A0535" w:rsidRPr="00CC472B">
        <w:t>kry</w:t>
      </w:r>
      <w:r w:rsidR="007E1AE4" w:rsidRPr="00CC472B">
        <w:t>tycznym znaczeniu świadczonych przez którykolwiek podmiot powiązany ujęty</w:t>
      </w:r>
      <w:r w:rsidR="009A0535" w:rsidRPr="00CC472B">
        <w:t xml:space="preserve"> w</w:t>
      </w:r>
      <w:r w:rsidR="009A0535">
        <w:t> </w:t>
      </w:r>
      <w:r w:rsidR="009A0535" w:rsidRPr="00CC472B">
        <w:t>sza</w:t>
      </w:r>
      <w:r w:rsidR="007E1AE4" w:rsidRPr="00CC472B">
        <w:t>blonie Z 01.00</w:t>
      </w:r>
      <w:r w:rsidR="009A0535" w:rsidRPr="00CC472B">
        <w:t xml:space="preserve"> w</w:t>
      </w:r>
      <w:r w:rsidR="009A0535">
        <w:t> </w:t>
      </w:r>
      <w:r w:rsidR="009A0535" w:rsidRPr="00CC472B">
        <w:t>zał</w:t>
      </w:r>
      <w:r w:rsidR="007E1AE4" w:rsidRPr="00CC472B">
        <w:t>ączniku I;</w:t>
      </w:r>
    </w:p>
    <w:p w:rsidR="007E1AE4" w:rsidRPr="00CC472B" w:rsidRDefault="00CC472B" w:rsidP="00CC472B">
      <w:pPr>
        <w:pStyle w:val="Point0"/>
      </w:pPr>
      <w:r w:rsidRPr="00CC472B">
        <w:t>i)</w:t>
      </w:r>
      <w:r w:rsidRPr="00CC472B">
        <w:tab/>
      </w:r>
      <w:r w:rsidR="007E1AE4" w:rsidRPr="00CC472B">
        <w:t>informacje określone</w:t>
      </w:r>
      <w:r w:rsidR="009A0535" w:rsidRPr="00CC472B">
        <w:t xml:space="preserve"> w</w:t>
      </w:r>
      <w:r w:rsidR="009A0535">
        <w:t> </w:t>
      </w:r>
      <w:r w:rsidR="009A0535" w:rsidRPr="00CC472B">
        <w:t>sza</w:t>
      </w:r>
      <w:r w:rsidR="007E1AE4" w:rsidRPr="00CC472B">
        <w:t>blonie Z 09.00</w:t>
      </w:r>
      <w:r w:rsidR="009A0535" w:rsidRPr="00CC472B">
        <w:t xml:space="preserve"> w</w:t>
      </w:r>
      <w:r w:rsidR="009A0535">
        <w:t> </w:t>
      </w:r>
      <w:r w:rsidR="009A0535" w:rsidRPr="00CC472B">
        <w:t>zał</w:t>
      </w:r>
      <w:r w:rsidR="007E1AE4" w:rsidRPr="00CC472B">
        <w:t>ączniku I</w:t>
      </w:r>
      <w:r w:rsidR="009A0535" w:rsidRPr="00CC472B">
        <w:t xml:space="preserve"> w</w:t>
      </w:r>
      <w:r w:rsidR="009A0535">
        <w:t> </w:t>
      </w:r>
      <w:r w:rsidR="009A0535" w:rsidRPr="00CC472B">
        <w:t>odn</w:t>
      </w:r>
      <w:r w:rsidR="007E1AE4" w:rsidRPr="00CC472B">
        <w:t>iesieniu do wszystkich infrastruktur rynku finansowego, których zakłócenie stanowiłoby poważną przeszkodę</w:t>
      </w:r>
      <w:r w:rsidR="009A0535" w:rsidRPr="00CC472B">
        <w:t xml:space="preserve"> w</w:t>
      </w:r>
      <w:r w:rsidR="009A0535">
        <w:t> </w:t>
      </w:r>
      <w:r w:rsidR="009A0535" w:rsidRPr="00CC472B">
        <w:t>peł</w:t>
      </w:r>
      <w:r w:rsidR="007E1AE4" w:rsidRPr="00CC472B">
        <w:t>nieniu jakiejkolwiek funkcji krytycznej określonej</w:t>
      </w:r>
      <w:r w:rsidR="009A0535" w:rsidRPr="00CC472B">
        <w:t xml:space="preserve"> w</w:t>
      </w:r>
      <w:r w:rsidR="009A0535">
        <w:t> </w:t>
      </w:r>
      <w:r w:rsidR="009A0535" w:rsidRPr="00CC472B">
        <w:t>sza</w:t>
      </w:r>
      <w:r w:rsidR="007E1AE4" w:rsidRPr="00CC472B">
        <w:t>blonie Z 07.02 lub uniemożliwiłoby pełnienie takiej funkcji;</w:t>
      </w:r>
    </w:p>
    <w:p w:rsidR="007E1AE4" w:rsidRPr="00CC472B" w:rsidRDefault="00CC472B" w:rsidP="00CC472B">
      <w:pPr>
        <w:pStyle w:val="Point0"/>
      </w:pPr>
      <w:r w:rsidRPr="00CC472B">
        <w:t>j)</w:t>
      </w:r>
      <w:r w:rsidRPr="00CC472B">
        <w:tab/>
      </w:r>
      <w:r w:rsidR="007E1AE4" w:rsidRPr="00CC472B">
        <w:t>informacje określone</w:t>
      </w:r>
      <w:r w:rsidR="009A0535" w:rsidRPr="00CC472B">
        <w:t xml:space="preserve"> w</w:t>
      </w:r>
      <w:r w:rsidR="009A0535">
        <w:t> </w:t>
      </w:r>
      <w:r w:rsidR="009A0535" w:rsidRPr="00CC472B">
        <w:t>sza</w:t>
      </w:r>
      <w:r w:rsidR="007E1AE4" w:rsidRPr="00CC472B">
        <w:t>blonach Z 10.01 i Z 10.02</w:t>
      </w:r>
      <w:r w:rsidR="009A0535" w:rsidRPr="00CC472B">
        <w:t xml:space="preserve"> w</w:t>
      </w:r>
      <w:r w:rsidR="009A0535">
        <w:t> </w:t>
      </w:r>
      <w:r w:rsidR="009A0535" w:rsidRPr="00CC472B">
        <w:t>zał</w:t>
      </w:r>
      <w:r w:rsidR="007E1AE4" w:rsidRPr="00CC472B">
        <w:t>ączniku I</w:t>
      </w:r>
      <w:r w:rsidR="009A0535" w:rsidRPr="00CC472B">
        <w:t xml:space="preserve"> w</w:t>
      </w:r>
      <w:r w:rsidR="009A0535">
        <w:t> </w:t>
      </w:r>
      <w:r w:rsidR="009A0535" w:rsidRPr="00CC472B">
        <w:t>odn</w:t>
      </w:r>
      <w:r w:rsidR="007E1AE4" w:rsidRPr="00CC472B">
        <w:t>iesieniu do wszystkich krytycznych systemów informacyjnych</w:t>
      </w:r>
      <w:r w:rsidR="009A0535" w:rsidRPr="00CC472B">
        <w:t xml:space="preserve"> w</w:t>
      </w:r>
      <w:r w:rsidR="009A0535">
        <w:t> </w:t>
      </w:r>
      <w:r w:rsidR="009A0535" w:rsidRPr="00CC472B">
        <w:t>obr</w:t>
      </w:r>
      <w:r w:rsidR="007E1AE4" w:rsidRPr="00CC472B">
        <w:t>ębie grupy.</w:t>
      </w:r>
    </w:p>
    <w:p w:rsidR="007E1AE4" w:rsidRPr="00CC472B" w:rsidRDefault="007E1AE4" w:rsidP="007E1AE4">
      <w:pPr>
        <w:pStyle w:val="Titrearticle"/>
        <w:rPr>
          <w:color w:val="000000" w:themeColor="text1"/>
        </w:rPr>
      </w:pPr>
      <w:r w:rsidRPr="00CC472B">
        <w:rPr>
          <w:color w:val="000000" w:themeColor="text1"/>
        </w:rPr>
        <w:t>Artykuł 5</w:t>
      </w:r>
      <w:r w:rsidRPr="00CC472B">
        <w:rPr>
          <w:color w:val="000000" w:themeColor="text1"/>
        </w:rPr>
        <w:br/>
        <w:t>Częstotliwość, dni odniesienia</w:t>
      </w:r>
      <w:r w:rsidR="009A0535" w:rsidRPr="00CC472B">
        <w:rPr>
          <w:color w:val="000000" w:themeColor="text1"/>
        </w:rPr>
        <w:t xml:space="preserve"> i</w:t>
      </w:r>
      <w:r w:rsidR="009A0535">
        <w:rPr>
          <w:color w:val="000000" w:themeColor="text1"/>
        </w:rPr>
        <w:t> </w:t>
      </w:r>
      <w:r w:rsidR="009A0535" w:rsidRPr="00CC472B">
        <w:rPr>
          <w:color w:val="000000" w:themeColor="text1"/>
        </w:rPr>
        <w:t>dni</w:t>
      </w:r>
      <w:r w:rsidRPr="00CC472B">
        <w:rPr>
          <w:color w:val="000000" w:themeColor="text1"/>
        </w:rPr>
        <w:t xml:space="preserve"> przekazania formularzy</w:t>
      </w:r>
    </w:p>
    <w:p w:rsidR="007E1AE4" w:rsidRPr="00CC472B" w:rsidRDefault="007E1AE4" w:rsidP="000D42E6">
      <w:pPr>
        <w:pStyle w:val="NumPar1"/>
        <w:numPr>
          <w:ilvl w:val="0"/>
          <w:numId w:val="2"/>
        </w:numPr>
        <w:rPr>
          <w:color w:val="000000" w:themeColor="text1"/>
        </w:rPr>
      </w:pPr>
      <w:r w:rsidRPr="00CC472B">
        <w:rPr>
          <w:color w:val="000000" w:themeColor="text1"/>
        </w:rPr>
        <w:t>Instytucje przedkładają informacje,</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rych mowa</w:t>
      </w:r>
      <w:r w:rsidR="009A0535" w:rsidRPr="00CC472B">
        <w:rPr>
          <w:color w:val="000000" w:themeColor="text1"/>
        </w:rPr>
        <w:t xml:space="preserve"> w</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3</w:t>
      </w:r>
      <w:r w:rsidRPr="00CC472B">
        <w:rPr>
          <w:color w:val="000000" w:themeColor="text1"/>
        </w:rPr>
        <w:t xml:space="preserve"> </w:t>
      </w:r>
      <w:r w:rsidRPr="009A0535">
        <w:rPr>
          <w:color w:val="000000" w:themeColor="text1"/>
        </w:rPr>
        <w:t>ust.</w:t>
      </w:r>
      <w:r w:rsidR="009A0535" w:rsidRPr="009A0535">
        <w:rPr>
          <w:color w:val="000000" w:themeColor="text1"/>
        </w:rPr>
        <w:t> </w:t>
      </w:r>
      <w:r w:rsidRPr="009A0535">
        <w:rPr>
          <w:color w:val="000000" w:themeColor="text1"/>
        </w:rPr>
        <w:t>1</w:t>
      </w:r>
      <w:r w:rsidRPr="00CC472B">
        <w:rPr>
          <w:color w:val="000000" w:themeColor="text1"/>
        </w:rPr>
        <w:t>, najpóźniej do dnia 30 kwietnia każdego roku</w:t>
      </w:r>
      <w:r w:rsidR="009A0535" w:rsidRPr="00CC472B">
        <w:rPr>
          <w:color w:val="000000" w:themeColor="text1"/>
        </w:rPr>
        <w:t xml:space="preserve"> w</w:t>
      </w:r>
      <w:r w:rsidR="009A0535">
        <w:rPr>
          <w:color w:val="000000" w:themeColor="text1"/>
        </w:rPr>
        <w:t> </w:t>
      </w:r>
      <w:r w:rsidR="009A0535" w:rsidRPr="00CC472B">
        <w:rPr>
          <w:color w:val="000000" w:themeColor="text1"/>
        </w:rPr>
        <w:t>odn</w:t>
      </w:r>
      <w:r w:rsidRPr="00CC472B">
        <w:rPr>
          <w:color w:val="000000" w:themeColor="text1"/>
        </w:rPr>
        <w:t>iesieniu do ostatniego dnia poprzedniego roku kalendarzowego lub odpowiedniego roku obrachunkowego. Jeżeli dzień 30 kwietnia nie jest dniem roboczym, informacje przedstawiane są</w:t>
      </w:r>
      <w:r w:rsidR="009A0535" w:rsidRPr="00CC472B">
        <w:rPr>
          <w:color w:val="000000" w:themeColor="text1"/>
        </w:rPr>
        <w:t xml:space="preserve"> w</w:t>
      </w:r>
      <w:r w:rsidR="009A0535">
        <w:rPr>
          <w:color w:val="000000" w:themeColor="text1"/>
        </w:rPr>
        <w:t> </w:t>
      </w:r>
      <w:r w:rsidR="009A0535" w:rsidRPr="00CC472B">
        <w:rPr>
          <w:color w:val="000000" w:themeColor="text1"/>
        </w:rPr>
        <w:t>kol</w:t>
      </w:r>
      <w:r w:rsidRPr="00CC472B">
        <w:rPr>
          <w:color w:val="000000" w:themeColor="text1"/>
        </w:rPr>
        <w:t>ejnym dniu roboczym.</w:t>
      </w:r>
    </w:p>
    <w:p w:rsidR="007E1AE4" w:rsidRPr="00CC472B" w:rsidRDefault="007E1AE4" w:rsidP="000D42E6">
      <w:pPr>
        <w:pStyle w:val="NumPar1"/>
        <w:numPr>
          <w:ilvl w:val="0"/>
          <w:numId w:val="2"/>
        </w:numPr>
        <w:rPr>
          <w:color w:val="000000" w:themeColor="text1"/>
        </w:rPr>
      </w:pPr>
      <w:r w:rsidRPr="00CC472B">
        <w:rPr>
          <w:color w:val="000000" w:themeColor="text1"/>
        </w:rPr>
        <w:t>Organy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przekazują niezbędne dane kontaktowe</w:t>
      </w:r>
      <w:r w:rsidR="009A0535" w:rsidRPr="00CC472B">
        <w:rPr>
          <w:color w:val="000000" w:themeColor="text1"/>
        </w:rPr>
        <w:t xml:space="preserve"> w</w:t>
      </w:r>
      <w:r w:rsidR="009A0535">
        <w:rPr>
          <w:color w:val="000000" w:themeColor="text1"/>
        </w:rPr>
        <w:t> </w:t>
      </w:r>
      <w:r w:rsidR="009A0535" w:rsidRPr="00CC472B">
        <w:rPr>
          <w:color w:val="000000" w:themeColor="text1"/>
        </w:rPr>
        <w:t>ram</w:t>
      </w:r>
      <w:r w:rsidRPr="00CC472B">
        <w:rPr>
          <w:color w:val="000000" w:themeColor="text1"/>
        </w:rPr>
        <w:t>ach organu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lub,</w:t>
      </w:r>
      <w:r w:rsidR="009A0535" w:rsidRPr="00CC472B">
        <w:rPr>
          <w:color w:val="000000" w:themeColor="text1"/>
        </w:rPr>
        <w:t xml:space="preserve"> w</w:t>
      </w:r>
      <w:r w:rsidR="009A0535">
        <w:rPr>
          <w:color w:val="000000" w:themeColor="text1"/>
        </w:rPr>
        <w:t> </w:t>
      </w:r>
      <w:r w:rsidR="009A0535" w:rsidRPr="00CC472B">
        <w:rPr>
          <w:color w:val="000000" w:themeColor="text1"/>
        </w:rPr>
        <w:t>sto</w:t>
      </w:r>
      <w:r w:rsidRPr="00CC472B">
        <w:rPr>
          <w:color w:val="000000" w:themeColor="text1"/>
        </w:rPr>
        <w:t>sownych przypadkach,</w:t>
      </w:r>
      <w:r w:rsidR="009A0535" w:rsidRPr="00CC472B">
        <w:rPr>
          <w:color w:val="000000" w:themeColor="text1"/>
        </w:rPr>
        <w:t xml:space="preserve"> w</w:t>
      </w:r>
      <w:r w:rsidR="009A0535">
        <w:rPr>
          <w:color w:val="000000" w:themeColor="text1"/>
        </w:rPr>
        <w:t> </w:t>
      </w:r>
      <w:r w:rsidR="009A0535" w:rsidRPr="00CC472B">
        <w:rPr>
          <w:color w:val="000000" w:themeColor="text1"/>
        </w:rPr>
        <w:t>ram</w:t>
      </w:r>
      <w:r w:rsidRPr="00CC472B">
        <w:rPr>
          <w:color w:val="000000" w:themeColor="text1"/>
        </w:rPr>
        <w:t>ach właściwego organu na potrzeby przekazania informacji.</w:t>
      </w:r>
    </w:p>
    <w:p w:rsidR="007E1AE4" w:rsidRPr="00CC472B" w:rsidRDefault="007E1AE4" w:rsidP="000D42E6">
      <w:pPr>
        <w:pStyle w:val="NumPar1"/>
        <w:numPr>
          <w:ilvl w:val="0"/>
          <w:numId w:val="2"/>
        </w:numPr>
        <w:rPr>
          <w:color w:val="000000" w:themeColor="text1"/>
        </w:rPr>
      </w:pPr>
      <w:r w:rsidRPr="00CC472B">
        <w:rPr>
          <w:color w:val="000000" w:themeColor="text1"/>
        </w:rPr>
        <w:t>Instytucje mogą przedkładać niezweryfikowane dane. Jeżeli zweryfikowane dane różnią się od danych niezweryfikowanych, wówczas zweryfikowane dane przekazuje się bez zbędnej zwłoki. Dane niezweryfikowane są to dane,</w:t>
      </w:r>
      <w:r w:rsidR="009A0535" w:rsidRPr="00CC472B">
        <w:rPr>
          <w:color w:val="000000" w:themeColor="text1"/>
        </w:rPr>
        <w:t xml:space="preserve"> w</w:t>
      </w:r>
      <w:r w:rsidR="009A0535">
        <w:rPr>
          <w:color w:val="000000" w:themeColor="text1"/>
        </w:rPr>
        <w:t> </w:t>
      </w:r>
      <w:r w:rsidR="009A0535" w:rsidRPr="00CC472B">
        <w:rPr>
          <w:color w:val="000000" w:themeColor="text1"/>
        </w:rPr>
        <w:t>odn</w:t>
      </w:r>
      <w:r w:rsidRPr="00CC472B">
        <w:rPr>
          <w:color w:val="000000" w:themeColor="text1"/>
        </w:rPr>
        <w:t xml:space="preserve">iesieniu do których nie została wydana opinia audytora zewnętrznego, natomiast dane zweryfikowane stanowią dane poddane weryfikacji audytora zewnętrznego, który wydał opinię pokontrolną. </w:t>
      </w:r>
    </w:p>
    <w:p w:rsidR="007E1AE4" w:rsidRPr="00CC472B" w:rsidRDefault="00754A18" w:rsidP="000D42E6">
      <w:pPr>
        <w:pStyle w:val="NumPar1"/>
        <w:numPr>
          <w:ilvl w:val="0"/>
          <w:numId w:val="2"/>
        </w:numPr>
        <w:rPr>
          <w:color w:val="000000" w:themeColor="text1"/>
        </w:rPr>
      </w:pPr>
      <w:r w:rsidRPr="00CC472B">
        <w:rPr>
          <w:color w:val="000000" w:themeColor="text1"/>
        </w:rPr>
        <w:t>Korekty do przedstawionych sprawozdań przekazuje się bez zbędnej zwłoki.</w:t>
      </w:r>
    </w:p>
    <w:p w:rsidR="007E1AE4" w:rsidRPr="00CC472B" w:rsidRDefault="007E1AE4" w:rsidP="007E1AE4">
      <w:pPr>
        <w:pStyle w:val="Titrearticle"/>
        <w:rPr>
          <w:color w:val="000000" w:themeColor="text1"/>
        </w:rPr>
      </w:pPr>
      <w:r w:rsidRPr="00CC472B">
        <w:rPr>
          <w:color w:val="000000" w:themeColor="text1"/>
        </w:rPr>
        <w:t>Artykuł 6</w:t>
      </w:r>
      <w:r w:rsidRPr="00CC472B">
        <w:rPr>
          <w:color w:val="000000" w:themeColor="text1"/>
        </w:rPr>
        <w:br/>
        <w:t>Format do celów przekazywania informacji</w:t>
      </w:r>
    </w:p>
    <w:p w:rsidR="007E1AE4" w:rsidRPr="00CC472B" w:rsidRDefault="007E1AE4" w:rsidP="000D42E6">
      <w:pPr>
        <w:pStyle w:val="NumPar1"/>
        <w:numPr>
          <w:ilvl w:val="0"/>
          <w:numId w:val="3"/>
        </w:numPr>
        <w:rPr>
          <w:color w:val="000000" w:themeColor="text1"/>
        </w:rPr>
      </w:pPr>
      <w:r w:rsidRPr="00CC472B">
        <w:rPr>
          <w:color w:val="000000" w:themeColor="text1"/>
        </w:rPr>
        <w:t>Instytucje lub –</w:t>
      </w:r>
      <w:r w:rsidR="009A0535" w:rsidRPr="00CC472B">
        <w:rPr>
          <w:color w:val="000000" w:themeColor="text1"/>
        </w:rPr>
        <w:t xml:space="preserve"> w</w:t>
      </w:r>
      <w:r w:rsidR="009A0535">
        <w:rPr>
          <w:color w:val="000000" w:themeColor="text1"/>
        </w:rPr>
        <w:t> </w:t>
      </w:r>
      <w:r w:rsidR="009A0535" w:rsidRPr="00CC472B">
        <w:rPr>
          <w:color w:val="000000" w:themeColor="text1"/>
        </w:rPr>
        <w:t>prz</w:t>
      </w:r>
      <w:r w:rsidRPr="00CC472B">
        <w:rPr>
          <w:color w:val="000000" w:themeColor="text1"/>
        </w:rPr>
        <w:t>ypadku grup – unijne jednostki dominujące przedkładają informacje,</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rych mowa</w:t>
      </w:r>
      <w:r w:rsidR="009A0535" w:rsidRPr="00CC472B">
        <w:rPr>
          <w:color w:val="000000" w:themeColor="text1"/>
        </w:rPr>
        <w:t xml:space="preserve"> w</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3</w:t>
      </w:r>
      <w:r w:rsidRPr="00CC472B">
        <w:rPr>
          <w:color w:val="000000" w:themeColor="text1"/>
        </w:rPr>
        <w:t xml:space="preserve"> </w:t>
      </w:r>
      <w:r w:rsidRPr="009A0535">
        <w:rPr>
          <w:color w:val="000000" w:themeColor="text1"/>
        </w:rPr>
        <w:t>ust.</w:t>
      </w:r>
      <w:r w:rsidR="009A0535" w:rsidRPr="009A0535">
        <w:rPr>
          <w:color w:val="000000" w:themeColor="text1"/>
        </w:rPr>
        <w:t> </w:t>
      </w:r>
      <w:r w:rsidRPr="009A0535">
        <w:rPr>
          <w:color w:val="000000" w:themeColor="text1"/>
        </w:rPr>
        <w:t>1</w:t>
      </w:r>
      <w:r w:rsidRPr="00CC472B">
        <w:rPr>
          <w:color w:val="000000" w:themeColor="text1"/>
        </w:rPr>
        <w:t>,</w:t>
      </w:r>
      <w:r w:rsidR="009A0535" w:rsidRPr="00CC472B">
        <w:rPr>
          <w:color w:val="000000" w:themeColor="text1"/>
        </w:rPr>
        <w:t xml:space="preserve"> w</w:t>
      </w:r>
      <w:r w:rsidR="009A0535">
        <w:rPr>
          <w:color w:val="000000" w:themeColor="text1"/>
        </w:rPr>
        <w:t> </w:t>
      </w:r>
      <w:r w:rsidR="009A0535" w:rsidRPr="00CC472B">
        <w:rPr>
          <w:color w:val="000000" w:themeColor="text1"/>
        </w:rPr>
        <w:t>for</w:t>
      </w:r>
      <w:r w:rsidRPr="00CC472B">
        <w:rPr>
          <w:color w:val="000000" w:themeColor="text1"/>
        </w:rPr>
        <w:t>matach wymiany danych</w:t>
      </w:r>
      <w:r w:rsidR="009A0535" w:rsidRPr="00CC472B">
        <w:rPr>
          <w:color w:val="000000" w:themeColor="text1"/>
        </w:rPr>
        <w:t xml:space="preserve"> i</w:t>
      </w:r>
      <w:r w:rsidR="009A0535">
        <w:rPr>
          <w:color w:val="000000" w:themeColor="text1"/>
        </w:rPr>
        <w:t> </w:t>
      </w:r>
      <w:r w:rsidR="009A0535" w:rsidRPr="00CC472B">
        <w:rPr>
          <w:color w:val="000000" w:themeColor="text1"/>
        </w:rPr>
        <w:t>prz</w:t>
      </w:r>
      <w:r w:rsidRPr="00CC472B">
        <w:rPr>
          <w:color w:val="000000" w:themeColor="text1"/>
        </w:rPr>
        <w:t>edstawiania danych określonych przez organy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oraz przestrzegają definicji punktów danych ujętych</w:t>
      </w:r>
      <w:r w:rsidR="009A0535" w:rsidRPr="00CC472B">
        <w:rPr>
          <w:color w:val="000000" w:themeColor="text1"/>
        </w:rPr>
        <w:t xml:space="preserve"> w</w:t>
      </w:r>
      <w:r w:rsidR="009A0535">
        <w:rPr>
          <w:color w:val="000000" w:themeColor="text1"/>
        </w:rPr>
        <w:t> </w:t>
      </w:r>
      <w:r w:rsidR="009A0535" w:rsidRPr="00CC472B">
        <w:rPr>
          <w:color w:val="000000" w:themeColor="text1"/>
        </w:rPr>
        <w:t>jed</w:t>
      </w:r>
      <w:r w:rsidRPr="00CC472B">
        <w:rPr>
          <w:color w:val="000000" w:themeColor="text1"/>
        </w:rPr>
        <w:t>nolitym modelu punktów danych,</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rym mowa</w:t>
      </w:r>
      <w:r w:rsidR="009A0535" w:rsidRPr="00CC472B">
        <w:rPr>
          <w:color w:val="000000" w:themeColor="text1"/>
        </w:rPr>
        <w:t xml:space="preserve"> w</w:t>
      </w:r>
      <w:r w:rsidR="009A0535">
        <w:rPr>
          <w:color w:val="000000" w:themeColor="text1"/>
        </w:rPr>
        <w:t> </w:t>
      </w:r>
      <w:r w:rsidR="009A0535" w:rsidRPr="00CC472B">
        <w:rPr>
          <w:color w:val="000000" w:themeColor="text1"/>
        </w:rPr>
        <w:t>zał</w:t>
      </w:r>
      <w:r w:rsidRPr="00CC472B">
        <w:rPr>
          <w:color w:val="000000" w:themeColor="text1"/>
        </w:rPr>
        <w:t>ączniku III,</w:t>
      </w:r>
      <w:r w:rsidR="009A0535" w:rsidRPr="00CC472B">
        <w:rPr>
          <w:color w:val="000000" w:themeColor="text1"/>
        </w:rPr>
        <w:t xml:space="preserve"> i</w:t>
      </w:r>
      <w:r w:rsidR="009A0535">
        <w:rPr>
          <w:color w:val="000000" w:themeColor="text1"/>
        </w:rPr>
        <w:t> </w:t>
      </w:r>
      <w:r w:rsidR="009A0535" w:rsidRPr="00CC472B">
        <w:rPr>
          <w:color w:val="000000" w:themeColor="text1"/>
        </w:rPr>
        <w:t>zas</w:t>
      </w:r>
      <w:r w:rsidRPr="00CC472B">
        <w:rPr>
          <w:color w:val="000000" w:themeColor="text1"/>
        </w:rPr>
        <w:t>ad walidacji,</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rych mowa</w:t>
      </w:r>
      <w:r w:rsidR="009A0535" w:rsidRPr="00CC472B">
        <w:rPr>
          <w:color w:val="000000" w:themeColor="text1"/>
        </w:rPr>
        <w:t xml:space="preserve"> w</w:t>
      </w:r>
      <w:r w:rsidR="009A0535">
        <w:rPr>
          <w:color w:val="000000" w:themeColor="text1"/>
        </w:rPr>
        <w:t> </w:t>
      </w:r>
      <w:r w:rsidR="009A0535" w:rsidRPr="00CC472B">
        <w:rPr>
          <w:color w:val="000000" w:themeColor="text1"/>
        </w:rPr>
        <w:t>zał</w:t>
      </w:r>
      <w:r w:rsidRPr="00CC472B">
        <w:rPr>
          <w:color w:val="000000" w:themeColor="text1"/>
        </w:rPr>
        <w:t>ączniki IV, jak również następujących specyfikacji:</w:t>
      </w:r>
    </w:p>
    <w:p w:rsidR="007E1AE4" w:rsidRPr="00CC472B" w:rsidRDefault="00CC472B" w:rsidP="00CC472B">
      <w:pPr>
        <w:pStyle w:val="Point1"/>
      </w:pPr>
      <w:r w:rsidRPr="00CC472B">
        <w:t>a)</w:t>
      </w:r>
      <w:r w:rsidRPr="00CC472B">
        <w:tab/>
      </w:r>
      <w:r w:rsidR="009A0535" w:rsidRPr="00CC472B">
        <w:t xml:space="preserve"> w</w:t>
      </w:r>
      <w:r w:rsidR="009A0535">
        <w:t> </w:t>
      </w:r>
      <w:r w:rsidR="009A0535" w:rsidRPr="00CC472B">
        <w:t>prz</w:t>
      </w:r>
      <w:r w:rsidR="00A05B6C" w:rsidRPr="00CC472B">
        <w:t>edstawianych danych nie uwzględnia się informacji, które nie są wymagane lub nie mają zastosowania;</w:t>
      </w:r>
    </w:p>
    <w:p w:rsidR="007E1AE4" w:rsidRPr="00CC472B" w:rsidRDefault="00CC472B" w:rsidP="00CC472B">
      <w:pPr>
        <w:pStyle w:val="Point1"/>
      </w:pPr>
      <w:r w:rsidRPr="00CC472B">
        <w:t>b)</w:t>
      </w:r>
      <w:r w:rsidRPr="00CC472B">
        <w:tab/>
      </w:r>
      <w:r w:rsidR="007E1AE4" w:rsidRPr="00CC472B">
        <w:t>wartości numeryczne przedstawia się jako dane faktyczne</w:t>
      </w:r>
      <w:r w:rsidR="009A0535" w:rsidRPr="00CC472B">
        <w:t xml:space="preserve"> w</w:t>
      </w:r>
      <w:r w:rsidR="009A0535">
        <w:t> </w:t>
      </w:r>
      <w:r w:rsidR="009A0535" w:rsidRPr="00CC472B">
        <w:t>nas</w:t>
      </w:r>
      <w:r w:rsidR="007E1AE4" w:rsidRPr="00CC472B">
        <w:t>tępujący sposób:</w:t>
      </w:r>
    </w:p>
    <w:p w:rsidR="007E1AE4" w:rsidRPr="00CC472B" w:rsidRDefault="00045775" w:rsidP="0051415A">
      <w:pPr>
        <w:pStyle w:val="Point2"/>
      </w:pPr>
      <w:r w:rsidRPr="00CC472B">
        <w:t>(i)</w:t>
      </w:r>
      <w:r w:rsidRPr="00CC472B">
        <w:tab/>
        <w:t>punkty danych obejmujące rodzaj danych „kwota pieniężna” przedstawia się</w:t>
      </w:r>
      <w:r w:rsidR="009A0535" w:rsidRPr="00CC472B">
        <w:t xml:space="preserve"> z</w:t>
      </w:r>
      <w:r w:rsidR="009A0535">
        <w:t> </w:t>
      </w:r>
      <w:r w:rsidR="009A0535" w:rsidRPr="00CC472B">
        <w:t>zas</w:t>
      </w:r>
      <w:r w:rsidRPr="00CC472B">
        <w:t>tosowaniem minimalnej dokładności odpowiadającej tysiącowi jednostek;</w:t>
      </w:r>
    </w:p>
    <w:p w:rsidR="007E1AE4" w:rsidRPr="00CC472B" w:rsidRDefault="00045775" w:rsidP="0051415A">
      <w:pPr>
        <w:pStyle w:val="Point2"/>
      </w:pPr>
      <w:r w:rsidRPr="00CC472B">
        <w:t>(ii)</w:t>
      </w:r>
      <w:r w:rsidRPr="00CC472B">
        <w:tab/>
        <w:t>punkty danych obejmujące rodzaj danych „procentowe” wyraża się zgodnie</w:t>
      </w:r>
      <w:r w:rsidR="009A0535" w:rsidRPr="00CC472B">
        <w:t xml:space="preserve"> z</w:t>
      </w:r>
      <w:r w:rsidR="009A0535">
        <w:t> </w:t>
      </w:r>
      <w:r w:rsidR="009A0535" w:rsidRPr="00CC472B">
        <w:t>jed</w:t>
      </w:r>
      <w:r w:rsidRPr="00CC472B">
        <w:t>nostką,</w:t>
      </w:r>
      <w:r w:rsidR="009A0535" w:rsidRPr="00CC472B">
        <w:t xml:space="preserve"> z</w:t>
      </w:r>
      <w:r w:rsidR="009A0535">
        <w:t> </w:t>
      </w:r>
      <w:r w:rsidR="009A0535" w:rsidRPr="00CC472B">
        <w:t>zas</w:t>
      </w:r>
      <w:r w:rsidRPr="00CC472B">
        <w:t>tosowaniem minimalnej dokładności odpowiadającej czwartemu miejscu po przecinku;</w:t>
      </w:r>
    </w:p>
    <w:p w:rsidR="007E1AE4" w:rsidRPr="00CC472B" w:rsidRDefault="00045775" w:rsidP="0051415A">
      <w:pPr>
        <w:pStyle w:val="Point2"/>
      </w:pPr>
      <w:r w:rsidRPr="00CC472B">
        <w:t>(iii)</w:t>
      </w:r>
      <w:r w:rsidRPr="00CC472B">
        <w:tab/>
        <w:t>punkty danych obejmujące rodzaj danych „liczby całkowite” przedstawia się bez miejsc po przecinku oraz</w:t>
      </w:r>
      <w:r w:rsidR="009A0535" w:rsidRPr="00CC472B">
        <w:t xml:space="preserve"> z</w:t>
      </w:r>
      <w:r w:rsidR="009A0535">
        <w:t> </w:t>
      </w:r>
      <w:r w:rsidR="009A0535" w:rsidRPr="00CC472B">
        <w:t>dok</w:t>
      </w:r>
      <w:r w:rsidRPr="00CC472B">
        <w:t>ładnością odpowiadającą jednostkom.</w:t>
      </w:r>
    </w:p>
    <w:p w:rsidR="007E1AE4" w:rsidRPr="00CC472B" w:rsidRDefault="007E1AE4" w:rsidP="000D42E6">
      <w:pPr>
        <w:pStyle w:val="NumPar1"/>
        <w:numPr>
          <w:ilvl w:val="0"/>
          <w:numId w:val="3"/>
        </w:numPr>
        <w:rPr>
          <w:color w:val="000000" w:themeColor="text1"/>
        </w:rPr>
      </w:pPr>
      <w:r w:rsidRPr="00CC472B">
        <w:rPr>
          <w:color w:val="000000" w:themeColor="text1"/>
        </w:rPr>
        <w:t>Dane przedkładane przez instytucje lub –</w:t>
      </w:r>
      <w:r w:rsidR="009A0535" w:rsidRPr="00CC472B">
        <w:rPr>
          <w:color w:val="000000" w:themeColor="text1"/>
        </w:rPr>
        <w:t xml:space="preserve"> w</w:t>
      </w:r>
      <w:r w:rsidR="009A0535">
        <w:rPr>
          <w:color w:val="000000" w:themeColor="text1"/>
        </w:rPr>
        <w:t> </w:t>
      </w:r>
      <w:r w:rsidR="009A0535" w:rsidRPr="00CC472B">
        <w:rPr>
          <w:color w:val="000000" w:themeColor="text1"/>
        </w:rPr>
        <w:t>prz</w:t>
      </w:r>
      <w:r w:rsidRPr="00CC472B">
        <w:rPr>
          <w:color w:val="000000" w:themeColor="text1"/>
        </w:rPr>
        <w:t>ypadku grup – unijne jednostki dominujące są powiązane</w:t>
      </w:r>
      <w:r w:rsidR="009A0535" w:rsidRPr="00CC472B">
        <w:rPr>
          <w:color w:val="000000" w:themeColor="text1"/>
        </w:rPr>
        <w:t xml:space="preserve"> z</w:t>
      </w:r>
      <w:r w:rsidR="009A0535">
        <w:rPr>
          <w:color w:val="000000" w:themeColor="text1"/>
        </w:rPr>
        <w:t> </w:t>
      </w:r>
      <w:r w:rsidR="009A0535" w:rsidRPr="00CC472B">
        <w:rPr>
          <w:color w:val="000000" w:themeColor="text1"/>
        </w:rPr>
        <w:t>nas</w:t>
      </w:r>
      <w:r w:rsidRPr="00CC472B">
        <w:rPr>
          <w:color w:val="000000" w:themeColor="text1"/>
        </w:rPr>
        <w:t>tępującymi informacjami:</w:t>
      </w:r>
    </w:p>
    <w:p w:rsidR="007E1AE4" w:rsidRPr="00CC472B" w:rsidRDefault="00CC472B" w:rsidP="00CC472B">
      <w:pPr>
        <w:pStyle w:val="Point1"/>
      </w:pPr>
      <w:r w:rsidRPr="00CC472B">
        <w:t>a)</w:t>
      </w:r>
      <w:r w:rsidRPr="00CC472B">
        <w:tab/>
      </w:r>
      <w:r w:rsidR="007E1AE4" w:rsidRPr="00CC472B">
        <w:t>dniem odniesienia na potrzeby przekazywania informacji;</w:t>
      </w:r>
    </w:p>
    <w:p w:rsidR="007E1AE4" w:rsidRPr="00CC472B" w:rsidRDefault="00CC472B" w:rsidP="00CC472B">
      <w:pPr>
        <w:pStyle w:val="Point1"/>
      </w:pPr>
      <w:r w:rsidRPr="00CC472B">
        <w:t>b)</w:t>
      </w:r>
      <w:r w:rsidRPr="00CC472B">
        <w:tab/>
      </w:r>
      <w:r w:rsidR="007E1AE4" w:rsidRPr="00CC472B">
        <w:t>walutą sprawozdawczą;</w:t>
      </w:r>
    </w:p>
    <w:p w:rsidR="007E1AE4" w:rsidRPr="00CC472B" w:rsidRDefault="00CC472B" w:rsidP="00CC472B">
      <w:pPr>
        <w:pStyle w:val="Point1"/>
      </w:pPr>
      <w:r w:rsidRPr="00CC472B">
        <w:t>c)</w:t>
      </w:r>
      <w:r w:rsidRPr="00CC472B">
        <w:tab/>
      </w:r>
      <w:r w:rsidR="007E1AE4" w:rsidRPr="00CC472B">
        <w:t>mającymi zastosowanie standardami rachunkowości;</w:t>
      </w:r>
    </w:p>
    <w:p w:rsidR="007E1AE4" w:rsidRPr="00CC472B" w:rsidRDefault="00CC472B" w:rsidP="00CC472B">
      <w:pPr>
        <w:pStyle w:val="Point1"/>
      </w:pPr>
      <w:r w:rsidRPr="00CC472B">
        <w:t>d)</w:t>
      </w:r>
      <w:r w:rsidRPr="00CC472B">
        <w:tab/>
      </w:r>
      <w:r w:rsidR="007E1AE4" w:rsidRPr="00CC472B">
        <w:t>identyfikatorem jednostki sprawozdawczej;</w:t>
      </w:r>
    </w:p>
    <w:p w:rsidR="007E1AE4" w:rsidRPr="00CC472B" w:rsidRDefault="00CC472B" w:rsidP="00CC472B">
      <w:pPr>
        <w:pStyle w:val="Point1"/>
      </w:pPr>
      <w:r w:rsidRPr="00CC472B">
        <w:t>e)</w:t>
      </w:r>
      <w:r w:rsidRPr="00CC472B">
        <w:tab/>
      </w:r>
      <w:r w:rsidR="007E1AE4" w:rsidRPr="00CC472B">
        <w:t>poziomem konsolidacji informacji zgodnie</w:t>
      </w:r>
      <w:r w:rsidR="009A0535" w:rsidRPr="00CC472B">
        <w:t xml:space="preserve"> z</w:t>
      </w:r>
      <w:r w:rsidR="009A0535">
        <w:t> </w:t>
      </w:r>
      <w:r w:rsidR="009A0535" w:rsidRPr="009A0535">
        <w:t>art</w:t>
      </w:r>
      <w:r w:rsidR="007E1AE4" w:rsidRPr="009A0535">
        <w:t>.</w:t>
      </w:r>
      <w:r w:rsidR="009A0535" w:rsidRPr="009A0535">
        <w:t> </w:t>
      </w:r>
      <w:r w:rsidR="007E1AE4" w:rsidRPr="009A0535">
        <w:t>4</w:t>
      </w:r>
      <w:r w:rsidR="007E1AE4" w:rsidRPr="00CC472B">
        <w:t>.</w:t>
      </w:r>
    </w:p>
    <w:p w:rsidR="007E1AE4" w:rsidRPr="00CC472B" w:rsidRDefault="007E1AE4" w:rsidP="007E1AE4">
      <w:pPr>
        <w:pStyle w:val="Titrearticle"/>
        <w:rPr>
          <w:color w:val="000000" w:themeColor="text1"/>
        </w:rPr>
      </w:pPr>
      <w:r w:rsidRPr="00CC472B">
        <w:rPr>
          <w:color w:val="000000" w:themeColor="text1"/>
        </w:rPr>
        <w:t>Artykuł 7</w:t>
      </w:r>
      <w:r w:rsidRPr="00CC472B">
        <w:rPr>
          <w:color w:val="000000" w:themeColor="text1"/>
        </w:rPr>
        <w:br/>
        <w:t>Przekazywanie dodatkowych informacji do celów indywidualnych lub grupowych planów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w:t>
      </w:r>
    </w:p>
    <w:p w:rsidR="00B90FAF" w:rsidRPr="00CC472B" w:rsidRDefault="00B90FAF" w:rsidP="000D42E6">
      <w:pPr>
        <w:pStyle w:val="NumPar1"/>
        <w:numPr>
          <w:ilvl w:val="0"/>
          <w:numId w:val="16"/>
        </w:numPr>
      </w:pPr>
      <w:r w:rsidRPr="00CC472B">
        <w:t>Jeżeli organ ds. restrukturyzacji</w:t>
      </w:r>
      <w:r w:rsidR="009A0535" w:rsidRPr="00CC472B">
        <w:t xml:space="preserve"> i</w:t>
      </w:r>
      <w:r w:rsidR="009A0535">
        <w:t> </w:t>
      </w:r>
      <w:r w:rsidR="009A0535" w:rsidRPr="00CC472B">
        <w:t>upo</w:t>
      </w:r>
      <w:r w:rsidRPr="00CC472B">
        <w:t>rządkowanej likwidacji lub grupowy organ ds. restrukturyzacji</w:t>
      </w:r>
      <w:r w:rsidR="009A0535" w:rsidRPr="00CC472B">
        <w:t xml:space="preserve"> i</w:t>
      </w:r>
      <w:r w:rsidR="009A0535">
        <w:t> </w:t>
      </w:r>
      <w:r w:rsidR="009A0535" w:rsidRPr="00CC472B">
        <w:t>upo</w:t>
      </w:r>
      <w:r w:rsidRPr="00CC472B">
        <w:t>rządkowanej likwidacji uzna, że informacje, które nie znajdują się</w:t>
      </w:r>
      <w:r w:rsidR="009A0535" w:rsidRPr="00CC472B">
        <w:t xml:space="preserve"> w</w:t>
      </w:r>
      <w:r w:rsidR="009A0535">
        <w:t> </w:t>
      </w:r>
      <w:r w:rsidR="009A0535" w:rsidRPr="00CC472B">
        <w:t>żad</w:t>
      </w:r>
      <w:r w:rsidRPr="00CC472B">
        <w:t>nym</w:t>
      </w:r>
      <w:r w:rsidR="009A0535" w:rsidRPr="00CC472B">
        <w:t xml:space="preserve"> z</w:t>
      </w:r>
      <w:r w:rsidR="009A0535">
        <w:t> </w:t>
      </w:r>
      <w:r w:rsidR="009A0535" w:rsidRPr="00CC472B">
        <w:t>sza</w:t>
      </w:r>
      <w:r w:rsidRPr="00CC472B">
        <w:t>blonów zawartych</w:t>
      </w:r>
      <w:r w:rsidR="009A0535" w:rsidRPr="00CC472B">
        <w:t xml:space="preserve"> w</w:t>
      </w:r>
      <w:r w:rsidR="009A0535">
        <w:t> </w:t>
      </w:r>
      <w:r w:rsidR="009A0535" w:rsidRPr="00CC472B">
        <w:t>zał</w:t>
      </w:r>
      <w:r w:rsidRPr="00CC472B">
        <w:t>ączniku I, są niezbędne do celów opracowania</w:t>
      </w:r>
      <w:r w:rsidR="009A0535" w:rsidRPr="00CC472B">
        <w:t xml:space="preserve"> i</w:t>
      </w:r>
      <w:r w:rsidR="009A0535">
        <w:t> </w:t>
      </w:r>
      <w:r w:rsidR="009A0535" w:rsidRPr="00CC472B">
        <w:t>wdr</w:t>
      </w:r>
      <w:r w:rsidRPr="00CC472B">
        <w:t>ożenia planów restrukturyzacji</w:t>
      </w:r>
      <w:r w:rsidR="009A0535" w:rsidRPr="00CC472B">
        <w:t xml:space="preserve"> i</w:t>
      </w:r>
      <w:r w:rsidR="009A0535">
        <w:t> </w:t>
      </w:r>
      <w:r w:rsidR="009A0535" w:rsidRPr="00CC472B">
        <w:t>upo</w:t>
      </w:r>
      <w:r w:rsidRPr="00CC472B">
        <w:t>rządkowanej likwidacji, lub jeżeli format,</w:t>
      </w:r>
      <w:r w:rsidR="009A0535" w:rsidRPr="00CC472B">
        <w:t xml:space="preserve"> w</w:t>
      </w:r>
      <w:r w:rsidR="009A0535">
        <w:t> </w:t>
      </w:r>
      <w:r w:rsidR="009A0535" w:rsidRPr="00CC472B">
        <w:t>któ</w:t>
      </w:r>
      <w:r w:rsidRPr="00CC472B">
        <w:t>rym właściwy organ przedłożył dodatkowe informacje zgodnie</w:t>
      </w:r>
      <w:r w:rsidR="009A0535" w:rsidRPr="00CC472B">
        <w:t xml:space="preserve"> z</w:t>
      </w:r>
      <w:r w:rsidR="009A0535">
        <w:t> </w:t>
      </w:r>
      <w:r w:rsidR="009A0535" w:rsidRPr="009A0535">
        <w:t>art</w:t>
      </w:r>
      <w:r w:rsidRPr="009A0535">
        <w:t>.</w:t>
      </w:r>
      <w:r w:rsidR="009A0535" w:rsidRPr="009A0535">
        <w:t> </w:t>
      </w:r>
      <w:r w:rsidRPr="009A0535">
        <w:t>8</w:t>
      </w:r>
      <w:r w:rsidRPr="00CC472B">
        <w:t xml:space="preserve"> </w:t>
      </w:r>
      <w:r w:rsidRPr="009A0535">
        <w:t>ust.</w:t>
      </w:r>
      <w:r w:rsidR="009A0535" w:rsidRPr="009A0535">
        <w:t> </w:t>
      </w:r>
      <w:r w:rsidRPr="009A0535">
        <w:t>2</w:t>
      </w:r>
      <w:r w:rsidRPr="00CC472B">
        <w:t>, nie jest odpowiedni do celów opracowania lub wdrożenia planów restrukturyzacji</w:t>
      </w:r>
      <w:r w:rsidR="009A0535" w:rsidRPr="00CC472B">
        <w:t xml:space="preserve"> i</w:t>
      </w:r>
      <w:r w:rsidR="009A0535">
        <w:t> </w:t>
      </w:r>
      <w:r w:rsidR="009A0535" w:rsidRPr="00CC472B">
        <w:t>upo</w:t>
      </w:r>
      <w:r w:rsidRPr="00CC472B">
        <w:t>rządkowanej likwidacji, organ ds. restrukturyzacji</w:t>
      </w:r>
      <w:r w:rsidR="009A0535" w:rsidRPr="00CC472B">
        <w:t xml:space="preserve"> i</w:t>
      </w:r>
      <w:r w:rsidR="009A0535">
        <w:t> </w:t>
      </w:r>
      <w:r w:rsidR="009A0535" w:rsidRPr="00CC472B">
        <w:t>upo</w:t>
      </w:r>
      <w:r w:rsidRPr="00CC472B">
        <w:t>rządkowanej likwidacji zwraca się do instytucji lub do unijnej jednostki dominującej</w:t>
      </w:r>
      <w:r w:rsidR="009A0535" w:rsidRPr="00CC472B">
        <w:t xml:space="preserve"> o</w:t>
      </w:r>
      <w:r w:rsidR="009A0535">
        <w:t> </w:t>
      </w:r>
      <w:r w:rsidR="009A0535" w:rsidRPr="00CC472B">
        <w:t>tak</w:t>
      </w:r>
      <w:r w:rsidRPr="00CC472B">
        <w:t>ie informacje.</w:t>
      </w:r>
    </w:p>
    <w:p w:rsidR="00B90FAF" w:rsidRPr="00CC472B" w:rsidRDefault="00B90FAF" w:rsidP="00AE1240">
      <w:pPr>
        <w:pStyle w:val="NumPar1"/>
      </w:pPr>
      <w:r w:rsidRPr="00CC472B">
        <w:t>Do celów wniosku przedłożonego zgodnie</w:t>
      </w:r>
      <w:r w:rsidR="009A0535" w:rsidRPr="00CC472B">
        <w:t xml:space="preserve"> z</w:t>
      </w:r>
      <w:r w:rsidR="009A0535">
        <w:t> </w:t>
      </w:r>
      <w:r w:rsidR="009A0535" w:rsidRPr="00CC472B">
        <w:t>aka</w:t>
      </w:r>
      <w:r w:rsidRPr="00CC472B">
        <w:t>pitem pierwszym organ ds. restrukturyzacji</w:t>
      </w:r>
      <w:r w:rsidR="009A0535" w:rsidRPr="00CC472B">
        <w:t xml:space="preserve"> i</w:t>
      </w:r>
      <w:r w:rsidR="009A0535">
        <w:t> </w:t>
      </w:r>
      <w:r w:rsidR="009A0535" w:rsidRPr="00CC472B">
        <w:t>upo</w:t>
      </w:r>
      <w:r w:rsidRPr="00CC472B">
        <w:t>rządkowanej likwidacji:</w:t>
      </w:r>
    </w:p>
    <w:p w:rsidR="00B90FAF" w:rsidRPr="00CC472B" w:rsidRDefault="00CC472B" w:rsidP="00CC472B">
      <w:pPr>
        <w:pStyle w:val="Point1"/>
      </w:pPr>
      <w:r w:rsidRPr="00CC472B">
        <w:t>a)</w:t>
      </w:r>
      <w:r w:rsidRPr="00CC472B">
        <w:tab/>
      </w:r>
      <w:r w:rsidR="00B90FAF" w:rsidRPr="00CC472B">
        <w:t>identyfikuje dodatkowe informacje, jakie należy przekazać;</w:t>
      </w:r>
    </w:p>
    <w:p w:rsidR="00B90FAF" w:rsidRPr="00CC472B" w:rsidRDefault="00CC472B" w:rsidP="00CC472B">
      <w:pPr>
        <w:pStyle w:val="Point1"/>
      </w:pPr>
      <w:r w:rsidRPr="00CC472B">
        <w:t>b)</w:t>
      </w:r>
      <w:r w:rsidRPr="00CC472B">
        <w:tab/>
      </w:r>
      <w:r w:rsidR="00B90FAF" w:rsidRPr="00CC472B">
        <w:t>określa, biorąc pod uwagę zakres</w:t>
      </w:r>
      <w:r w:rsidR="009A0535" w:rsidRPr="00CC472B">
        <w:t xml:space="preserve"> i</w:t>
      </w:r>
      <w:r w:rsidR="009A0535">
        <w:t> </w:t>
      </w:r>
      <w:r w:rsidR="009A0535" w:rsidRPr="00CC472B">
        <w:t>zło</w:t>
      </w:r>
      <w:r w:rsidR="00B90FAF" w:rsidRPr="00CC472B">
        <w:t>żoność wymaganych informacji, stosowny termin,</w:t>
      </w:r>
      <w:r w:rsidR="009A0535" w:rsidRPr="00CC472B">
        <w:t xml:space="preserve"> w</w:t>
      </w:r>
      <w:r w:rsidR="009A0535">
        <w:t> </w:t>
      </w:r>
      <w:r w:rsidR="009A0535" w:rsidRPr="00CC472B">
        <w:t>któ</w:t>
      </w:r>
      <w:r w:rsidR="00B90FAF" w:rsidRPr="00CC472B">
        <w:t>rym instytucja lub –</w:t>
      </w:r>
      <w:r w:rsidR="009A0535" w:rsidRPr="00CC472B">
        <w:t xml:space="preserve"> w</w:t>
      </w:r>
      <w:r w:rsidR="009A0535">
        <w:t> </w:t>
      </w:r>
      <w:r w:rsidR="009A0535" w:rsidRPr="00CC472B">
        <w:t>prz</w:t>
      </w:r>
      <w:r w:rsidR="00B90FAF" w:rsidRPr="00CC472B">
        <w:t>ypadku grup – unijna jednostka dominująca przekazuje informacje organowi ds. restrukturyzacji</w:t>
      </w:r>
      <w:r w:rsidR="009A0535" w:rsidRPr="00CC472B">
        <w:t xml:space="preserve"> i</w:t>
      </w:r>
      <w:r w:rsidR="009A0535">
        <w:t> </w:t>
      </w:r>
      <w:r w:rsidR="009A0535" w:rsidRPr="00CC472B">
        <w:t>upo</w:t>
      </w:r>
      <w:r w:rsidR="00B90FAF" w:rsidRPr="00CC472B">
        <w:t>rządkowanej likwidacji;</w:t>
      </w:r>
    </w:p>
    <w:p w:rsidR="00B90FAF" w:rsidRPr="00CC472B" w:rsidRDefault="00CC472B" w:rsidP="00CC472B">
      <w:pPr>
        <w:pStyle w:val="Point1"/>
      </w:pPr>
      <w:r w:rsidRPr="00CC472B">
        <w:t>c)</w:t>
      </w:r>
      <w:r w:rsidRPr="00CC472B">
        <w:tab/>
      </w:r>
      <w:r w:rsidR="00B90FAF" w:rsidRPr="00CC472B">
        <w:t>określa format, który instytucja lub –</w:t>
      </w:r>
      <w:r w:rsidR="009A0535" w:rsidRPr="00CC472B">
        <w:t xml:space="preserve"> w</w:t>
      </w:r>
      <w:r w:rsidR="009A0535">
        <w:t> </w:t>
      </w:r>
      <w:r w:rsidR="009A0535" w:rsidRPr="00CC472B">
        <w:t>prz</w:t>
      </w:r>
      <w:r w:rsidR="00B90FAF" w:rsidRPr="00CC472B">
        <w:t>ypadku grup – unijna jednostka dominująca powinna zastosować, aby dostarczyć informacje organowi ds. restrukturyzacji</w:t>
      </w:r>
      <w:r w:rsidR="009A0535" w:rsidRPr="00CC472B">
        <w:t xml:space="preserve"> i</w:t>
      </w:r>
      <w:r w:rsidR="009A0535">
        <w:t> </w:t>
      </w:r>
      <w:r w:rsidR="009A0535" w:rsidRPr="00CC472B">
        <w:t>upo</w:t>
      </w:r>
      <w:r w:rsidR="00B90FAF" w:rsidRPr="00CC472B">
        <w:t>rządkowanej likwidacji;</w:t>
      </w:r>
    </w:p>
    <w:p w:rsidR="00B90FAF" w:rsidRPr="00CC472B" w:rsidRDefault="00CC472B" w:rsidP="00CC472B">
      <w:pPr>
        <w:pStyle w:val="Point1"/>
      </w:pPr>
      <w:r w:rsidRPr="00CC472B">
        <w:t>d)</w:t>
      </w:r>
      <w:r w:rsidRPr="00CC472B">
        <w:tab/>
      </w:r>
      <w:r w:rsidR="00B90FAF" w:rsidRPr="00CC472B">
        <w:t>określa, czy informacje należy przedstawić</w:t>
      </w:r>
      <w:r w:rsidR="009A0535" w:rsidRPr="00CC472B">
        <w:t xml:space="preserve"> w</w:t>
      </w:r>
      <w:r w:rsidR="009A0535">
        <w:t> </w:t>
      </w:r>
      <w:r w:rsidR="009A0535" w:rsidRPr="00CC472B">
        <w:t>uję</w:t>
      </w:r>
      <w:r w:rsidR="00B90FAF" w:rsidRPr="00CC472B">
        <w:t>ciu indywidualnym czy grupowym oraz czy ich zakres jest lokalny, ogólnounijny czy globalny;</w:t>
      </w:r>
    </w:p>
    <w:p w:rsidR="00B90FAF" w:rsidRPr="00CC472B" w:rsidRDefault="00CC472B" w:rsidP="00CC472B">
      <w:pPr>
        <w:pStyle w:val="Point1"/>
      </w:pPr>
      <w:r w:rsidRPr="00CC472B">
        <w:t>e)</w:t>
      </w:r>
      <w:r w:rsidRPr="00CC472B">
        <w:tab/>
      </w:r>
      <w:r w:rsidR="00B90FAF" w:rsidRPr="00CC472B">
        <w:t>przekazuje niezbędne dane kontaktowe do celów dostarczenia dodatkowych informacji.</w:t>
      </w:r>
    </w:p>
    <w:p w:rsidR="007E1AE4" w:rsidRPr="00CC472B" w:rsidRDefault="007E1AE4" w:rsidP="007E1AE4">
      <w:pPr>
        <w:pStyle w:val="Titrearticle"/>
        <w:rPr>
          <w:color w:val="000000" w:themeColor="text1"/>
        </w:rPr>
      </w:pPr>
      <w:r w:rsidRPr="00CC472B">
        <w:rPr>
          <w:color w:val="000000" w:themeColor="text1"/>
        </w:rPr>
        <w:t>Artykuł 8</w:t>
      </w:r>
      <w:r w:rsidRPr="00CC472B">
        <w:rPr>
          <w:color w:val="000000" w:themeColor="text1"/>
        </w:rPr>
        <w:br/>
        <w:t>Współpraca między właściwymi organami</w:t>
      </w:r>
      <w:r w:rsidR="009A0535" w:rsidRPr="00CC472B">
        <w:rPr>
          <w:color w:val="000000" w:themeColor="text1"/>
        </w:rPr>
        <w:t xml:space="preserve"> a</w:t>
      </w:r>
      <w:r w:rsidR="009A0535">
        <w:rPr>
          <w:color w:val="000000" w:themeColor="text1"/>
        </w:rPr>
        <w:t> </w:t>
      </w:r>
      <w:r w:rsidR="009A0535" w:rsidRPr="00CC472B">
        <w:rPr>
          <w:color w:val="000000" w:themeColor="text1"/>
        </w:rPr>
        <w:t>org</w:t>
      </w:r>
      <w:r w:rsidRPr="00CC472B">
        <w:rPr>
          <w:color w:val="000000" w:themeColor="text1"/>
        </w:rPr>
        <w:t>anami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w:t>
      </w:r>
    </w:p>
    <w:p w:rsidR="007E1AE4" w:rsidRPr="00CC472B" w:rsidRDefault="007E1AE4" w:rsidP="000D42E6">
      <w:pPr>
        <w:pStyle w:val="NumPar1"/>
        <w:numPr>
          <w:ilvl w:val="0"/>
          <w:numId w:val="4"/>
        </w:numPr>
        <w:rPr>
          <w:color w:val="000000" w:themeColor="text1"/>
        </w:rPr>
      </w:pPr>
      <w:r w:rsidRPr="00CC472B">
        <w:rPr>
          <w:color w:val="000000" w:themeColor="text1"/>
        </w:rPr>
        <w:t>Właściwe organy</w:t>
      </w:r>
      <w:r w:rsidR="009A0535" w:rsidRPr="00CC472B">
        <w:rPr>
          <w:color w:val="000000" w:themeColor="text1"/>
        </w:rPr>
        <w:t xml:space="preserve"> i</w:t>
      </w:r>
      <w:r w:rsidR="009A0535">
        <w:rPr>
          <w:color w:val="000000" w:themeColor="text1"/>
        </w:rPr>
        <w:t> </w:t>
      </w:r>
      <w:r w:rsidR="009A0535" w:rsidRPr="00CC472B">
        <w:rPr>
          <w:color w:val="000000" w:themeColor="text1"/>
        </w:rPr>
        <w:t>org</w:t>
      </w:r>
      <w:r w:rsidRPr="00CC472B">
        <w:rPr>
          <w:color w:val="000000" w:themeColor="text1"/>
        </w:rPr>
        <w:t>any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wspólnie weryfikują, czy właściwy organ ma już dostęp do części lub całości informacji, które należy dostarczyć organowi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zgodnie</w:t>
      </w:r>
      <w:r w:rsidR="009A0535" w:rsidRPr="00CC472B">
        <w:rPr>
          <w:color w:val="000000" w:themeColor="text1"/>
        </w:rPr>
        <w:t xml:space="preserve"> z</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3</w:t>
      </w:r>
      <w:r w:rsidRPr="00CC472B">
        <w:rPr>
          <w:color w:val="000000" w:themeColor="text1"/>
        </w:rPr>
        <w:t xml:space="preserve"> </w:t>
      </w:r>
      <w:r w:rsidRPr="009A0535">
        <w:rPr>
          <w:color w:val="000000" w:themeColor="text1"/>
        </w:rPr>
        <w:t>ust.</w:t>
      </w:r>
      <w:r w:rsidR="009A0535" w:rsidRPr="009A0535">
        <w:rPr>
          <w:color w:val="000000" w:themeColor="text1"/>
        </w:rPr>
        <w:t> </w:t>
      </w:r>
      <w:r w:rsidRPr="009A0535">
        <w:rPr>
          <w:color w:val="000000" w:themeColor="text1"/>
        </w:rPr>
        <w:t>1</w:t>
      </w:r>
      <w:r w:rsidR="009A0535" w:rsidRPr="00CC472B">
        <w:rPr>
          <w:color w:val="000000" w:themeColor="text1"/>
        </w:rPr>
        <w:t xml:space="preserve"> i</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7</w:t>
      </w:r>
      <w:r w:rsidRPr="00CC472B">
        <w:rPr>
          <w:color w:val="000000" w:themeColor="text1"/>
        </w:rPr>
        <w:t>.</w:t>
      </w:r>
    </w:p>
    <w:p w:rsidR="007E1AE4" w:rsidRPr="00CC472B" w:rsidRDefault="007E1AE4" w:rsidP="000D42E6">
      <w:pPr>
        <w:pStyle w:val="NumPar1"/>
        <w:numPr>
          <w:ilvl w:val="0"/>
          <w:numId w:val="4"/>
        </w:numPr>
        <w:rPr>
          <w:color w:val="000000" w:themeColor="text1"/>
        </w:rPr>
      </w:pPr>
      <w:r w:rsidRPr="00CC472B">
        <w:rPr>
          <w:color w:val="000000" w:themeColor="text1"/>
        </w:rPr>
        <w:t>Jeżeli część lub całość informacji jest już dostępna właściwemu organowi, organ ten</w:t>
      </w:r>
      <w:r w:rsidR="009A0535" w:rsidRPr="00CC472B">
        <w:rPr>
          <w:color w:val="000000" w:themeColor="text1"/>
        </w:rPr>
        <w:t xml:space="preserve"> w</w:t>
      </w:r>
      <w:r w:rsidR="009A0535">
        <w:rPr>
          <w:color w:val="000000" w:themeColor="text1"/>
        </w:rPr>
        <w:t> </w:t>
      </w:r>
      <w:r w:rsidR="009A0535" w:rsidRPr="00CC472B">
        <w:rPr>
          <w:color w:val="000000" w:themeColor="text1"/>
        </w:rPr>
        <w:t>spo</w:t>
      </w:r>
      <w:r w:rsidRPr="00CC472B">
        <w:rPr>
          <w:color w:val="000000" w:themeColor="text1"/>
        </w:rPr>
        <w:t>sób terminowy przekazuje te informacje organowi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 xml:space="preserve">rządkowanej likwidacji. </w:t>
      </w:r>
    </w:p>
    <w:p w:rsidR="00A05A75" w:rsidRPr="00CC472B" w:rsidRDefault="007E1AE4" w:rsidP="00AE1240">
      <w:pPr>
        <w:pStyle w:val="NumPar1"/>
        <w:rPr>
          <w:color w:val="000000" w:themeColor="text1"/>
        </w:rPr>
      </w:pPr>
      <w:r w:rsidRPr="00CC472B">
        <w:rPr>
          <w:color w:val="000000" w:themeColor="text1"/>
        </w:rPr>
        <w:t>W przypadku,</w:t>
      </w:r>
      <w:r w:rsidR="009A0535" w:rsidRPr="00CC472B">
        <w:rPr>
          <w:color w:val="000000" w:themeColor="text1"/>
        </w:rPr>
        <w:t xml:space="preserve"> o</w:t>
      </w:r>
      <w:r w:rsidR="009A0535">
        <w:rPr>
          <w:color w:val="000000" w:themeColor="text1"/>
        </w:rPr>
        <w:t> </w:t>
      </w:r>
      <w:r w:rsidR="009A0535" w:rsidRPr="00CC472B">
        <w:rPr>
          <w:color w:val="000000" w:themeColor="text1"/>
        </w:rPr>
        <w:t>któ</w:t>
      </w:r>
      <w:r w:rsidRPr="00CC472B">
        <w:rPr>
          <w:color w:val="000000" w:themeColor="text1"/>
        </w:rPr>
        <w:t>rym mowa</w:t>
      </w:r>
      <w:r w:rsidR="009A0535" w:rsidRPr="00CC472B">
        <w:rPr>
          <w:color w:val="000000" w:themeColor="text1"/>
        </w:rPr>
        <w:t xml:space="preserve"> w</w:t>
      </w:r>
      <w:r w:rsidR="009A0535">
        <w:rPr>
          <w:color w:val="000000" w:themeColor="text1"/>
        </w:rPr>
        <w:t> </w:t>
      </w:r>
      <w:r w:rsidR="009A0535" w:rsidRPr="009A0535">
        <w:rPr>
          <w:color w:val="000000" w:themeColor="text1"/>
        </w:rPr>
        <w:t>ust</w:t>
      </w:r>
      <w:r w:rsidRPr="009A0535">
        <w:rPr>
          <w:color w:val="000000" w:themeColor="text1"/>
        </w:rPr>
        <w:t>.</w:t>
      </w:r>
      <w:r w:rsidR="009A0535" w:rsidRPr="009A0535">
        <w:rPr>
          <w:color w:val="000000" w:themeColor="text1"/>
        </w:rPr>
        <w:t> </w:t>
      </w:r>
      <w:r w:rsidRPr="009A0535">
        <w:rPr>
          <w:color w:val="000000" w:themeColor="text1"/>
        </w:rPr>
        <w:t>2</w:t>
      </w:r>
      <w:r w:rsidRPr="00CC472B">
        <w:rPr>
          <w:color w:val="000000" w:themeColor="text1"/>
        </w:rPr>
        <w:t>, organy ds. restrukturyzacji</w:t>
      </w:r>
      <w:r w:rsidR="009A0535" w:rsidRPr="00CC472B">
        <w:rPr>
          <w:color w:val="000000" w:themeColor="text1"/>
        </w:rPr>
        <w:t xml:space="preserve"> i</w:t>
      </w:r>
      <w:r w:rsidR="009A0535">
        <w:rPr>
          <w:color w:val="000000" w:themeColor="text1"/>
        </w:rPr>
        <w:t> </w:t>
      </w:r>
      <w:r w:rsidR="009A0535" w:rsidRPr="00CC472B">
        <w:rPr>
          <w:color w:val="000000" w:themeColor="text1"/>
        </w:rPr>
        <w:t>upo</w:t>
      </w:r>
      <w:r w:rsidRPr="00CC472B">
        <w:rPr>
          <w:color w:val="000000" w:themeColor="text1"/>
        </w:rPr>
        <w:t>rządkowanej likwidacji zapewniają, aby instytucje lub –</w:t>
      </w:r>
      <w:r w:rsidR="009A0535" w:rsidRPr="00CC472B">
        <w:rPr>
          <w:color w:val="000000" w:themeColor="text1"/>
        </w:rPr>
        <w:t xml:space="preserve"> w</w:t>
      </w:r>
      <w:r w:rsidR="009A0535">
        <w:rPr>
          <w:color w:val="000000" w:themeColor="text1"/>
        </w:rPr>
        <w:t> </w:t>
      </w:r>
      <w:r w:rsidR="009A0535" w:rsidRPr="00CC472B">
        <w:rPr>
          <w:color w:val="000000" w:themeColor="text1"/>
        </w:rPr>
        <w:t>prz</w:t>
      </w:r>
      <w:r w:rsidRPr="00CC472B">
        <w:rPr>
          <w:color w:val="000000" w:themeColor="text1"/>
        </w:rPr>
        <w:t>ypadku grup – unijne jednostki dominujące były informowane na temat tego, które informacje należy zawrzeć</w:t>
      </w:r>
      <w:r w:rsidR="009A0535" w:rsidRPr="00CC472B">
        <w:rPr>
          <w:color w:val="000000" w:themeColor="text1"/>
        </w:rPr>
        <w:t xml:space="preserve"> w</w:t>
      </w:r>
      <w:r w:rsidR="009A0535">
        <w:rPr>
          <w:color w:val="000000" w:themeColor="text1"/>
        </w:rPr>
        <w:t> </w:t>
      </w:r>
      <w:r w:rsidR="009A0535" w:rsidRPr="00CC472B">
        <w:rPr>
          <w:color w:val="000000" w:themeColor="text1"/>
        </w:rPr>
        <w:t>prz</w:t>
      </w:r>
      <w:r w:rsidRPr="00CC472B">
        <w:rPr>
          <w:color w:val="000000" w:themeColor="text1"/>
        </w:rPr>
        <w:t>edkładanych informacjach zgodnie</w:t>
      </w:r>
      <w:r w:rsidR="009A0535" w:rsidRPr="00CC472B">
        <w:rPr>
          <w:color w:val="000000" w:themeColor="text1"/>
        </w:rPr>
        <w:t xml:space="preserve"> z</w:t>
      </w:r>
      <w:r w:rsidR="009A0535">
        <w:rPr>
          <w:color w:val="000000" w:themeColor="text1"/>
        </w:rPr>
        <w:t> </w:t>
      </w:r>
      <w:r w:rsidR="009A0535" w:rsidRPr="009A0535">
        <w:rPr>
          <w:color w:val="000000" w:themeColor="text1"/>
        </w:rPr>
        <w:t>art</w:t>
      </w:r>
      <w:r w:rsidRPr="009A0535">
        <w:rPr>
          <w:color w:val="000000" w:themeColor="text1"/>
        </w:rPr>
        <w:t>.</w:t>
      </w:r>
      <w:r w:rsidR="009A0535" w:rsidRPr="009A0535">
        <w:rPr>
          <w:color w:val="000000" w:themeColor="text1"/>
        </w:rPr>
        <w:t> </w:t>
      </w:r>
      <w:r w:rsidRPr="009A0535">
        <w:rPr>
          <w:color w:val="000000" w:themeColor="text1"/>
        </w:rPr>
        <w:t>3</w:t>
      </w:r>
      <w:r w:rsidRPr="00CC472B">
        <w:rPr>
          <w:color w:val="000000" w:themeColor="text1"/>
        </w:rPr>
        <w:t xml:space="preserve"> </w:t>
      </w:r>
      <w:r w:rsidRPr="009A0535">
        <w:rPr>
          <w:color w:val="000000" w:themeColor="text1"/>
        </w:rPr>
        <w:t>ust.</w:t>
      </w:r>
      <w:r w:rsidR="009A0535" w:rsidRPr="009A0535">
        <w:rPr>
          <w:color w:val="000000" w:themeColor="text1"/>
        </w:rPr>
        <w:t> </w:t>
      </w:r>
      <w:r w:rsidRPr="009A0535">
        <w:rPr>
          <w:color w:val="000000" w:themeColor="text1"/>
        </w:rPr>
        <w:t>1</w:t>
      </w:r>
      <w:r w:rsidRPr="00CC472B">
        <w:rPr>
          <w:color w:val="000000" w:themeColor="text1"/>
        </w:rPr>
        <w:t>. Organy identyfikują te informacje, odnosząc się do szablonów zawartyc</w:t>
      </w:r>
      <w:r w:rsidRPr="009A0535">
        <w:rPr>
          <w:color w:val="000000" w:themeColor="text1"/>
        </w:rPr>
        <w:t>h</w:t>
      </w:r>
      <w:r w:rsidR="009A0535" w:rsidRPr="009A0535">
        <w:rPr>
          <w:color w:val="000000" w:themeColor="text1"/>
        </w:rPr>
        <w:t xml:space="preserve"> w</w:t>
      </w:r>
      <w:r w:rsidR="009A0535">
        <w:rPr>
          <w:color w:val="000000" w:themeColor="text1"/>
        </w:rPr>
        <w:t> </w:t>
      </w:r>
      <w:r w:rsidR="009A0535" w:rsidRPr="00CC472B">
        <w:rPr>
          <w:color w:val="000000" w:themeColor="text1"/>
        </w:rPr>
        <w:t>zał</w:t>
      </w:r>
      <w:r w:rsidRPr="00CC472B">
        <w:rPr>
          <w:color w:val="000000" w:themeColor="text1"/>
        </w:rPr>
        <w:t>ączniku I.</w:t>
      </w:r>
    </w:p>
    <w:p w:rsidR="007E1AE4" w:rsidRPr="00CC472B" w:rsidRDefault="007E1AE4" w:rsidP="007E1AE4">
      <w:pPr>
        <w:pStyle w:val="Titrearticle"/>
        <w:rPr>
          <w:color w:val="000000" w:themeColor="text1"/>
        </w:rPr>
      </w:pPr>
      <w:r w:rsidRPr="00CC472B">
        <w:rPr>
          <w:color w:val="000000" w:themeColor="text1"/>
        </w:rPr>
        <w:t>Artykuł 9</w:t>
      </w:r>
      <w:r w:rsidRPr="00CC472B">
        <w:rPr>
          <w:color w:val="000000" w:themeColor="text1"/>
        </w:rPr>
        <w:br/>
        <w:t>Okres przejściowy</w:t>
      </w:r>
    </w:p>
    <w:p w:rsidR="007E1AE4" w:rsidRPr="00CC472B" w:rsidRDefault="007E1AE4" w:rsidP="000D42E6">
      <w:pPr>
        <w:pStyle w:val="NumPar1"/>
        <w:numPr>
          <w:ilvl w:val="0"/>
          <w:numId w:val="5"/>
        </w:numPr>
        <w:rPr>
          <w:color w:val="000000" w:themeColor="text1"/>
        </w:rPr>
      </w:pPr>
      <w:r w:rsidRPr="00CC472B">
        <w:rPr>
          <w:color w:val="000000" w:themeColor="text1"/>
        </w:rPr>
        <w:t xml:space="preserve">Na zasadzie odstępstwa od </w:t>
      </w:r>
      <w:r w:rsidRPr="009A0535">
        <w:rPr>
          <w:color w:val="000000" w:themeColor="text1"/>
        </w:rPr>
        <w:t>art.</w:t>
      </w:r>
      <w:r w:rsidR="009A0535" w:rsidRPr="009A0535">
        <w:rPr>
          <w:color w:val="000000" w:themeColor="text1"/>
        </w:rPr>
        <w:t> </w:t>
      </w:r>
      <w:r w:rsidRPr="009A0535">
        <w:rPr>
          <w:color w:val="000000" w:themeColor="text1"/>
        </w:rPr>
        <w:t>5</w:t>
      </w:r>
      <w:r w:rsidRPr="00CC472B">
        <w:rPr>
          <w:color w:val="000000" w:themeColor="text1"/>
        </w:rPr>
        <w:t xml:space="preserve"> </w:t>
      </w:r>
      <w:r w:rsidRPr="009A0535">
        <w:rPr>
          <w:color w:val="000000" w:themeColor="text1"/>
        </w:rPr>
        <w:t>ust.</w:t>
      </w:r>
      <w:r w:rsidR="009A0535" w:rsidRPr="009A0535">
        <w:rPr>
          <w:color w:val="000000" w:themeColor="text1"/>
        </w:rPr>
        <w:t> </w:t>
      </w:r>
      <w:r w:rsidRPr="009A0535">
        <w:rPr>
          <w:color w:val="000000" w:themeColor="text1"/>
        </w:rPr>
        <w:t>1</w:t>
      </w:r>
      <w:r w:rsidRPr="00CC472B">
        <w:rPr>
          <w:color w:val="000000" w:themeColor="text1"/>
        </w:rPr>
        <w:t>,</w:t>
      </w:r>
      <w:r w:rsidR="009A0535" w:rsidRPr="00CC472B">
        <w:rPr>
          <w:color w:val="000000" w:themeColor="text1"/>
        </w:rPr>
        <w:t xml:space="preserve"> w</w:t>
      </w:r>
      <w:r w:rsidR="009A0535">
        <w:rPr>
          <w:color w:val="000000" w:themeColor="text1"/>
        </w:rPr>
        <w:t> </w:t>
      </w:r>
      <w:r w:rsidR="009A0535" w:rsidRPr="00CC472B">
        <w:rPr>
          <w:color w:val="000000" w:themeColor="text1"/>
        </w:rPr>
        <w:t>odn</w:t>
      </w:r>
      <w:r w:rsidRPr="00CC472B">
        <w:rPr>
          <w:color w:val="000000" w:themeColor="text1"/>
        </w:rPr>
        <w:t>iesieniu do roku obrachunkowego kończącego się</w:t>
      </w:r>
      <w:r w:rsidR="009A0535" w:rsidRPr="00CC472B">
        <w:rPr>
          <w:color w:val="000000" w:themeColor="text1"/>
        </w:rPr>
        <w:t xml:space="preserve"> w</w:t>
      </w:r>
      <w:r w:rsidR="009A0535">
        <w:rPr>
          <w:color w:val="000000" w:themeColor="text1"/>
        </w:rPr>
        <w:t> </w:t>
      </w:r>
      <w:r w:rsidR="009A0535" w:rsidRPr="00CC472B">
        <w:rPr>
          <w:color w:val="000000" w:themeColor="text1"/>
        </w:rPr>
        <w:t>okr</w:t>
      </w:r>
      <w:r w:rsidRPr="00CC472B">
        <w:rPr>
          <w:color w:val="000000" w:themeColor="text1"/>
        </w:rPr>
        <w:t>esie między dniem 1 stycznia</w:t>
      </w:r>
      <w:r w:rsidR="009A0535" w:rsidRPr="00CC472B">
        <w:rPr>
          <w:color w:val="000000" w:themeColor="text1"/>
        </w:rPr>
        <w:t xml:space="preserve"> a</w:t>
      </w:r>
      <w:r w:rsidR="009A0535">
        <w:rPr>
          <w:color w:val="000000" w:themeColor="text1"/>
        </w:rPr>
        <w:t> </w:t>
      </w:r>
      <w:r w:rsidR="009A0535" w:rsidRPr="00CC472B">
        <w:rPr>
          <w:color w:val="000000" w:themeColor="text1"/>
        </w:rPr>
        <w:t>dni</w:t>
      </w:r>
      <w:r w:rsidRPr="00CC472B">
        <w:rPr>
          <w:color w:val="000000" w:themeColor="text1"/>
        </w:rPr>
        <w:t>em 31 grudnia 20</w:t>
      </w:r>
      <w:r w:rsidRPr="009A0535">
        <w:rPr>
          <w:color w:val="000000" w:themeColor="text1"/>
        </w:rPr>
        <w:t>18</w:t>
      </w:r>
      <w:r w:rsidR="009A0535" w:rsidRPr="009A0535">
        <w:rPr>
          <w:color w:val="000000" w:themeColor="text1"/>
        </w:rPr>
        <w:t> </w:t>
      </w:r>
      <w:r w:rsidRPr="009A0535">
        <w:rPr>
          <w:color w:val="000000" w:themeColor="text1"/>
        </w:rPr>
        <w:t>r.</w:t>
      </w:r>
      <w:r w:rsidRPr="00CC472B">
        <w:rPr>
          <w:color w:val="000000" w:themeColor="text1"/>
        </w:rPr>
        <w:t>, dzień przekazania formularzy przypada najpóźniej dnia 31 maja 20</w:t>
      </w:r>
      <w:r w:rsidRPr="009A0535">
        <w:rPr>
          <w:color w:val="000000" w:themeColor="text1"/>
        </w:rPr>
        <w:t>19</w:t>
      </w:r>
      <w:r w:rsidR="009A0535" w:rsidRPr="009A0535">
        <w:rPr>
          <w:color w:val="000000" w:themeColor="text1"/>
        </w:rPr>
        <w:t> </w:t>
      </w:r>
      <w:r w:rsidRPr="009A0535">
        <w:rPr>
          <w:color w:val="000000" w:themeColor="text1"/>
        </w:rPr>
        <w:t>r.</w:t>
      </w:r>
    </w:p>
    <w:p w:rsidR="007E1AE4" w:rsidRPr="00CC472B" w:rsidRDefault="007E1AE4" w:rsidP="000D42E6">
      <w:pPr>
        <w:pStyle w:val="NumPar1"/>
        <w:numPr>
          <w:ilvl w:val="0"/>
          <w:numId w:val="5"/>
        </w:numPr>
        <w:rPr>
          <w:color w:val="000000" w:themeColor="text1"/>
        </w:rPr>
      </w:pPr>
      <w:r w:rsidRPr="00CC472B">
        <w:rPr>
          <w:color w:val="000000" w:themeColor="text1"/>
        </w:rPr>
        <w:t xml:space="preserve">Na zasadzie odstępstwa od </w:t>
      </w:r>
      <w:r w:rsidRPr="009A0535">
        <w:rPr>
          <w:color w:val="000000" w:themeColor="text1"/>
        </w:rPr>
        <w:t>art.</w:t>
      </w:r>
      <w:r w:rsidR="009A0535" w:rsidRPr="009A0535">
        <w:rPr>
          <w:color w:val="000000" w:themeColor="text1"/>
        </w:rPr>
        <w:t> </w:t>
      </w:r>
      <w:r w:rsidRPr="009A0535">
        <w:rPr>
          <w:color w:val="000000" w:themeColor="text1"/>
        </w:rPr>
        <w:t>5</w:t>
      </w:r>
      <w:r w:rsidRPr="00CC472B">
        <w:rPr>
          <w:color w:val="000000" w:themeColor="text1"/>
        </w:rPr>
        <w:t xml:space="preserve"> </w:t>
      </w:r>
      <w:r w:rsidRPr="009A0535">
        <w:rPr>
          <w:color w:val="000000" w:themeColor="text1"/>
        </w:rPr>
        <w:t>ust.</w:t>
      </w:r>
      <w:r w:rsidR="009A0535" w:rsidRPr="009A0535">
        <w:rPr>
          <w:color w:val="000000" w:themeColor="text1"/>
        </w:rPr>
        <w:t> </w:t>
      </w:r>
      <w:r w:rsidRPr="009A0535">
        <w:rPr>
          <w:color w:val="000000" w:themeColor="text1"/>
        </w:rPr>
        <w:t>1</w:t>
      </w:r>
      <w:r w:rsidRPr="00CC472B">
        <w:rPr>
          <w:color w:val="000000" w:themeColor="text1"/>
        </w:rPr>
        <w:t>,</w:t>
      </w:r>
      <w:r w:rsidR="009A0535" w:rsidRPr="00CC472B">
        <w:rPr>
          <w:color w:val="000000" w:themeColor="text1"/>
        </w:rPr>
        <w:t xml:space="preserve"> w</w:t>
      </w:r>
      <w:r w:rsidR="009A0535">
        <w:rPr>
          <w:color w:val="000000" w:themeColor="text1"/>
        </w:rPr>
        <w:t> </w:t>
      </w:r>
      <w:r w:rsidR="009A0535" w:rsidRPr="00CC472B">
        <w:rPr>
          <w:color w:val="000000" w:themeColor="text1"/>
        </w:rPr>
        <w:t>odn</w:t>
      </w:r>
      <w:r w:rsidRPr="00CC472B">
        <w:rPr>
          <w:color w:val="000000" w:themeColor="text1"/>
        </w:rPr>
        <w:t>iesieniu do roku obrachunkowego kończącego się</w:t>
      </w:r>
      <w:r w:rsidR="009A0535" w:rsidRPr="00CC472B">
        <w:rPr>
          <w:color w:val="000000" w:themeColor="text1"/>
        </w:rPr>
        <w:t xml:space="preserve"> w</w:t>
      </w:r>
      <w:r w:rsidR="009A0535">
        <w:rPr>
          <w:color w:val="000000" w:themeColor="text1"/>
        </w:rPr>
        <w:t> </w:t>
      </w:r>
      <w:r w:rsidR="009A0535" w:rsidRPr="00CC472B">
        <w:rPr>
          <w:color w:val="000000" w:themeColor="text1"/>
        </w:rPr>
        <w:t>okr</w:t>
      </w:r>
      <w:r w:rsidRPr="00CC472B">
        <w:rPr>
          <w:color w:val="000000" w:themeColor="text1"/>
        </w:rPr>
        <w:t>esie między dniem 1 stycznia</w:t>
      </w:r>
      <w:r w:rsidR="009A0535" w:rsidRPr="00CC472B">
        <w:rPr>
          <w:color w:val="000000" w:themeColor="text1"/>
        </w:rPr>
        <w:t xml:space="preserve"> a</w:t>
      </w:r>
      <w:r w:rsidR="009A0535">
        <w:rPr>
          <w:color w:val="000000" w:themeColor="text1"/>
        </w:rPr>
        <w:t> </w:t>
      </w:r>
      <w:r w:rsidR="009A0535" w:rsidRPr="00CC472B">
        <w:rPr>
          <w:color w:val="000000" w:themeColor="text1"/>
        </w:rPr>
        <w:t>dni</w:t>
      </w:r>
      <w:r w:rsidRPr="00CC472B">
        <w:rPr>
          <w:color w:val="000000" w:themeColor="text1"/>
        </w:rPr>
        <w:t>em 31 grudnia 20</w:t>
      </w:r>
      <w:r w:rsidRPr="009A0535">
        <w:rPr>
          <w:color w:val="000000" w:themeColor="text1"/>
        </w:rPr>
        <w:t>19</w:t>
      </w:r>
      <w:r w:rsidR="009A0535" w:rsidRPr="009A0535">
        <w:rPr>
          <w:color w:val="000000" w:themeColor="text1"/>
        </w:rPr>
        <w:t> </w:t>
      </w:r>
      <w:r w:rsidRPr="009A0535">
        <w:rPr>
          <w:color w:val="000000" w:themeColor="text1"/>
        </w:rPr>
        <w:t>r.</w:t>
      </w:r>
      <w:r w:rsidRPr="00CC472B">
        <w:rPr>
          <w:color w:val="000000" w:themeColor="text1"/>
        </w:rPr>
        <w:t>, dzień przekazania formularzy przypada najpóźniej dnia 30 kwietnia 20</w:t>
      </w:r>
      <w:r w:rsidRPr="009A0535">
        <w:rPr>
          <w:color w:val="000000" w:themeColor="text1"/>
        </w:rPr>
        <w:t>20</w:t>
      </w:r>
      <w:r w:rsidR="009A0535" w:rsidRPr="009A0535">
        <w:rPr>
          <w:color w:val="000000" w:themeColor="text1"/>
        </w:rPr>
        <w:t> </w:t>
      </w:r>
      <w:r w:rsidRPr="009A0535">
        <w:rPr>
          <w:color w:val="000000" w:themeColor="text1"/>
        </w:rPr>
        <w:t>r.</w:t>
      </w:r>
    </w:p>
    <w:p w:rsidR="007E1AE4" w:rsidRPr="00CC472B" w:rsidRDefault="007E1AE4" w:rsidP="007E1AE4">
      <w:pPr>
        <w:pStyle w:val="Titrearticle"/>
        <w:rPr>
          <w:color w:val="000000" w:themeColor="text1"/>
        </w:rPr>
      </w:pPr>
      <w:r w:rsidRPr="00CC472B">
        <w:rPr>
          <w:color w:val="000000" w:themeColor="text1"/>
        </w:rPr>
        <w:t>Artykuł 10</w:t>
      </w:r>
      <w:r w:rsidRPr="00CC472B">
        <w:rPr>
          <w:color w:val="000000" w:themeColor="text1"/>
        </w:rPr>
        <w:br/>
        <w:t>Uchylenie</w:t>
      </w:r>
    </w:p>
    <w:p w:rsidR="007E1AE4" w:rsidRPr="00CC472B" w:rsidRDefault="007E1AE4" w:rsidP="007E1AE4">
      <w:pPr>
        <w:rPr>
          <w:color w:val="000000" w:themeColor="text1"/>
        </w:rPr>
      </w:pPr>
      <w:r w:rsidRPr="00CC472B">
        <w:rPr>
          <w:color w:val="000000" w:themeColor="text1"/>
        </w:rPr>
        <w:t>Rozporządzenie wykonawcze (UE) 2016/1066 traci moc.</w:t>
      </w:r>
    </w:p>
    <w:p w:rsidR="007E1AE4" w:rsidRPr="00CC472B" w:rsidRDefault="007E1AE4" w:rsidP="007E1AE4">
      <w:pPr>
        <w:pStyle w:val="Titrearticle"/>
        <w:rPr>
          <w:color w:val="000000" w:themeColor="text1"/>
        </w:rPr>
      </w:pPr>
      <w:r w:rsidRPr="00CC472B">
        <w:rPr>
          <w:color w:val="000000" w:themeColor="text1"/>
        </w:rPr>
        <w:t xml:space="preserve">Artykuł </w:t>
      </w:r>
      <w:r w:rsidRPr="00CC472B">
        <w:t>11</w:t>
      </w:r>
      <w:r w:rsidRPr="00CC472B">
        <w:br/>
        <w:t>Wejście</w:t>
      </w:r>
      <w:r w:rsidR="009A0535" w:rsidRPr="00CC472B">
        <w:t xml:space="preserve"> w</w:t>
      </w:r>
      <w:r w:rsidR="009A0535">
        <w:t> </w:t>
      </w:r>
      <w:r w:rsidR="009A0535" w:rsidRPr="00CC472B">
        <w:t>życ</w:t>
      </w:r>
      <w:r w:rsidRPr="00CC472B">
        <w:t>ie</w:t>
      </w:r>
    </w:p>
    <w:p w:rsidR="007E1AE4" w:rsidRPr="00CC472B" w:rsidRDefault="007E1AE4" w:rsidP="007E1AE4">
      <w:pPr>
        <w:rPr>
          <w:color w:val="000000" w:themeColor="text1"/>
        </w:rPr>
      </w:pPr>
      <w:r w:rsidRPr="00CC472B">
        <w:rPr>
          <w:color w:val="000000" w:themeColor="text1"/>
        </w:rPr>
        <w:t>Niniejsze rozporządzenie wchodzi</w:t>
      </w:r>
      <w:r w:rsidR="009A0535" w:rsidRPr="00CC472B">
        <w:rPr>
          <w:color w:val="000000" w:themeColor="text1"/>
        </w:rPr>
        <w:t xml:space="preserve"> w</w:t>
      </w:r>
      <w:r w:rsidR="009A0535">
        <w:rPr>
          <w:color w:val="000000" w:themeColor="text1"/>
        </w:rPr>
        <w:t> </w:t>
      </w:r>
      <w:r w:rsidR="009A0535" w:rsidRPr="00CC472B">
        <w:rPr>
          <w:color w:val="000000" w:themeColor="text1"/>
        </w:rPr>
        <w:t>życ</w:t>
      </w:r>
      <w:r w:rsidRPr="00CC472B">
        <w:rPr>
          <w:color w:val="000000" w:themeColor="text1"/>
        </w:rPr>
        <w:t xml:space="preserve">ie </w:t>
      </w:r>
      <w:r w:rsidRPr="00CC472B">
        <w:t>dwudziestego</w:t>
      </w:r>
      <w:r w:rsidRPr="00CC472B">
        <w:rPr>
          <w:color w:val="000000" w:themeColor="text1"/>
        </w:rPr>
        <w:t xml:space="preserve"> dnia po jego opublikowaniu</w:t>
      </w:r>
      <w:r w:rsidR="009A0535" w:rsidRPr="00CC472B">
        <w:rPr>
          <w:color w:val="000000" w:themeColor="text1"/>
        </w:rPr>
        <w:t xml:space="preserve"> w</w:t>
      </w:r>
      <w:r w:rsidR="009A0535">
        <w:rPr>
          <w:color w:val="000000" w:themeColor="text1"/>
        </w:rPr>
        <w:t> </w:t>
      </w:r>
      <w:r w:rsidR="009A0535" w:rsidRPr="00CC472B">
        <w:rPr>
          <w:i/>
          <w:color w:val="000000" w:themeColor="text1"/>
        </w:rPr>
        <w:t>Dzi</w:t>
      </w:r>
      <w:r w:rsidRPr="00CC472B">
        <w:rPr>
          <w:i/>
          <w:color w:val="000000" w:themeColor="text1"/>
        </w:rPr>
        <w:t>enniku Urzędowym Unii Europejskiej</w:t>
      </w:r>
      <w:r w:rsidRPr="00CC472B">
        <w:rPr>
          <w:color w:val="000000" w:themeColor="text1"/>
        </w:rPr>
        <w:t>.</w:t>
      </w:r>
    </w:p>
    <w:p w:rsidR="007E1AE4" w:rsidRPr="00CC472B" w:rsidRDefault="007E1AE4" w:rsidP="007E1AE4">
      <w:pPr>
        <w:pStyle w:val="Applicationdirecte"/>
        <w:rPr>
          <w:color w:val="000000" w:themeColor="text1"/>
        </w:rPr>
      </w:pPr>
      <w:r w:rsidRPr="00CC472B">
        <w:rPr>
          <w:color w:val="000000" w:themeColor="text1"/>
        </w:rPr>
        <w:t>Niniejsze rozporządzenie wiąże</w:t>
      </w:r>
      <w:r w:rsidR="009A0535" w:rsidRPr="00CC472B">
        <w:rPr>
          <w:color w:val="000000" w:themeColor="text1"/>
        </w:rPr>
        <w:t xml:space="preserve"> w</w:t>
      </w:r>
      <w:r w:rsidR="009A0535">
        <w:rPr>
          <w:color w:val="000000" w:themeColor="text1"/>
        </w:rPr>
        <w:t> </w:t>
      </w:r>
      <w:r w:rsidR="009A0535" w:rsidRPr="00CC472B">
        <w:rPr>
          <w:color w:val="000000" w:themeColor="text1"/>
        </w:rPr>
        <w:t>cał</w:t>
      </w:r>
      <w:r w:rsidRPr="00CC472B">
        <w:rPr>
          <w:color w:val="000000" w:themeColor="text1"/>
        </w:rPr>
        <w:t>ości</w:t>
      </w:r>
      <w:r w:rsidR="009A0535" w:rsidRPr="00CC472B">
        <w:rPr>
          <w:color w:val="000000" w:themeColor="text1"/>
        </w:rPr>
        <w:t xml:space="preserve"> i</w:t>
      </w:r>
      <w:r w:rsidR="009A0535">
        <w:rPr>
          <w:color w:val="000000" w:themeColor="text1"/>
        </w:rPr>
        <w:t> </w:t>
      </w:r>
      <w:r w:rsidR="009A0535" w:rsidRPr="00CC472B">
        <w:rPr>
          <w:color w:val="000000" w:themeColor="text1"/>
        </w:rPr>
        <w:t>jes</w:t>
      </w:r>
      <w:r w:rsidRPr="00CC472B">
        <w:rPr>
          <w:color w:val="000000" w:themeColor="text1"/>
        </w:rPr>
        <w:t>t bezpośrednio stosowane we wszystkich państwach członkowskich.</w:t>
      </w:r>
    </w:p>
    <w:p w:rsidR="007E1AE4" w:rsidRPr="00CC472B" w:rsidRDefault="009A0535" w:rsidP="009A0535">
      <w:pPr>
        <w:pStyle w:val="Fait"/>
      </w:pPr>
      <w:r w:rsidRPr="009A0535">
        <w:t xml:space="preserve">Sporządzono w Brukseli dnia </w:t>
      </w:r>
      <w:r w:rsidRPr="009A0535">
        <w:rPr>
          <w:rStyle w:val="Marker"/>
        </w:rPr>
        <w:t>[…]</w:t>
      </w:r>
      <w:r w:rsidRPr="009A0535">
        <w:t xml:space="preserve"> r.</w:t>
      </w:r>
    </w:p>
    <w:p w:rsidR="007E1AE4" w:rsidRPr="00CC472B" w:rsidRDefault="007E1AE4" w:rsidP="007E1AE4">
      <w:pPr>
        <w:pStyle w:val="Institutionquisigne"/>
      </w:pPr>
      <w:r w:rsidRPr="00CC472B">
        <w:tab/>
        <w:t>W imieniu Komisji</w:t>
      </w:r>
    </w:p>
    <w:p w:rsidR="001C2CA3" w:rsidRPr="00CC472B" w:rsidRDefault="007E1AE4" w:rsidP="007E1AE4">
      <w:pPr>
        <w:pStyle w:val="Personnequisigne"/>
      </w:pPr>
      <w:r w:rsidRPr="00CC472B">
        <w:tab/>
        <w:t>Przewodniczący</w:t>
      </w:r>
      <w:r w:rsidRPr="00CC472B">
        <w:br/>
      </w:r>
      <w:r w:rsidRPr="00CC472B">
        <w:tab/>
        <w:t>Jean-Claude JUNCKER</w:t>
      </w:r>
    </w:p>
    <w:p w:rsidR="007E1AE4" w:rsidRPr="00CC472B" w:rsidRDefault="007E1AE4" w:rsidP="007E1AE4">
      <w:pPr>
        <w:pStyle w:val="Personnequisigne"/>
      </w:pPr>
    </w:p>
    <w:sectPr w:rsidR="007E1AE4" w:rsidRPr="00CC472B" w:rsidSect="00A53A18">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18" w:rsidRPr="00A53A18" w:rsidRDefault="00A53A18" w:rsidP="00A53A1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472B" w:rsidRPr="00A53A18" w:rsidRDefault="00A53A18" w:rsidP="00A53A18">
    <w:pPr>
      <w:pStyle w:val="Footer"/>
      <w:rPr>
        <w:rFonts w:ascii="Arial" w:hAnsi="Arial" w:cs="Arial"/>
        <w:b/>
        <w:sz w:val="48"/>
      </w:rPr>
    </w:pPr>
    <w:r w:rsidRPr="00A53A18">
      <w:rPr>
        <w:rFonts w:ascii="Arial" w:hAnsi="Arial" w:cs="Arial"/>
        <w:b/>
        <w:sz w:val="48"/>
      </w:rPr>
      <w:t>PL</w:t>
    </w:r>
    <w:r w:rsidRPr="00A53A18">
      <w:rPr>
        <w:rFonts w:ascii="Arial" w:hAnsi="Arial" w:cs="Arial"/>
        <w:b/>
        <w:sz w:val="48"/>
      </w:rPr>
      <w:tab/>
    </w:r>
    <w:r w:rsidRPr="00A53A18">
      <w:rPr>
        <w:rFonts w:ascii="Arial" w:hAnsi="Arial" w:cs="Arial"/>
        <w:b/>
        <w:sz w:val="48"/>
      </w:rPr>
      <w:tab/>
    </w:r>
    <w:r w:rsidRPr="00A53A18">
      <w:tab/>
    </w:r>
    <w:proofErr w:type="spellStart"/>
    <w:r w:rsidRPr="00A53A18">
      <w:rPr>
        <w:rFonts w:ascii="Arial" w:hAnsi="Arial" w:cs="Arial"/>
        <w:b/>
        <w:sz w:val="48"/>
      </w:rPr>
      <w:t>PL</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18" w:rsidRPr="00A53A18" w:rsidRDefault="00A53A18" w:rsidP="00A53A18">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18" w:rsidRPr="00A53A18" w:rsidRDefault="00A53A18" w:rsidP="00A53A18">
    <w:pPr>
      <w:pStyle w:val="Footer"/>
      <w:rPr>
        <w:rFonts w:ascii="Arial" w:hAnsi="Arial" w:cs="Arial"/>
        <w:b/>
        <w:sz w:val="48"/>
      </w:rPr>
    </w:pPr>
    <w:r w:rsidRPr="00A53A18">
      <w:rPr>
        <w:rFonts w:ascii="Arial" w:hAnsi="Arial" w:cs="Arial"/>
        <w:b/>
        <w:sz w:val="48"/>
      </w:rPr>
      <w:t>PL</w:t>
    </w:r>
    <w:r w:rsidRPr="00A53A18">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A53A18">
      <w:tab/>
    </w:r>
    <w:r w:rsidRPr="00A53A18">
      <w:rPr>
        <w:rFonts w:ascii="Arial" w:hAnsi="Arial" w:cs="Arial"/>
        <w:b/>
        <w:sz w:val="48"/>
      </w:rPr>
      <w:t>PL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18" w:rsidRPr="00A53A18" w:rsidRDefault="00A53A18" w:rsidP="00A53A1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Dz.U. L 173</w:t>
      </w:r>
      <w:r w:rsidR="001E1426">
        <w:t xml:space="preserve"> z 1</w:t>
      </w:r>
      <w:r>
        <w:t xml:space="preserve">2.6.2014, s. 190. </w:t>
      </w:r>
    </w:p>
  </w:footnote>
  <w:footnote w:id="3">
    <w:p w:rsidR="00F0793D" w:rsidRPr="00F0793D" w:rsidRDefault="00F0793D">
      <w:pPr>
        <w:pStyle w:val="FootnoteText"/>
      </w:pPr>
      <w:r>
        <w:rPr>
          <w:rStyle w:val="FootnoteReference"/>
        </w:rPr>
        <w:footnoteRef/>
      </w:r>
      <w:r>
        <w:tab/>
      </w:r>
      <w:r>
        <w:rPr>
          <w:rStyle w:val="Strong"/>
          <w:b w:val="0"/>
          <w:color w:val="444444"/>
        </w:rPr>
        <w:t>Rozporządzenie wykonawcze Komisji (UE) 2016/1066</w:t>
      </w:r>
      <w:r w:rsidR="001E1426">
        <w:rPr>
          <w:rStyle w:val="Strong"/>
          <w:b w:val="0"/>
          <w:color w:val="444444"/>
        </w:rPr>
        <w:t xml:space="preserve"> z dni</w:t>
      </w:r>
      <w:r>
        <w:rPr>
          <w:rStyle w:val="Strong"/>
          <w:b w:val="0"/>
          <w:color w:val="444444"/>
        </w:rPr>
        <w:t>a 17 czerwca 20</w:t>
      </w:r>
      <w:r w:rsidRPr="001E1426">
        <w:rPr>
          <w:rStyle w:val="Strong"/>
          <w:b w:val="0"/>
          <w:color w:val="444444"/>
        </w:rPr>
        <w:t>16</w:t>
      </w:r>
      <w:r w:rsidR="001E1426" w:rsidRPr="001E1426">
        <w:rPr>
          <w:rStyle w:val="Strong"/>
          <w:b w:val="0"/>
          <w:color w:val="444444"/>
        </w:rPr>
        <w:t> </w:t>
      </w:r>
      <w:r w:rsidRPr="001E1426">
        <w:rPr>
          <w:rStyle w:val="Strong"/>
          <w:b w:val="0"/>
          <w:color w:val="444444"/>
        </w:rPr>
        <w:t>r.</w:t>
      </w:r>
      <w:r>
        <w:rPr>
          <w:rStyle w:val="Strong"/>
          <w:b w:val="0"/>
          <w:color w:val="444444"/>
        </w:rPr>
        <w:t xml:space="preserve"> ustanawiające wykonawcze standardy techniczne</w:t>
      </w:r>
      <w:r w:rsidR="001E1426">
        <w:rPr>
          <w:rStyle w:val="Strong"/>
          <w:b w:val="0"/>
          <w:color w:val="444444"/>
        </w:rPr>
        <w:t xml:space="preserve"> w odn</w:t>
      </w:r>
      <w:r>
        <w:rPr>
          <w:rStyle w:val="Strong"/>
          <w:b w:val="0"/>
          <w:color w:val="444444"/>
        </w:rPr>
        <w:t>iesieniu do procedur, standardowych formularzy</w:t>
      </w:r>
      <w:r w:rsidR="001E1426">
        <w:rPr>
          <w:rStyle w:val="Strong"/>
          <w:b w:val="0"/>
          <w:color w:val="444444"/>
        </w:rPr>
        <w:t xml:space="preserve"> i sch</w:t>
      </w:r>
      <w:r>
        <w:rPr>
          <w:rStyle w:val="Strong"/>
          <w:b w:val="0"/>
          <w:color w:val="444444"/>
        </w:rPr>
        <w:t>ematów stosowanych do przekazywania informacji do celów sporządzenia planów restrukturyzacji</w:t>
      </w:r>
      <w:r w:rsidR="001E1426">
        <w:rPr>
          <w:rStyle w:val="Strong"/>
          <w:b w:val="0"/>
          <w:color w:val="444444"/>
        </w:rPr>
        <w:t xml:space="preserve"> i upo</w:t>
      </w:r>
      <w:r>
        <w:rPr>
          <w:rStyle w:val="Strong"/>
          <w:b w:val="0"/>
          <w:color w:val="444444"/>
        </w:rPr>
        <w:t>rządkowanej likwidacji</w:t>
      </w:r>
      <w:r w:rsidR="001E1426">
        <w:rPr>
          <w:rStyle w:val="Strong"/>
          <w:b w:val="0"/>
          <w:color w:val="444444"/>
        </w:rPr>
        <w:t xml:space="preserve"> w odn</w:t>
      </w:r>
      <w:r>
        <w:rPr>
          <w:rStyle w:val="Strong"/>
          <w:b w:val="0"/>
          <w:color w:val="444444"/>
        </w:rPr>
        <w:t>iesieniu do instytucji kredytowych</w:t>
      </w:r>
      <w:r w:rsidR="001E1426">
        <w:rPr>
          <w:rStyle w:val="Strong"/>
          <w:b w:val="0"/>
          <w:color w:val="444444"/>
        </w:rPr>
        <w:t xml:space="preserve"> i fir</w:t>
      </w:r>
      <w:r>
        <w:rPr>
          <w:rStyle w:val="Strong"/>
          <w:b w:val="0"/>
          <w:color w:val="444444"/>
        </w:rPr>
        <w:t>m inwestycyjnych zgodnie</w:t>
      </w:r>
      <w:r w:rsidR="001E1426">
        <w:rPr>
          <w:rStyle w:val="Strong"/>
          <w:b w:val="0"/>
          <w:color w:val="444444"/>
        </w:rPr>
        <w:t xml:space="preserve"> z dyr</w:t>
      </w:r>
      <w:r>
        <w:rPr>
          <w:rStyle w:val="Strong"/>
          <w:b w:val="0"/>
          <w:color w:val="444444"/>
        </w:rPr>
        <w:t>ektywą Parlamentu Europejskiego</w:t>
      </w:r>
      <w:r w:rsidR="001E1426">
        <w:rPr>
          <w:rStyle w:val="Strong"/>
          <w:b w:val="0"/>
          <w:color w:val="444444"/>
        </w:rPr>
        <w:t xml:space="preserve"> i Rad</w:t>
      </w:r>
      <w:r>
        <w:rPr>
          <w:rStyle w:val="Strong"/>
          <w:b w:val="0"/>
          <w:color w:val="444444"/>
        </w:rPr>
        <w:t>y 2014/59/UE (Dz.U. L</w:t>
      </w:r>
      <w:r>
        <w:rPr>
          <w:rStyle w:val="Strong"/>
          <w:color w:val="444444"/>
        </w:rPr>
        <w:t xml:space="preserve"> </w:t>
      </w:r>
      <w:r>
        <w:rPr>
          <w:color w:val="444444"/>
        </w:rPr>
        <w:t>181</w:t>
      </w:r>
      <w:r w:rsidR="001E1426">
        <w:rPr>
          <w:color w:val="444444"/>
        </w:rPr>
        <w:t xml:space="preserve"> z 6</w:t>
      </w:r>
      <w:r>
        <w:rPr>
          <w:color w:val="444444"/>
        </w:rPr>
        <w:t>.7.2016, s. 1).</w:t>
      </w:r>
    </w:p>
  </w:footnote>
  <w:footnote w:id="4">
    <w:p w:rsidR="002A074B" w:rsidRPr="002A074B" w:rsidRDefault="002A074B">
      <w:pPr>
        <w:pStyle w:val="FootnoteText"/>
      </w:pPr>
      <w:r>
        <w:rPr>
          <w:rStyle w:val="FootnoteReference"/>
        </w:rPr>
        <w:footnoteRef/>
      </w:r>
      <w:r>
        <w:tab/>
      </w:r>
      <w:r>
        <w:rPr>
          <w:rStyle w:val="Strong"/>
          <w:b w:val="0"/>
          <w:color w:val="444444"/>
        </w:rPr>
        <w:t>Rozporządzenie Parlamentu Europejskiego</w:t>
      </w:r>
      <w:r w:rsidR="001E1426">
        <w:rPr>
          <w:rStyle w:val="Strong"/>
          <w:b w:val="0"/>
          <w:color w:val="444444"/>
        </w:rPr>
        <w:t xml:space="preserve"> i Rad</w:t>
      </w:r>
      <w:r>
        <w:rPr>
          <w:rStyle w:val="Strong"/>
          <w:b w:val="0"/>
          <w:color w:val="444444"/>
        </w:rPr>
        <w:t xml:space="preserve">y (UE) </w:t>
      </w:r>
      <w:r w:rsidRPr="001E1426">
        <w:rPr>
          <w:rStyle w:val="Strong"/>
          <w:b w:val="0"/>
          <w:color w:val="444444"/>
        </w:rPr>
        <w:t>nr</w:t>
      </w:r>
      <w:r w:rsidR="001E1426" w:rsidRPr="001E1426">
        <w:rPr>
          <w:rStyle w:val="Strong"/>
          <w:b w:val="0"/>
          <w:color w:val="444444"/>
        </w:rPr>
        <w:t> </w:t>
      </w:r>
      <w:r w:rsidRPr="001E1426">
        <w:rPr>
          <w:rStyle w:val="Strong"/>
          <w:b w:val="0"/>
          <w:color w:val="444444"/>
        </w:rPr>
        <w:t>1</w:t>
      </w:r>
      <w:r>
        <w:rPr>
          <w:rStyle w:val="Strong"/>
          <w:b w:val="0"/>
          <w:color w:val="444444"/>
        </w:rPr>
        <w:t>093/2010</w:t>
      </w:r>
      <w:r w:rsidR="001E1426">
        <w:rPr>
          <w:rStyle w:val="Strong"/>
          <w:b w:val="0"/>
          <w:color w:val="444444"/>
        </w:rPr>
        <w:t xml:space="preserve"> z dni</w:t>
      </w:r>
      <w:r>
        <w:rPr>
          <w:rStyle w:val="Strong"/>
          <w:b w:val="0"/>
          <w:color w:val="444444"/>
        </w:rPr>
        <w:t>a 24 listopada 20</w:t>
      </w:r>
      <w:r w:rsidRPr="001E1426">
        <w:rPr>
          <w:rStyle w:val="Strong"/>
          <w:b w:val="0"/>
          <w:color w:val="444444"/>
        </w:rPr>
        <w:t>10</w:t>
      </w:r>
      <w:r w:rsidR="001E1426" w:rsidRPr="001E1426">
        <w:rPr>
          <w:rStyle w:val="Strong"/>
          <w:b w:val="0"/>
          <w:color w:val="444444"/>
        </w:rPr>
        <w:t> </w:t>
      </w:r>
      <w:r w:rsidRPr="001E1426">
        <w:rPr>
          <w:rStyle w:val="Strong"/>
          <w:b w:val="0"/>
          <w:color w:val="444444"/>
        </w:rPr>
        <w:t>r.</w:t>
      </w:r>
      <w:r w:rsidR="001E1426">
        <w:rPr>
          <w:rStyle w:val="Strong"/>
          <w:b w:val="0"/>
          <w:color w:val="444444"/>
        </w:rPr>
        <w:t xml:space="preserve"> w spr</w:t>
      </w:r>
      <w:r>
        <w:rPr>
          <w:rStyle w:val="Strong"/>
          <w:b w:val="0"/>
          <w:color w:val="444444"/>
        </w:rPr>
        <w:t xml:space="preserve">awie ustanowienia Europejskiego Urzędu Nadzoru (Europejskiego Urzędu Nadzoru Bankowego), zmiany decyzji </w:t>
      </w:r>
      <w:r w:rsidRPr="001E1426">
        <w:rPr>
          <w:rStyle w:val="Strong"/>
          <w:b w:val="0"/>
          <w:color w:val="444444"/>
        </w:rPr>
        <w:t>nr</w:t>
      </w:r>
      <w:r w:rsidR="001E1426" w:rsidRPr="001E1426">
        <w:rPr>
          <w:rStyle w:val="Strong"/>
          <w:b w:val="0"/>
          <w:color w:val="444444"/>
        </w:rPr>
        <w:t> </w:t>
      </w:r>
      <w:r w:rsidRPr="001E1426">
        <w:rPr>
          <w:rStyle w:val="Strong"/>
          <w:b w:val="0"/>
          <w:color w:val="444444"/>
        </w:rPr>
        <w:t>7</w:t>
      </w:r>
      <w:r>
        <w:rPr>
          <w:rStyle w:val="Strong"/>
          <w:b w:val="0"/>
          <w:color w:val="444444"/>
        </w:rPr>
        <w:t>16/2009/WE oraz uchylenia decyzji Komisji 2009/78/WE (</w:t>
      </w:r>
      <w:r>
        <w:rPr>
          <w:color w:val="444444"/>
        </w:rPr>
        <w:t>Dz.U. L 331</w:t>
      </w:r>
      <w:r w:rsidR="001E1426">
        <w:rPr>
          <w:color w:val="444444"/>
        </w:rPr>
        <w:t xml:space="preserve"> z 1</w:t>
      </w:r>
      <w:r>
        <w:rPr>
          <w:color w:val="444444"/>
        </w:rPr>
        <w:t>5.12.2010, s. 12).</w:t>
      </w:r>
    </w:p>
  </w:footnote>
  <w:footnote w:id="5">
    <w:p w:rsidR="00F80209" w:rsidRPr="0031364A" w:rsidRDefault="00F80209" w:rsidP="00F80209">
      <w:pPr>
        <w:pStyle w:val="FootnoteText"/>
      </w:pPr>
      <w:r>
        <w:rPr>
          <w:rStyle w:val="FootnoteReference"/>
        </w:rPr>
        <w:footnoteRef/>
      </w:r>
      <w:r>
        <w:tab/>
      </w:r>
      <w:r>
        <w:rPr>
          <w:rStyle w:val="Strong"/>
          <w:b w:val="0"/>
          <w:color w:val="444444"/>
        </w:rPr>
        <w:t>Rozporządzenie Parlamentu Europejskiego</w:t>
      </w:r>
      <w:r w:rsidR="001E1426">
        <w:rPr>
          <w:rStyle w:val="Strong"/>
          <w:b w:val="0"/>
          <w:color w:val="444444"/>
        </w:rPr>
        <w:t xml:space="preserve"> i Rad</w:t>
      </w:r>
      <w:r>
        <w:rPr>
          <w:rStyle w:val="Strong"/>
          <w:b w:val="0"/>
          <w:color w:val="444444"/>
        </w:rPr>
        <w:t xml:space="preserve">y (UE) </w:t>
      </w:r>
      <w:r w:rsidRPr="001E1426">
        <w:rPr>
          <w:rStyle w:val="Strong"/>
          <w:b w:val="0"/>
          <w:color w:val="444444"/>
        </w:rPr>
        <w:t>nr</w:t>
      </w:r>
      <w:r w:rsidR="001E1426" w:rsidRPr="001E1426">
        <w:rPr>
          <w:rStyle w:val="Strong"/>
          <w:b w:val="0"/>
          <w:color w:val="444444"/>
        </w:rPr>
        <w:t> </w:t>
      </w:r>
      <w:r w:rsidRPr="001E1426">
        <w:rPr>
          <w:rStyle w:val="Strong"/>
          <w:b w:val="0"/>
          <w:color w:val="444444"/>
        </w:rPr>
        <w:t>5</w:t>
      </w:r>
      <w:r>
        <w:rPr>
          <w:rStyle w:val="Strong"/>
          <w:b w:val="0"/>
          <w:color w:val="444444"/>
        </w:rPr>
        <w:t>75/2013</w:t>
      </w:r>
      <w:r w:rsidR="001E1426">
        <w:rPr>
          <w:rStyle w:val="Strong"/>
          <w:b w:val="0"/>
          <w:color w:val="444444"/>
        </w:rPr>
        <w:t xml:space="preserve"> z dni</w:t>
      </w:r>
      <w:r>
        <w:rPr>
          <w:rStyle w:val="Strong"/>
          <w:b w:val="0"/>
          <w:color w:val="444444"/>
        </w:rPr>
        <w:t>a 26 czerwca 20</w:t>
      </w:r>
      <w:r w:rsidRPr="001E1426">
        <w:rPr>
          <w:rStyle w:val="Strong"/>
          <w:b w:val="0"/>
          <w:color w:val="444444"/>
        </w:rPr>
        <w:t>13</w:t>
      </w:r>
      <w:r w:rsidR="001E1426" w:rsidRPr="001E1426">
        <w:rPr>
          <w:rStyle w:val="Strong"/>
          <w:b w:val="0"/>
          <w:color w:val="444444"/>
        </w:rPr>
        <w:t> </w:t>
      </w:r>
      <w:r w:rsidRPr="001E1426">
        <w:rPr>
          <w:rStyle w:val="Strong"/>
          <w:b w:val="0"/>
          <w:color w:val="444444"/>
        </w:rPr>
        <w:t>r.</w:t>
      </w:r>
      <w:r w:rsidR="001E1426">
        <w:rPr>
          <w:rStyle w:val="Strong"/>
          <w:b w:val="0"/>
          <w:color w:val="444444"/>
        </w:rPr>
        <w:t xml:space="preserve"> w spr</w:t>
      </w:r>
      <w:r>
        <w:rPr>
          <w:rStyle w:val="Strong"/>
          <w:b w:val="0"/>
          <w:color w:val="444444"/>
        </w:rPr>
        <w:t>awie wymogów ostrożnościowych dla instytucji kredytowych</w:t>
      </w:r>
      <w:r w:rsidR="001E1426">
        <w:rPr>
          <w:rStyle w:val="Strong"/>
          <w:b w:val="0"/>
          <w:color w:val="444444"/>
        </w:rPr>
        <w:t xml:space="preserve"> i fir</w:t>
      </w:r>
      <w:r>
        <w:rPr>
          <w:rStyle w:val="Strong"/>
          <w:b w:val="0"/>
          <w:color w:val="444444"/>
        </w:rPr>
        <w:t xml:space="preserve">m inwestycyjnych, zmieniające rozporządzenie (UE) </w:t>
      </w:r>
      <w:r w:rsidRPr="001E1426">
        <w:rPr>
          <w:rStyle w:val="Strong"/>
          <w:b w:val="0"/>
          <w:color w:val="444444"/>
        </w:rPr>
        <w:t>nr</w:t>
      </w:r>
      <w:r w:rsidR="001E1426" w:rsidRPr="001E1426">
        <w:rPr>
          <w:rStyle w:val="Strong"/>
          <w:b w:val="0"/>
          <w:color w:val="444444"/>
        </w:rPr>
        <w:t> </w:t>
      </w:r>
      <w:r w:rsidRPr="001E1426">
        <w:rPr>
          <w:rStyle w:val="Strong"/>
          <w:b w:val="0"/>
          <w:color w:val="444444"/>
        </w:rPr>
        <w:t>6</w:t>
      </w:r>
      <w:r>
        <w:rPr>
          <w:rStyle w:val="Strong"/>
          <w:b w:val="0"/>
          <w:color w:val="444444"/>
        </w:rPr>
        <w:t>48/2012</w:t>
      </w:r>
      <w:r>
        <w:rPr>
          <w:rStyle w:val="Strong"/>
          <w:rFonts w:ascii="Lucida Grande" w:hAnsi="Lucida Grande"/>
          <w:color w:val="444444"/>
        </w:rPr>
        <w:t xml:space="preserve"> </w:t>
      </w:r>
      <w:r>
        <w:rPr>
          <w:color w:val="444444"/>
        </w:rPr>
        <w:t>(Dz.U. L 176</w:t>
      </w:r>
      <w:r w:rsidR="001E1426">
        <w:rPr>
          <w:color w:val="444444"/>
        </w:rPr>
        <w:t xml:space="preserve"> z 2</w:t>
      </w:r>
      <w:r>
        <w:rPr>
          <w:color w:val="444444"/>
        </w:rPr>
        <w:t>7.6.2013,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18" w:rsidRPr="00A53A18" w:rsidRDefault="00A53A18" w:rsidP="00A53A1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18" w:rsidRPr="00A53A18" w:rsidRDefault="00A53A18" w:rsidP="00A53A1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3A18" w:rsidRPr="00A53A18" w:rsidRDefault="00A53A18" w:rsidP="00A53A1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4"/>
  </w:num>
  <w:num w:numId="11">
    <w:abstractNumId w:val="3"/>
  </w:num>
  <w:num w:numId="12">
    <w:abstractNumId w:val="6"/>
  </w:num>
  <w:num w:numId="13">
    <w:abstractNumId w:val="2"/>
  </w:num>
  <w:num w:numId="14">
    <w:abstractNumId w:val="1"/>
  </w:num>
  <w:num w:numId="15">
    <w:abstractNumId w:val="0"/>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8"/>
  </w:num>
  <w:num w:numId="18">
    <w:abstractNumId w:val="12"/>
  </w:num>
  <w:num w:numId="19">
    <w:abstractNumId w:val="20"/>
  </w:num>
  <w:num w:numId="20">
    <w:abstractNumId w:val="11"/>
  </w:num>
  <w:num w:numId="21">
    <w:abstractNumId w:val="13"/>
  </w:num>
  <w:num w:numId="22">
    <w:abstractNumId w:val="9"/>
  </w:num>
  <w:num w:numId="23">
    <w:abstractNumId w:val="19"/>
  </w:num>
  <w:num w:numId="24">
    <w:abstractNumId w:val="8"/>
  </w:num>
  <w:num w:numId="25">
    <w:abstractNumId w:val="14"/>
  </w:num>
  <w:num w:numId="26">
    <w:abstractNumId w:val="16"/>
  </w:num>
  <w:num w:numId="27">
    <w:abstractNumId w:val="17"/>
  </w:num>
  <w:num w:numId="28">
    <w:abstractNumId w:val="10"/>
  </w:num>
  <w:num w:numId="29">
    <w:abstractNumId w:val="15"/>
  </w:num>
  <w:num w:numId="30">
    <w:abstractNumId w:val="21"/>
  </w:num>
  <w:num w:numId="31">
    <w:abstractNumId w:val="18"/>
  </w:num>
  <w:num w:numId="32">
    <w:abstractNumId w:val="12"/>
  </w:num>
  <w:num w:numId="33">
    <w:abstractNumId w:val="20"/>
  </w:num>
  <w:num w:numId="34">
    <w:abstractNumId w:val="11"/>
  </w:num>
  <w:num w:numId="35">
    <w:abstractNumId w:val="13"/>
  </w:num>
  <w:num w:numId="36">
    <w:abstractNumId w:val="9"/>
  </w:num>
  <w:num w:numId="37">
    <w:abstractNumId w:val="19"/>
  </w:num>
  <w:num w:numId="38">
    <w:abstractNumId w:val="8"/>
  </w:num>
  <w:num w:numId="39">
    <w:abstractNumId w:val="14"/>
  </w:num>
  <w:num w:numId="40">
    <w:abstractNumId w:val="16"/>
  </w:num>
  <w:num w:numId="41">
    <w:abstractNumId w:val="17"/>
  </w:num>
  <w:num w:numId="42">
    <w:abstractNumId w:val="10"/>
  </w:num>
  <w:num w:numId="43">
    <w:abstractNumId w:val="15"/>
  </w:num>
  <w:num w:numId="44">
    <w:abstractNumId w:val="2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20"/>
  <w:proofState w:spelling="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19 10:54:33"/>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C5241314-88BD-41F7-A1C0-AFAF3343E30B"/>
    <w:docVar w:name="LW_COVERPAGE_TYPE" w:val="1"/>
    <w:docVar w:name="LW_CROSSREFERENCE" w:val="&lt;UNUSED&gt;"/>
    <w:docVar w:name="LW_DATE.ADOPT.CP" w:val="z dnia XXX r."/>
    <w:docVar w:name="LW_DATE.ADOPT.CP_DATEFORMAT" w:val="z dnia %DATE% r."/>
    <w:docVar w:name="LW_DATE.ADOPT.CP_ISODATE" w:val="&lt;EMPTY&gt;"/>
    <w:docVar w:name="LW_DocType" w:val="COM"/>
    <w:docVar w:name="LW_EMISSION" w:val="&lt;EMPTY&gt;"/>
    <w:docVar w:name="LW_EMISSION_ISODATE" w:val="&lt;EMPTY&gt;"/>
    <w:docVar w:name="LW_EMISSION_LOCATION" w:val="BRX"/>
    <w:docVar w:name="LW_EMISSION_PREFIX" w:val="Bruksela, dnia "/>
    <w:docVar w:name="LW_EMISSION_SUFFIX" w:val="&lt;EMPTY&gt;"/>
    <w:docVar w:name="LW_ID_DOCMODEL" w:val="SJ-004"/>
    <w:docVar w:name="LW_ID_DOCSIGNATURE" w:val="SJ-004"/>
    <w:docVar w:name="LW_ID_DOCSTRUCTURE" w:val="COM/AA"/>
    <w:docVar w:name="LW_ID_DOCTYPE" w:val="SJ-004"/>
    <w:docVar w:name="LW_INTERETEEE.CP" w:val="(Tekst maj\u261?cy znaczenie dla EOG)"/>
    <w:docVar w:name="LW_LANGUE" w:val="PL"/>
    <w:docVar w:name="LW_LANGUESFAISANTFOI.CP" w:val="&lt;UNUSED&gt;"/>
    <w:docVar w:name="LW_LEVEL_OF_SENSITIVITY" w:val="Standard treatment"/>
    <w:docVar w:name="LW_NOM.INST" w:val="KOMISJA EUROPEJSK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ustanawiaj\u261?ce wykonawcze standardy techniczne w odniesieniu do procedur i standardowych formularzy i szablonów stosowanych do przekazywania informacji do celów sporz\u261?dzenia planów restrukturyzacji i uporz\u261?dkowanej likwidacji w odniesieniu do instytucji kredytowych i firm inwestycyjnych zgodnie z dyrektyw\u261? Parlamentu Europejskiego i Rady 2014/59/UE oraz uchylaj\u261?ce rozporz\u261?dzenie wykonawcze Komisji (UE) 2016/1066_x000b_"/>
    <w:docVar w:name="LW_TYPE.DOC.CP" w:val="ROZPORZ\u260?DZENIE WYKONAWCZE KOMISJI (UE) \u8230?/\u8230?"/>
  </w:docVars>
  <w:rsids>
    <w:rsidRoot w:val="007E1AE4"/>
    <w:rsid w:val="00010CE0"/>
    <w:rsid w:val="00011EF9"/>
    <w:rsid w:val="00016E3C"/>
    <w:rsid w:val="00045775"/>
    <w:rsid w:val="000652E4"/>
    <w:rsid w:val="00085B09"/>
    <w:rsid w:val="000B175A"/>
    <w:rsid w:val="000B1FCC"/>
    <w:rsid w:val="000B693A"/>
    <w:rsid w:val="000D42E6"/>
    <w:rsid w:val="000D46EE"/>
    <w:rsid w:val="000D7AF5"/>
    <w:rsid w:val="001122B8"/>
    <w:rsid w:val="001128B5"/>
    <w:rsid w:val="00114A2A"/>
    <w:rsid w:val="001150B6"/>
    <w:rsid w:val="00123A59"/>
    <w:rsid w:val="001314DF"/>
    <w:rsid w:val="0013178A"/>
    <w:rsid w:val="00163111"/>
    <w:rsid w:val="00171BF1"/>
    <w:rsid w:val="001756CB"/>
    <w:rsid w:val="00184C87"/>
    <w:rsid w:val="00186803"/>
    <w:rsid w:val="001B3416"/>
    <w:rsid w:val="001C2CA3"/>
    <w:rsid w:val="001C3D4B"/>
    <w:rsid w:val="001D3BB3"/>
    <w:rsid w:val="001E1426"/>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E4DA4"/>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B265E"/>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A0535"/>
    <w:rsid w:val="009C42AE"/>
    <w:rsid w:val="009C57E6"/>
    <w:rsid w:val="009E4EA1"/>
    <w:rsid w:val="009F137C"/>
    <w:rsid w:val="009F1954"/>
    <w:rsid w:val="009F5E9A"/>
    <w:rsid w:val="00A05A75"/>
    <w:rsid w:val="00A05B6C"/>
    <w:rsid w:val="00A17005"/>
    <w:rsid w:val="00A17425"/>
    <w:rsid w:val="00A3683E"/>
    <w:rsid w:val="00A36B4B"/>
    <w:rsid w:val="00A44881"/>
    <w:rsid w:val="00A53A18"/>
    <w:rsid w:val="00A81692"/>
    <w:rsid w:val="00A82A0A"/>
    <w:rsid w:val="00A84F53"/>
    <w:rsid w:val="00A911AA"/>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063F"/>
    <w:rsid w:val="00BF5927"/>
    <w:rsid w:val="00BF7ABD"/>
    <w:rsid w:val="00C26D26"/>
    <w:rsid w:val="00C32916"/>
    <w:rsid w:val="00C36E0D"/>
    <w:rsid w:val="00C50809"/>
    <w:rsid w:val="00C62DBD"/>
    <w:rsid w:val="00C711BF"/>
    <w:rsid w:val="00C867D6"/>
    <w:rsid w:val="00C92875"/>
    <w:rsid w:val="00C962D1"/>
    <w:rsid w:val="00CA51B8"/>
    <w:rsid w:val="00CC2DCA"/>
    <w:rsid w:val="00CC472B"/>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259E9"/>
    <w:rsid w:val="00E31E1B"/>
    <w:rsid w:val="00E35BD9"/>
    <w:rsid w:val="00E44B03"/>
    <w:rsid w:val="00E50675"/>
    <w:rsid w:val="00E96E2F"/>
    <w:rsid w:val="00EB1CD0"/>
    <w:rsid w:val="00EC1B80"/>
    <w:rsid w:val="00F0793D"/>
    <w:rsid w:val="00F14DE3"/>
    <w:rsid w:val="00F37AC9"/>
    <w:rsid w:val="00F405F9"/>
    <w:rsid w:val="00F53AB1"/>
    <w:rsid w:val="00F7102B"/>
    <w:rsid w:val="00F722C5"/>
    <w:rsid w:val="00F72A53"/>
    <w:rsid w:val="00F73FEB"/>
    <w:rsid w:val="00F80209"/>
    <w:rsid w:val="00F92B5B"/>
    <w:rsid w:val="00F94096"/>
    <w:rsid w:val="00F9560A"/>
    <w:rsid w:val="00FA04A0"/>
    <w:rsid w:val="00FA333B"/>
    <w:rsid w:val="00FA55FB"/>
    <w:rsid w:val="00FB0744"/>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pl-PL"/>
    </w:rPr>
  </w:style>
  <w:style w:type="paragraph" w:styleId="Heading1">
    <w:name w:val="heading 1"/>
    <w:basedOn w:val="Normal"/>
    <w:next w:val="Text1"/>
    <w:link w:val="Heading1Char"/>
    <w:uiPriority w:val="9"/>
    <w:qFormat/>
    <w:rsid w:val="00877878"/>
    <w:pPr>
      <w:keepNext/>
      <w:numPr>
        <w:numId w:val="3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7"/>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7"/>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pl-PL"/>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8"/>
      </w:numPr>
      <w:contextualSpacing/>
    </w:pPr>
  </w:style>
  <w:style w:type="paragraph" w:styleId="ListBullet2">
    <w:name w:val="List Bullet 2"/>
    <w:basedOn w:val="Normal"/>
    <w:uiPriority w:val="99"/>
    <w:semiHidden/>
    <w:unhideWhenUsed/>
    <w:rsid w:val="00EB1CD0"/>
    <w:pPr>
      <w:numPr>
        <w:numId w:val="9"/>
      </w:numPr>
      <w:contextualSpacing/>
    </w:pPr>
  </w:style>
  <w:style w:type="paragraph" w:styleId="ListBullet3">
    <w:name w:val="List Bullet 3"/>
    <w:basedOn w:val="Normal"/>
    <w:uiPriority w:val="99"/>
    <w:semiHidden/>
    <w:unhideWhenUsed/>
    <w:rsid w:val="00EB1CD0"/>
    <w:pPr>
      <w:numPr>
        <w:numId w:val="10"/>
      </w:numPr>
      <w:contextualSpacing/>
    </w:pPr>
  </w:style>
  <w:style w:type="paragraph" w:styleId="ListBullet4">
    <w:name w:val="List Bullet 4"/>
    <w:basedOn w:val="Normal"/>
    <w:uiPriority w:val="99"/>
    <w:semiHidden/>
    <w:unhideWhenUsed/>
    <w:rsid w:val="00EB1CD0"/>
    <w:pPr>
      <w:numPr>
        <w:numId w:val="11"/>
      </w:numPr>
      <w:contextualSpacing/>
    </w:pPr>
  </w:style>
  <w:style w:type="paragraph" w:styleId="ListNumber">
    <w:name w:val="List Number"/>
    <w:basedOn w:val="Normal"/>
    <w:uiPriority w:val="99"/>
    <w:semiHidden/>
    <w:unhideWhenUsed/>
    <w:rsid w:val="00EB1CD0"/>
    <w:pPr>
      <w:numPr>
        <w:numId w:val="12"/>
      </w:numPr>
      <w:contextualSpacing/>
    </w:pPr>
  </w:style>
  <w:style w:type="paragraph" w:styleId="ListNumber2">
    <w:name w:val="List Number 2"/>
    <w:basedOn w:val="Normal"/>
    <w:uiPriority w:val="99"/>
    <w:semiHidden/>
    <w:unhideWhenUsed/>
    <w:rsid w:val="00EB1CD0"/>
    <w:pPr>
      <w:numPr>
        <w:numId w:val="13"/>
      </w:numPr>
      <w:contextualSpacing/>
    </w:pPr>
  </w:style>
  <w:style w:type="paragraph" w:styleId="ListNumber3">
    <w:name w:val="List Number 3"/>
    <w:basedOn w:val="Normal"/>
    <w:uiPriority w:val="99"/>
    <w:semiHidden/>
    <w:unhideWhenUsed/>
    <w:rsid w:val="003F1EDA"/>
    <w:pPr>
      <w:numPr>
        <w:numId w:val="14"/>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5"/>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pl-PL"/>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pl-PL"/>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pl-PL"/>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1"/>
      </w:numPr>
    </w:pPr>
  </w:style>
  <w:style w:type="paragraph" w:customStyle="1" w:styleId="Tiret1">
    <w:name w:val="Tiret 1"/>
    <w:basedOn w:val="Point1"/>
    <w:rsid w:val="00877878"/>
    <w:pPr>
      <w:numPr>
        <w:numId w:val="32"/>
      </w:numPr>
    </w:pPr>
  </w:style>
  <w:style w:type="paragraph" w:customStyle="1" w:styleId="Tiret2">
    <w:name w:val="Tiret 2"/>
    <w:basedOn w:val="Point2"/>
    <w:rsid w:val="00877878"/>
    <w:pPr>
      <w:numPr>
        <w:numId w:val="33"/>
      </w:numPr>
    </w:pPr>
  </w:style>
  <w:style w:type="paragraph" w:customStyle="1" w:styleId="Tiret3">
    <w:name w:val="Tiret 3"/>
    <w:basedOn w:val="Point3"/>
    <w:rsid w:val="00877878"/>
    <w:pPr>
      <w:numPr>
        <w:numId w:val="34"/>
      </w:numPr>
    </w:pPr>
  </w:style>
  <w:style w:type="paragraph" w:customStyle="1" w:styleId="Tiret4">
    <w:name w:val="Tiret 4"/>
    <w:basedOn w:val="Point4"/>
    <w:rsid w:val="00877878"/>
    <w:pPr>
      <w:numPr>
        <w:numId w:val="35"/>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6"/>
      </w:numPr>
    </w:pPr>
  </w:style>
  <w:style w:type="paragraph" w:customStyle="1" w:styleId="NumPar2">
    <w:name w:val="NumPar 2"/>
    <w:basedOn w:val="Normal"/>
    <w:next w:val="Text1"/>
    <w:rsid w:val="00877878"/>
    <w:pPr>
      <w:numPr>
        <w:ilvl w:val="1"/>
        <w:numId w:val="36"/>
      </w:numPr>
    </w:pPr>
  </w:style>
  <w:style w:type="paragraph" w:customStyle="1" w:styleId="NumPar3">
    <w:name w:val="NumPar 3"/>
    <w:basedOn w:val="Normal"/>
    <w:next w:val="Text1"/>
    <w:rsid w:val="00877878"/>
    <w:pPr>
      <w:numPr>
        <w:ilvl w:val="2"/>
        <w:numId w:val="36"/>
      </w:numPr>
    </w:pPr>
  </w:style>
  <w:style w:type="paragraph" w:customStyle="1" w:styleId="NumPar4">
    <w:name w:val="NumPar 4"/>
    <w:basedOn w:val="Normal"/>
    <w:next w:val="Text1"/>
    <w:rsid w:val="00877878"/>
    <w:pPr>
      <w:numPr>
        <w:ilvl w:val="3"/>
        <w:numId w:val="36"/>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8"/>
      </w:numPr>
    </w:pPr>
  </w:style>
  <w:style w:type="paragraph" w:customStyle="1" w:styleId="Point1number">
    <w:name w:val="Point 1 (number)"/>
    <w:basedOn w:val="Normal"/>
    <w:rsid w:val="00877878"/>
    <w:pPr>
      <w:numPr>
        <w:ilvl w:val="2"/>
        <w:numId w:val="38"/>
      </w:numPr>
    </w:pPr>
  </w:style>
  <w:style w:type="paragraph" w:customStyle="1" w:styleId="Point2number">
    <w:name w:val="Point 2 (number)"/>
    <w:basedOn w:val="Normal"/>
    <w:rsid w:val="00877878"/>
    <w:pPr>
      <w:numPr>
        <w:ilvl w:val="4"/>
        <w:numId w:val="38"/>
      </w:numPr>
    </w:pPr>
  </w:style>
  <w:style w:type="paragraph" w:customStyle="1" w:styleId="Point3number">
    <w:name w:val="Point 3 (number)"/>
    <w:basedOn w:val="Normal"/>
    <w:rsid w:val="00877878"/>
    <w:pPr>
      <w:numPr>
        <w:ilvl w:val="6"/>
        <w:numId w:val="38"/>
      </w:numPr>
    </w:pPr>
  </w:style>
  <w:style w:type="paragraph" w:customStyle="1" w:styleId="Point0letter">
    <w:name w:val="Point 0 (letter)"/>
    <w:basedOn w:val="Normal"/>
    <w:rsid w:val="00877878"/>
    <w:pPr>
      <w:numPr>
        <w:ilvl w:val="1"/>
        <w:numId w:val="38"/>
      </w:numPr>
    </w:pPr>
  </w:style>
  <w:style w:type="paragraph" w:customStyle="1" w:styleId="Point1letter">
    <w:name w:val="Point 1 (letter)"/>
    <w:basedOn w:val="Normal"/>
    <w:rsid w:val="00877878"/>
    <w:pPr>
      <w:numPr>
        <w:ilvl w:val="3"/>
        <w:numId w:val="38"/>
      </w:numPr>
    </w:pPr>
  </w:style>
  <w:style w:type="paragraph" w:customStyle="1" w:styleId="Point2letter">
    <w:name w:val="Point 2 (letter)"/>
    <w:basedOn w:val="Normal"/>
    <w:rsid w:val="00877878"/>
    <w:pPr>
      <w:numPr>
        <w:ilvl w:val="5"/>
        <w:numId w:val="38"/>
      </w:numPr>
    </w:pPr>
  </w:style>
  <w:style w:type="paragraph" w:customStyle="1" w:styleId="Point3letter">
    <w:name w:val="Point 3 (letter)"/>
    <w:basedOn w:val="Normal"/>
    <w:rsid w:val="00877878"/>
    <w:pPr>
      <w:numPr>
        <w:ilvl w:val="7"/>
        <w:numId w:val="38"/>
      </w:numPr>
    </w:pPr>
  </w:style>
  <w:style w:type="paragraph" w:customStyle="1" w:styleId="Point4letter">
    <w:name w:val="Point 4 (letter)"/>
    <w:basedOn w:val="Normal"/>
    <w:rsid w:val="00877878"/>
    <w:pPr>
      <w:numPr>
        <w:ilvl w:val="8"/>
        <w:numId w:val="38"/>
      </w:numPr>
    </w:pPr>
  </w:style>
  <w:style w:type="paragraph" w:customStyle="1" w:styleId="Bullet0">
    <w:name w:val="Bullet 0"/>
    <w:basedOn w:val="Normal"/>
    <w:rsid w:val="00877878"/>
    <w:pPr>
      <w:numPr>
        <w:numId w:val="39"/>
      </w:numPr>
    </w:pPr>
  </w:style>
  <w:style w:type="paragraph" w:customStyle="1" w:styleId="Bullet1">
    <w:name w:val="Bullet 1"/>
    <w:basedOn w:val="Normal"/>
    <w:rsid w:val="00877878"/>
    <w:pPr>
      <w:numPr>
        <w:numId w:val="40"/>
      </w:numPr>
    </w:pPr>
  </w:style>
  <w:style w:type="paragraph" w:customStyle="1" w:styleId="Bullet2">
    <w:name w:val="Bullet 2"/>
    <w:basedOn w:val="Normal"/>
    <w:rsid w:val="00877878"/>
    <w:pPr>
      <w:numPr>
        <w:numId w:val="41"/>
      </w:numPr>
    </w:pPr>
  </w:style>
  <w:style w:type="paragraph" w:customStyle="1" w:styleId="Bullet3">
    <w:name w:val="Bullet 3"/>
    <w:basedOn w:val="Normal"/>
    <w:rsid w:val="00877878"/>
    <w:pPr>
      <w:numPr>
        <w:numId w:val="42"/>
      </w:numPr>
    </w:pPr>
  </w:style>
  <w:style w:type="paragraph" w:customStyle="1" w:styleId="Bullet4">
    <w:name w:val="Bullet 4"/>
    <w:basedOn w:val="Normal"/>
    <w:rsid w:val="00877878"/>
    <w:pPr>
      <w:numPr>
        <w:numId w:val="43"/>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4"/>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1B075-7F68-4A28-ACE4-7E3911BCC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2626</Words>
  <Characters>17792</Characters>
  <Application>Microsoft Office Word</Application>
  <DocSecurity>0</DocSecurity>
  <Lines>328</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20342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WOLSAN Tomasz (DGT)</cp:lastModifiedBy>
  <cp:revision>3</cp:revision>
  <cp:lastPrinted>2018-09-04T15:01:00Z</cp:lastPrinted>
  <dcterms:created xsi:type="dcterms:W3CDTF">2018-09-19T08:54:00Z</dcterms:created>
  <dcterms:modified xsi:type="dcterms:W3CDTF">2018-09-19T08:54:00Z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