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„PŘÍLOHA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Pokyny</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66CDF148" w14:textId="21388D04" w:rsidR="00C84401" w:rsidRDefault="001D258F">
      <w:pPr>
        <w:pStyle w:val="TOC2"/>
        <w:rPr>
          <w:lang w:eastAsia="cs-CZ"/>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6349026" w:history="1">
        <w:r w:rsidR="00C84401" w:rsidRPr="0009719E">
          <w:rPr>
            <w:rStyle w:val="Hyperlink"/>
            <w:rFonts w:ascii="Times New Roman" w:hAnsi="Times New Roman" w:cs="Times New Roman"/>
          </w:rPr>
          <w:t>I.</w:t>
        </w:r>
        <w:r w:rsidR="00C84401">
          <w:rPr>
            <w:lang w:eastAsia="cs-CZ"/>
          </w:rPr>
          <w:tab/>
        </w:r>
        <w:r w:rsidR="00C84401" w:rsidRPr="0009719E">
          <w:rPr>
            <w:rStyle w:val="Hyperlink"/>
            <w:rFonts w:ascii="Times New Roman" w:hAnsi="Times New Roman"/>
          </w:rPr>
          <w:t>Obecné pokyny</w:t>
        </w:r>
        <w:r w:rsidR="00C84401">
          <w:rPr>
            <w:webHidden/>
          </w:rPr>
          <w:tab/>
        </w:r>
        <w:r w:rsidR="00C84401">
          <w:rPr>
            <w:webHidden/>
          </w:rPr>
          <w:fldChar w:fldCharType="begin"/>
        </w:r>
        <w:r w:rsidR="00C84401">
          <w:rPr>
            <w:webHidden/>
          </w:rPr>
          <w:instrText xml:space="preserve"> PAGEREF _Toc96349026 \h </w:instrText>
        </w:r>
        <w:r w:rsidR="00C84401">
          <w:rPr>
            <w:webHidden/>
          </w:rPr>
        </w:r>
        <w:r w:rsidR="00C84401">
          <w:rPr>
            <w:webHidden/>
          </w:rPr>
          <w:fldChar w:fldCharType="separate"/>
        </w:r>
        <w:r w:rsidR="00C84401">
          <w:rPr>
            <w:webHidden/>
          </w:rPr>
          <w:t>2</w:t>
        </w:r>
        <w:r w:rsidR="00C84401">
          <w:rPr>
            <w:webHidden/>
          </w:rPr>
          <w:fldChar w:fldCharType="end"/>
        </w:r>
      </w:hyperlink>
    </w:p>
    <w:p w14:paraId="05AE399E" w14:textId="4257207A" w:rsidR="00C84401" w:rsidRDefault="00D55993">
      <w:pPr>
        <w:pStyle w:val="TOC2"/>
        <w:rPr>
          <w:lang w:eastAsia="cs-CZ"/>
        </w:rPr>
      </w:pPr>
      <w:hyperlink w:anchor="_Toc96349027" w:history="1">
        <w:r w:rsidR="00C84401" w:rsidRPr="0009719E">
          <w:rPr>
            <w:rStyle w:val="Hyperlink"/>
            <w:rFonts w:ascii="Times New Roman" w:hAnsi="Times New Roman" w:cs="Times New Roman"/>
          </w:rPr>
          <w:t>I.1</w:t>
        </w:r>
        <w:r w:rsidR="00C84401">
          <w:rPr>
            <w:lang w:eastAsia="cs-CZ"/>
          </w:rPr>
          <w:tab/>
        </w:r>
        <w:r w:rsidR="00C84401" w:rsidRPr="0009719E">
          <w:rPr>
            <w:rStyle w:val="Hyperlink"/>
            <w:rFonts w:ascii="Times New Roman" w:hAnsi="Times New Roman"/>
          </w:rPr>
          <w:t>Struktura</w:t>
        </w:r>
        <w:r w:rsidR="00C84401">
          <w:rPr>
            <w:webHidden/>
          </w:rPr>
          <w:tab/>
        </w:r>
        <w:r w:rsidR="00C84401">
          <w:rPr>
            <w:webHidden/>
          </w:rPr>
          <w:fldChar w:fldCharType="begin"/>
        </w:r>
        <w:r w:rsidR="00C84401">
          <w:rPr>
            <w:webHidden/>
          </w:rPr>
          <w:instrText xml:space="preserve"> PAGEREF _Toc96349027 \h </w:instrText>
        </w:r>
        <w:r w:rsidR="00C84401">
          <w:rPr>
            <w:webHidden/>
          </w:rPr>
        </w:r>
        <w:r w:rsidR="00C84401">
          <w:rPr>
            <w:webHidden/>
          </w:rPr>
          <w:fldChar w:fldCharType="separate"/>
        </w:r>
        <w:r w:rsidR="00C84401">
          <w:rPr>
            <w:webHidden/>
          </w:rPr>
          <w:t>2</w:t>
        </w:r>
        <w:r w:rsidR="00C84401">
          <w:rPr>
            <w:webHidden/>
          </w:rPr>
          <w:fldChar w:fldCharType="end"/>
        </w:r>
      </w:hyperlink>
    </w:p>
    <w:p w14:paraId="07E50971" w14:textId="0C723046" w:rsidR="00C84401" w:rsidRDefault="00D55993">
      <w:pPr>
        <w:pStyle w:val="TOC2"/>
        <w:rPr>
          <w:lang w:eastAsia="cs-CZ"/>
        </w:rPr>
      </w:pPr>
      <w:hyperlink w:anchor="_Toc96349028" w:history="1">
        <w:r w:rsidR="00C84401" w:rsidRPr="0009719E">
          <w:rPr>
            <w:rStyle w:val="Hyperlink"/>
            <w:rFonts w:ascii="Times New Roman" w:hAnsi="Times New Roman" w:cs="Times New Roman"/>
          </w:rPr>
          <w:t>I.2</w:t>
        </w:r>
        <w:r w:rsidR="00C84401">
          <w:rPr>
            <w:lang w:eastAsia="cs-CZ"/>
          </w:rPr>
          <w:tab/>
        </w:r>
        <w:r w:rsidR="00C84401" w:rsidRPr="0009719E">
          <w:rPr>
            <w:rStyle w:val="Hyperlink"/>
            <w:rFonts w:ascii="Times New Roman" w:hAnsi="Times New Roman"/>
          </w:rPr>
          <w:t>Odkazy</w:t>
        </w:r>
        <w:r w:rsidR="00C84401">
          <w:rPr>
            <w:webHidden/>
          </w:rPr>
          <w:tab/>
        </w:r>
        <w:r w:rsidR="00C84401">
          <w:rPr>
            <w:webHidden/>
          </w:rPr>
          <w:fldChar w:fldCharType="begin"/>
        </w:r>
        <w:r w:rsidR="00C84401">
          <w:rPr>
            <w:webHidden/>
          </w:rPr>
          <w:instrText xml:space="preserve"> PAGEREF _Toc96349028 \h </w:instrText>
        </w:r>
        <w:r w:rsidR="00C84401">
          <w:rPr>
            <w:webHidden/>
          </w:rPr>
        </w:r>
        <w:r w:rsidR="00C84401">
          <w:rPr>
            <w:webHidden/>
          </w:rPr>
          <w:fldChar w:fldCharType="separate"/>
        </w:r>
        <w:r w:rsidR="00C84401">
          <w:rPr>
            <w:webHidden/>
          </w:rPr>
          <w:t>2</w:t>
        </w:r>
        <w:r w:rsidR="00C84401">
          <w:rPr>
            <w:webHidden/>
          </w:rPr>
          <w:fldChar w:fldCharType="end"/>
        </w:r>
      </w:hyperlink>
    </w:p>
    <w:p w14:paraId="78A7D983" w14:textId="075D9B28" w:rsidR="00C84401" w:rsidRDefault="00D55993">
      <w:pPr>
        <w:pStyle w:val="TOC2"/>
        <w:rPr>
          <w:lang w:eastAsia="cs-CZ"/>
        </w:rPr>
      </w:pPr>
      <w:hyperlink w:anchor="_Toc96349029" w:history="1">
        <w:r w:rsidR="00C84401" w:rsidRPr="0009719E">
          <w:rPr>
            <w:rStyle w:val="Hyperlink"/>
            <w:rFonts w:ascii="Times New Roman" w:hAnsi="Times New Roman" w:cs="Times New Roman"/>
          </w:rPr>
          <w:t>I.3</w:t>
        </w:r>
        <w:r w:rsidR="00C84401">
          <w:rPr>
            <w:lang w:eastAsia="cs-CZ"/>
          </w:rPr>
          <w:tab/>
        </w:r>
        <w:r w:rsidR="00C84401" w:rsidRPr="0009719E">
          <w:rPr>
            <w:rStyle w:val="Hyperlink"/>
            <w:rFonts w:ascii="Times New Roman" w:hAnsi="Times New Roman"/>
          </w:rPr>
          <w:t>Účetní standardy</w:t>
        </w:r>
        <w:r w:rsidR="00C84401">
          <w:rPr>
            <w:webHidden/>
          </w:rPr>
          <w:tab/>
        </w:r>
        <w:r w:rsidR="00C84401">
          <w:rPr>
            <w:webHidden/>
          </w:rPr>
          <w:fldChar w:fldCharType="begin"/>
        </w:r>
        <w:r w:rsidR="00C84401">
          <w:rPr>
            <w:webHidden/>
          </w:rPr>
          <w:instrText xml:space="preserve"> PAGEREF _Toc96349029 \h </w:instrText>
        </w:r>
        <w:r w:rsidR="00C84401">
          <w:rPr>
            <w:webHidden/>
          </w:rPr>
        </w:r>
        <w:r w:rsidR="00C84401">
          <w:rPr>
            <w:webHidden/>
          </w:rPr>
          <w:fldChar w:fldCharType="separate"/>
        </w:r>
        <w:r w:rsidR="00C84401">
          <w:rPr>
            <w:webHidden/>
          </w:rPr>
          <w:t>3</w:t>
        </w:r>
        <w:r w:rsidR="00C84401">
          <w:rPr>
            <w:webHidden/>
          </w:rPr>
          <w:fldChar w:fldCharType="end"/>
        </w:r>
      </w:hyperlink>
    </w:p>
    <w:p w14:paraId="5A506FE6" w14:textId="2E889F0F" w:rsidR="00C84401" w:rsidRDefault="00D55993">
      <w:pPr>
        <w:pStyle w:val="TOC2"/>
        <w:rPr>
          <w:lang w:eastAsia="cs-CZ"/>
        </w:rPr>
      </w:pPr>
      <w:hyperlink w:anchor="_Toc96349030" w:history="1">
        <w:r w:rsidR="00C84401" w:rsidRPr="0009719E">
          <w:rPr>
            <w:rStyle w:val="Hyperlink"/>
            <w:rFonts w:ascii="Times New Roman" w:hAnsi="Times New Roman" w:cs="Times New Roman"/>
          </w:rPr>
          <w:t>I.4</w:t>
        </w:r>
        <w:r w:rsidR="00C84401">
          <w:rPr>
            <w:lang w:eastAsia="cs-CZ"/>
          </w:rPr>
          <w:tab/>
        </w:r>
        <w:r w:rsidR="00C84401" w:rsidRPr="0009719E">
          <w:rPr>
            <w:rStyle w:val="Hyperlink"/>
            <w:rFonts w:ascii="Times New Roman" w:hAnsi="Times New Roman"/>
          </w:rPr>
          <w:t>Rozsah konsolidace</w:t>
        </w:r>
        <w:r w:rsidR="00C84401">
          <w:rPr>
            <w:webHidden/>
          </w:rPr>
          <w:tab/>
        </w:r>
        <w:r w:rsidR="00C84401">
          <w:rPr>
            <w:webHidden/>
          </w:rPr>
          <w:fldChar w:fldCharType="begin"/>
        </w:r>
        <w:r w:rsidR="00C84401">
          <w:rPr>
            <w:webHidden/>
          </w:rPr>
          <w:instrText xml:space="preserve"> PAGEREF _Toc96349030 \h </w:instrText>
        </w:r>
        <w:r w:rsidR="00C84401">
          <w:rPr>
            <w:webHidden/>
          </w:rPr>
        </w:r>
        <w:r w:rsidR="00C84401">
          <w:rPr>
            <w:webHidden/>
          </w:rPr>
          <w:fldChar w:fldCharType="separate"/>
        </w:r>
        <w:r w:rsidR="00C84401">
          <w:rPr>
            <w:webHidden/>
          </w:rPr>
          <w:t>3</w:t>
        </w:r>
        <w:r w:rsidR="00C84401">
          <w:rPr>
            <w:webHidden/>
          </w:rPr>
          <w:fldChar w:fldCharType="end"/>
        </w:r>
      </w:hyperlink>
    </w:p>
    <w:p w14:paraId="5AE1A764" w14:textId="1520E369" w:rsidR="00C84401" w:rsidRDefault="00D55993">
      <w:pPr>
        <w:pStyle w:val="TOC2"/>
        <w:rPr>
          <w:lang w:eastAsia="cs-CZ"/>
        </w:rPr>
      </w:pPr>
      <w:hyperlink w:anchor="_Toc96349031" w:history="1">
        <w:r w:rsidR="00C84401" w:rsidRPr="0009719E">
          <w:rPr>
            <w:rStyle w:val="Hyperlink"/>
            <w:rFonts w:ascii="Times New Roman" w:hAnsi="Times New Roman" w:cs="Times New Roman"/>
          </w:rPr>
          <w:t>I.5</w:t>
        </w:r>
        <w:r w:rsidR="00C84401">
          <w:rPr>
            <w:lang w:eastAsia="cs-CZ"/>
          </w:rPr>
          <w:tab/>
        </w:r>
        <w:r w:rsidR="00C84401" w:rsidRPr="0009719E">
          <w:rPr>
            <w:rStyle w:val="Hyperlink"/>
            <w:rFonts w:ascii="Times New Roman" w:hAnsi="Times New Roman"/>
          </w:rPr>
          <w:t>Číslování a další pravidla</w:t>
        </w:r>
        <w:r w:rsidR="00C84401">
          <w:rPr>
            <w:webHidden/>
          </w:rPr>
          <w:tab/>
        </w:r>
        <w:r w:rsidR="00C84401">
          <w:rPr>
            <w:webHidden/>
          </w:rPr>
          <w:fldChar w:fldCharType="begin"/>
        </w:r>
        <w:r w:rsidR="00C84401">
          <w:rPr>
            <w:webHidden/>
          </w:rPr>
          <w:instrText xml:space="preserve"> PAGEREF _Toc96349031 \h </w:instrText>
        </w:r>
        <w:r w:rsidR="00C84401">
          <w:rPr>
            <w:webHidden/>
          </w:rPr>
        </w:r>
        <w:r w:rsidR="00C84401">
          <w:rPr>
            <w:webHidden/>
          </w:rPr>
          <w:fldChar w:fldCharType="separate"/>
        </w:r>
        <w:r w:rsidR="00C84401">
          <w:rPr>
            <w:webHidden/>
          </w:rPr>
          <w:t>3</w:t>
        </w:r>
        <w:r w:rsidR="00C84401">
          <w:rPr>
            <w:webHidden/>
          </w:rPr>
          <w:fldChar w:fldCharType="end"/>
        </w:r>
      </w:hyperlink>
    </w:p>
    <w:p w14:paraId="1DDF8331" w14:textId="1D22F138" w:rsidR="00C84401" w:rsidRDefault="00D55993">
      <w:pPr>
        <w:pStyle w:val="TOC2"/>
        <w:rPr>
          <w:lang w:eastAsia="cs-CZ"/>
        </w:rPr>
      </w:pPr>
      <w:hyperlink w:anchor="_Toc96349032" w:history="1">
        <w:r w:rsidR="00C84401" w:rsidRPr="0009719E">
          <w:rPr>
            <w:rStyle w:val="Hyperlink"/>
            <w:rFonts w:ascii="Times New Roman" w:hAnsi="Times New Roman" w:cs="Times New Roman"/>
          </w:rPr>
          <w:t>II.</w:t>
        </w:r>
        <w:r w:rsidR="00C84401">
          <w:rPr>
            <w:lang w:eastAsia="cs-CZ"/>
          </w:rPr>
          <w:tab/>
        </w:r>
        <w:r w:rsidR="00C84401" w:rsidRPr="0009719E">
          <w:rPr>
            <w:rStyle w:val="Hyperlink"/>
            <w:rFonts w:ascii="Times New Roman" w:hAnsi="Times New Roman"/>
          </w:rPr>
          <w:t>Pokyny týkající se vzorů</w:t>
        </w:r>
        <w:r w:rsidR="00C84401">
          <w:rPr>
            <w:webHidden/>
          </w:rPr>
          <w:tab/>
        </w:r>
        <w:r w:rsidR="00C84401">
          <w:rPr>
            <w:webHidden/>
          </w:rPr>
          <w:fldChar w:fldCharType="begin"/>
        </w:r>
        <w:r w:rsidR="00C84401">
          <w:rPr>
            <w:webHidden/>
          </w:rPr>
          <w:instrText xml:space="preserve"> PAGEREF _Toc96349032 \h </w:instrText>
        </w:r>
        <w:r w:rsidR="00C84401">
          <w:rPr>
            <w:webHidden/>
          </w:rPr>
        </w:r>
        <w:r w:rsidR="00C84401">
          <w:rPr>
            <w:webHidden/>
          </w:rPr>
          <w:fldChar w:fldCharType="separate"/>
        </w:r>
        <w:r w:rsidR="00C84401">
          <w:rPr>
            <w:webHidden/>
          </w:rPr>
          <w:t>4</w:t>
        </w:r>
        <w:r w:rsidR="00C84401">
          <w:rPr>
            <w:webHidden/>
          </w:rPr>
          <w:fldChar w:fldCharType="end"/>
        </w:r>
      </w:hyperlink>
    </w:p>
    <w:p w14:paraId="22B8BCCE" w14:textId="0F0CDD63" w:rsidR="00C84401" w:rsidRDefault="00D55993">
      <w:pPr>
        <w:pStyle w:val="TOC2"/>
        <w:rPr>
          <w:lang w:eastAsia="cs-CZ"/>
        </w:rPr>
      </w:pPr>
      <w:hyperlink w:anchor="_Toc96349033" w:history="1">
        <w:r w:rsidR="00C84401" w:rsidRPr="0009719E">
          <w:rPr>
            <w:rStyle w:val="Hyperlink"/>
            <w:rFonts w:ascii="Times New Roman" w:hAnsi="Times New Roman" w:cs="Times New Roman"/>
          </w:rPr>
          <w:t>II.1</w:t>
        </w:r>
        <w:r w:rsidR="00C84401">
          <w:rPr>
            <w:lang w:eastAsia="cs-CZ"/>
          </w:rPr>
          <w:tab/>
        </w:r>
        <w:r w:rsidR="00C84401" w:rsidRPr="0009719E">
          <w:rPr>
            <w:rStyle w:val="Hyperlink"/>
            <w:rFonts w:ascii="Times New Roman" w:hAnsi="Times New Roman"/>
          </w:rPr>
          <w:t>Z 01.00 – Organizační struktura (ORG)</w:t>
        </w:r>
        <w:r w:rsidR="00C84401">
          <w:rPr>
            <w:webHidden/>
          </w:rPr>
          <w:tab/>
        </w:r>
        <w:r w:rsidR="00C84401">
          <w:rPr>
            <w:webHidden/>
          </w:rPr>
          <w:fldChar w:fldCharType="begin"/>
        </w:r>
        <w:r w:rsidR="00C84401">
          <w:rPr>
            <w:webHidden/>
          </w:rPr>
          <w:instrText xml:space="preserve"> PAGEREF _Toc96349033 \h </w:instrText>
        </w:r>
        <w:r w:rsidR="00C84401">
          <w:rPr>
            <w:webHidden/>
          </w:rPr>
        </w:r>
        <w:r w:rsidR="00C84401">
          <w:rPr>
            <w:webHidden/>
          </w:rPr>
          <w:fldChar w:fldCharType="separate"/>
        </w:r>
        <w:r w:rsidR="00C84401">
          <w:rPr>
            <w:webHidden/>
          </w:rPr>
          <w:t>4</w:t>
        </w:r>
        <w:r w:rsidR="00C84401">
          <w:rPr>
            <w:webHidden/>
          </w:rPr>
          <w:fldChar w:fldCharType="end"/>
        </w:r>
      </w:hyperlink>
    </w:p>
    <w:p w14:paraId="242FE1AF" w14:textId="6CC721BE" w:rsidR="00C84401" w:rsidRDefault="00D55993">
      <w:pPr>
        <w:pStyle w:val="TOC2"/>
        <w:rPr>
          <w:lang w:eastAsia="cs-CZ"/>
        </w:rPr>
      </w:pPr>
      <w:hyperlink w:anchor="_Toc96349034" w:history="1">
        <w:r w:rsidR="00C84401" w:rsidRPr="0009719E">
          <w:rPr>
            <w:rStyle w:val="Hyperlink"/>
            <w:rFonts w:ascii="Times New Roman" w:hAnsi="Times New Roman" w:cs="Times New Roman"/>
          </w:rPr>
          <w:t>II.2</w:t>
        </w:r>
        <w:r w:rsidR="00C84401">
          <w:rPr>
            <w:lang w:eastAsia="cs-CZ"/>
          </w:rPr>
          <w:tab/>
        </w:r>
        <w:r w:rsidR="00C84401" w:rsidRPr="0009719E">
          <w:rPr>
            <w:rStyle w:val="Hyperlink"/>
            <w:rFonts w:ascii="Times New Roman" w:hAnsi="Times New Roman"/>
          </w:rPr>
          <w:t>Z 02.00 – Struktura pasiv (LIAB)</w:t>
        </w:r>
        <w:r w:rsidR="00C84401">
          <w:rPr>
            <w:webHidden/>
          </w:rPr>
          <w:tab/>
        </w:r>
        <w:r w:rsidR="00C84401">
          <w:rPr>
            <w:webHidden/>
          </w:rPr>
          <w:fldChar w:fldCharType="begin"/>
        </w:r>
        <w:r w:rsidR="00C84401">
          <w:rPr>
            <w:webHidden/>
          </w:rPr>
          <w:instrText xml:space="preserve"> PAGEREF _Toc96349034 \h </w:instrText>
        </w:r>
        <w:r w:rsidR="00C84401">
          <w:rPr>
            <w:webHidden/>
          </w:rPr>
        </w:r>
        <w:r w:rsidR="00C84401">
          <w:rPr>
            <w:webHidden/>
          </w:rPr>
          <w:fldChar w:fldCharType="separate"/>
        </w:r>
        <w:r w:rsidR="00C84401">
          <w:rPr>
            <w:webHidden/>
          </w:rPr>
          <w:t>7</w:t>
        </w:r>
        <w:r w:rsidR="00C84401">
          <w:rPr>
            <w:webHidden/>
          </w:rPr>
          <w:fldChar w:fldCharType="end"/>
        </w:r>
      </w:hyperlink>
    </w:p>
    <w:p w14:paraId="5BF1CEEA" w14:textId="5B12457A" w:rsidR="00C84401" w:rsidRDefault="00D55993">
      <w:pPr>
        <w:pStyle w:val="TOC2"/>
        <w:rPr>
          <w:lang w:eastAsia="cs-CZ"/>
        </w:rPr>
      </w:pPr>
      <w:hyperlink w:anchor="_Toc96349035" w:history="1">
        <w:r w:rsidR="00C84401" w:rsidRPr="0009719E">
          <w:rPr>
            <w:rStyle w:val="Hyperlink"/>
            <w:rFonts w:ascii="Times New Roman" w:hAnsi="Times New Roman" w:cs="Times New Roman"/>
          </w:rPr>
          <w:t>II.3</w:t>
        </w:r>
        <w:r w:rsidR="00C84401">
          <w:rPr>
            <w:lang w:eastAsia="cs-CZ"/>
          </w:rPr>
          <w:tab/>
        </w:r>
        <w:r w:rsidR="00C84401" w:rsidRPr="0009719E">
          <w:rPr>
            <w:rStyle w:val="Hyperlink"/>
            <w:rFonts w:ascii="Times New Roman" w:hAnsi="Times New Roman"/>
          </w:rPr>
          <w:t>Z 03.00 – Kapitálové požadavky (OWN)</w:t>
        </w:r>
        <w:r w:rsidR="00C84401">
          <w:rPr>
            <w:webHidden/>
          </w:rPr>
          <w:tab/>
        </w:r>
        <w:r w:rsidR="00C84401">
          <w:rPr>
            <w:webHidden/>
          </w:rPr>
          <w:fldChar w:fldCharType="begin"/>
        </w:r>
        <w:r w:rsidR="00C84401">
          <w:rPr>
            <w:webHidden/>
          </w:rPr>
          <w:instrText xml:space="preserve"> PAGEREF _Toc96349035 \h </w:instrText>
        </w:r>
        <w:r w:rsidR="00C84401">
          <w:rPr>
            <w:webHidden/>
          </w:rPr>
        </w:r>
        <w:r w:rsidR="00C84401">
          <w:rPr>
            <w:webHidden/>
          </w:rPr>
          <w:fldChar w:fldCharType="separate"/>
        </w:r>
        <w:r w:rsidR="00C84401">
          <w:rPr>
            <w:webHidden/>
          </w:rPr>
          <w:t>14</w:t>
        </w:r>
        <w:r w:rsidR="00C84401">
          <w:rPr>
            <w:webHidden/>
          </w:rPr>
          <w:fldChar w:fldCharType="end"/>
        </w:r>
      </w:hyperlink>
    </w:p>
    <w:p w14:paraId="669BC6C4" w14:textId="0EF69FDE" w:rsidR="00C84401" w:rsidRDefault="00D55993">
      <w:pPr>
        <w:pStyle w:val="TOC2"/>
        <w:rPr>
          <w:lang w:eastAsia="cs-CZ"/>
        </w:rPr>
      </w:pPr>
      <w:hyperlink w:anchor="_Toc96349036" w:history="1">
        <w:r w:rsidR="00C84401" w:rsidRPr="0009719E">
          <w:rPr>
            <w:rStyle w:val="Hyperlink"/>
            <w:rFonts w:ascii="Times New Roman" w:hAnsi="Times New Roman" w:cs="Times New Roman"/>
          </w:rPr>
          <w:t>II.4</w:t>
        </w:r>
        <w:r w:rsidR="00C84401">
          <w:rPr>
            <w:lang w:eastAsia="cs-CZ"/>
          </w:rPr>
          <w:tab/>
        </w:r>
        <w:r w:rsidR="00C84401" w:rsidRPr="0009719E">
          <w:rPr>
            <w:rStyle w:val="Hyperlink"/>
            <w:rFonts w:ascii="Times New Roman" w:hAnsi="Times New Roman"/>
          </w:rPr>
          <w:t>Z 04.00 – Finanční propojení v rámci skupiny (IFC)</w:t>
        </w:r>
        <w:r w:rsidR="00C84401">
          <w:rPr>
            <w:webHidden/>
          </w:rPr>
          <w:tab/>
        </w:r>
        <w:r w:rsidR="00C84401">
          <w:rPr>
            <w:webHidden/>
          </w:rPr>
          <w:fldChar w:fldCharType="begin"/>
        </w:r>
        <w:r w:rsidR="00C84401">
          <w:rPr>
            <w:webHidden/>
          </w:rPr>
          <w:instrText xml:space="preserve"> PAGEREF _Toc96349036 \h </w:instrText>
        </w:r>
        <w:r w:rsidR="00C84401">
          <w:rPr>
            <w:webHidden/>
          </w:rPr>
        </w:r>
        <w:r w:rsidR="00C84401">
          <w:rPr>
            <w:webHidden/>
          </w:rPr>
          <w:fldChar w:fldCharType="separate"/>
        </w:r>
        <w:r w:rsidR="00C84401">
          <w:rPr>
            <w:webHidden/>
          </w:rPr>
          <w:t>18</w:t>
        </w:r>
        <w:r w:rsidR="00C84401">
          <w:rPr>
            <w:webHidden/>
          </w:rPr>
          <w:fldChar w:fldCharType="end"/>
        </w:r>
      </w:hyperlink>
    </w:p>
    <w:p w14:paraId="01252C4B" w14:textId="13CD5E42" w:rsidR="00C84401" w:rsidRDefault="00D55993">
      <w:pPr>
        <w:pStyle w:val="TOC2"/>
        <w:rPr>
          <w:lang w:eastAsia="cs-CZ"/>
        </w:rPr>
      </w:pPr>
      <w:hyperlink w:anchor="_Toc96349037" w:history="1">
        <w:r w:rsidR="00C84401" w:rsidRPr="0009719E">
          <w:rPr>
            <w:rStyle w:val="Hyperlink"/>
            <w:rFonts w:ascii="Times New Roman" w:hAnsi="Times New Roman" w:cs="Times New Roman"/>
          </w:rPr>
          <w:t>II.5</w:t>
        </w:r>
        <w:r w:rsidR="00C84401">
          <w:rPr>
            <w:lang w:eastAsia="cs-CZ"/>
          </w:rPr>
          <w:tab/>
        </w:r>
        <w:r w:rsidR="00C84401" w:rsidRPr="0009719E">
          <w:rPr>
            <w:rStyle w:val="Hyperlink"/>
            <w:rFonts w:ascii="Times New Roman" w:hAnsi="Times New Roman"/>
          </w:rPr>
          <w:t>Z 05.01 a Z 05.02 - Hlavní protistrany (MCP)</w:t>
        </w:r>
        <w:r w:rsidR="00C84401">
          <w:rPr>
            <w:webHidden/>
          </w:rPr>
          <w:tab/>
        </w:r>
        <w:r w:rsidR="00C84401">
          <w:rPr>
            <w:webHidden/>
          </w:rPr>
          <w:fldChar w:fldCharType="begin"/>
        </w:r>
        <w:r w:rsidR="00C84401">
          <w:rPr>
            <w:webHidden/>
          </w:rPr>
          <w:instrText xml:space="preserve"> PAGEREF _Toc96349037 \h </w:instrText>
        </w:r>
        <w:r w:rsidR="00C84401">
          <w:rPr>
            <w:webHidden/>
          </w:rPr>
        </w:r>
        <w:r w:rsidR="00C84401">
          <w:rPr>
            <w:webHidden/>
          </w:rPr>
          <w:fldChar w:fldCharType="separate"/>
        </w:r>
        <w:r w:rsidR="00C84401">
          <w:rPr>
            <w:webHidden/>
          </w:rPr>
          <w:t>19</w:t>
        </w:r>
        <w:r w:rsidR="00C84401">
          <w:rPr>
            <w:webHidden/>
          </w:rPr>
          <w:fldChar w:fldCharType="end"/>
        </w:r>
      </w:hyperlink>
    </w:p>
    <w:p w14:paraId="0A20D99E" w14:textId="2433A5E9" w:rsidR="00C84401" w:rsidRDefault="00D55993">
      <w:pPr>
        <w:pStyle w:val="TOC2"/>
        <w:rPr>
          <w:lang w:eastAsia="cs-CZ"/>
        </w:rPr>
      </w:pPr>
      <w:hyperlink w:anchor="_Toc96349038" w:history="1">
        <w:r w:rsidR="00C84401" w:rsidRPr="0009719E">
          <w:rPr>
            <w:rStyle w:val="Hyperlink"/>
            <w:rFonts w:ascii="Times New Roman" w:hAnsi="Times New Roman" w:cs="Times New Roman"/>
          </w:rPr>
          <w:t>II.6</w:t>
        </w:r>
        <w:r w:rsidR="00C84401">
          <w:rPr>
            <w:lang w:eastAsia="cs-CZ"/>
          </w:rPr>
          <w:tab/>
        </w:r>
        <w:r w:rsidR="00C84401" w:rsidRPr="0009719E">
          <w:rPr>
            <w:rStyle w:val="Hyperlink"/>
            <w:rFonts w:ascii="Times New Roman" w:hAnsi="Times New Roman"/>
          </w:rPr>
          <w:t>Z 06.00 – Pojištění vkladů (Z-DIS)</w:t>
        </w:r>
        <w:r w:rsidR="00C84401">
          <w:rPr>
            <w:webHidden/>
          </w:rPr>
          <w:tab/>
        </w:r>
        <w:r w:rsidR="00C84401">
          <w:rPr>
            <w:webHidden/>
          </w:rPr>
          <w:fldChar w:fldCharType="begin"/>
        </w:r>
        <w:r w:rsidR="00C84401">
          <w:rPr>
            <w:webHidden/>
          </w:rPr>
          <w:instrText xml:space="preserve"> PAGEREF _Toc96349038 \h </w:instrText>
        </w:r>
        <w:r w:rsidR="00C84401">
          <w:rPr>
            <w:webHidden/>
          </w:rPr>
        </w:r>
        <w:r w:rsidR="00C84401">
          <w:rPr>
            <w:webHidden/>
          </w:rPr>
          <w:fldChar w:fldCharType="separate"/>
        </w:r>
        <w:r w:rsidR="00C84401">
          <w:rPr>
            <w:webHidden/>
          </w:rPr>
          <w:t>22</w:t>
        </w:r>
        <w:r w:rsidR="00C84401">
          <w:rPr>
            <w:webHidden/>
          </w:rPr>
          <w:fldChar w:fldCharType="end"/>
        </w:r>
      </w:hyperlink>
    </w:p>
    <w:p w14:paraId="294947DC" w14:textId="669C7C4E" w:rsidR="00C84401" w:rsidRDefault="00D55993">
      <w:pPr>
        <w:pStyle w:val="TOC2"/>
        <w:rPr>
          <w:lang w:eastAsia="cs-CZ"/>
        </w:rPr>
      </w:pPr>
      <w:hyperlink w:anchor="_Toc96349039" w:history="1">
        <w:r w:rsidR="00C84401" w:rsidRPr="0009719E">
          <w:rPr>
            <w:rStyle w:val="Hyperlink"/>
            <w:rFonts w:ascii="Times New Roman" w:hAnsi="Times New Roman" w:cs="Times New Roman"/>
          </w:rPr>
          <w:t>II.7</w:t>
        </w:r>
        <w:r w:rsidR="00C84401">
          <w:rPr>
            <w:lang w:eastAsia="cs-CZ"/>
          </w:rPr>
          <w:tab/>
        </w:r>
        <w:r w:rsidR="00C84401" w:rsidRPr="0009719E">
          <w:rPr>
            <w:rStyle w:val="Hyperlink"/>
            <w:rFonts w:ascii="Times New Roman" w:hAnsi="Times New Roman"/>
          </w:rPr>
          <w:t>Zásadní funkce a hlavní linie podnikání</w:t>
        </w:r>
        <w:r w:rsidR="00C84401">
          <w:rPr>
            <w:webHidden/>
          </w:rPr>
          <w:tab/>
        </w:r>
        <w:r w:rsidR="00C84401">
          <w:rPr>
            <w:webHidden/>
          </w:rPr>
          <w:fldChar w:fldCharType="begin"/>
        </w:r>
        <w:r w:rsidR="00C84401">
          <w:rPr>
            <w:webHidden/>
          </w:rPr>
          <w:instrText xml:space="preserve"> PAGEREF _Toc96349039 \h </w:instrText>
        </w:r>
        <w:r w:rsidR="00C84401">
          <w:rPr>
            <w:webHidden/>
          </w:rPr>
        </w:r>
        <w:r w:rsidR="00C84401">
          <w:rPr>
            <w:webHidden/>
          </w:rPr>
          <w:fldChar w:fldCharType="separate"/>
        </w:r>
        <w:r w:rsidR="00C84401">
          <w:rPr>
            <w:webHidden/>
          </w:rPr>
          <w:t>25</w:t>
        </w:r>
        <w:r w:rsidR="00C84401">
          <w:rPr>
            <w:webHidden/>
          </w:rPr>
          <w:fldChar w:fldCharType="end"/>
        </w:r>
      </w:hyperlink>
    </w:p>
    <w:p w14:paraId="7B569082" w14:textId="32EEE45A" w:rsidR="00C84401" w:rsidRDefault="00D55993">
      <w:pPr>
        <w:pStyle w:val="TOC2"/>
        <w:rPr>
          <w:lang w:eastAsia="cs-CZ"/>
        </w:rPr>
      </w:pPr>
      <w:hyperlink w:anchor="_Toc96349040" w:history="1">
        <w:r w:rsidR="00C84401" w:rsidRPr="0009719E">
          <w:rPr>
            <w:rStyle w:val="Hyperlink"/>
            <w:rFonts w:ascii="Times New Roman" w:hAnsi="Times New Roman" w:cs="Times New Roman"/>
          </w:rPr>
          <w:t>II.8</w:t>
        </w:r>
        <w:r w:rsidR="00C84401">
          <w:rPr>
            <w:lang w:eastAsia="cs-CZ"/>
          </w:rPr>
          <w:tab/>
        </w:r>
        <w:r w:rsidR="00C84401" w:rsidRPr="0009719E">
          <w:rPr>
            <w:rStyle w:val="Hyperlink"/>
            <w:rFonts w:ascii="Times New Roman" w:hAnsi="Times New Roman"/>
          </w:rPr>
          <w:t>Z 08.00 – Klíčové služby (SERV)</w:t>
        </w:r>
        <w:r w:rsidR="00C84401">
          <w:rPr>
            <w:webHidden/>
          </w:rPr>
          <w:tab/>
        </w:r>
        <w:r w:rsidR="00C84401">
          <w:rPr>
            <w:webHidden/>
          </w:rPr>
          <w:fldChar w:fldCharType="begin"/>
        </w:r>
        <w:r w:rsidR="00C84401">
          <w:rPr>
            <w:webHidden/>
          </w:rPr>
          <w:instrText xml:space="preserve"> PAGEREF _Toc96349040 \h </w:instrText>
        </w:r>
        <w:r w:rsidR="00C84401">
          <w:rPr>
            <w:webHidden/>
          </w:rPr>
        </w:r>
        <w:r w:rsidR="00C84401">
          <w:rPr>
            <w:webHidden/>
          </w:rPr>
          <w:fldChar w:fldCharType="separate"/>
        </w:r>
        <w:r w:rsidR="00C84401">
          <w:rPr>
            <w:webHidden/>
          </w:rPr>
          <w:t>34</w:t>
        </w:r>
        <w:r w:rsidR="00C84401">
          <w:rPr>
            <w:webHidden/>
          </w:rPr>
          <w:fldChar w:fldCharType="end"/>
        </w:r>
      </w:hyperlink>
    </w:p>
    <w:p w14:paraId="42F2BBA8" w14:textId="1186B9DF" w:rsidR="00C84401" w:rsidRDefault="00D55993">
      <w:pPr>
        <w:pStyle w:val="TOC2"/>
        <w:rPr>
          <w:lang w:eastAsia="cs-CZ"/>
        </w:rPr>
      </w:pPr>
      <w:hyperlink w:anchor="_Toc96349041" w:history="1">
        <w:r w:rsidR="00C84401" w:rsidRPr="0009719E">
          <w:rPr>
            <w:rStyle w:val="Hyperlink"/>
            <w:rFonts w:ascii="Times New Roman" w:hAnsi="Times New Roman" w:cs="Times New Roman"/>
          </w:rPr>
          <w:t>II.9</w:t>
        </w:r>
        <w:r w:rsidR="00C84401">
          <w:rPr>
            <w:lang w:eastAsia="cs-CZ"/>
          </w:rPr>
          <w:tab/>
        </w:r>
        <w:r w:rsidR="00C84401" w:rsidRPr="0009719E">
          <w:rPr>
            <w:rStyle w:val="Hyperlink"/>
            <w:rFonts w:ascii="Times New Roman" w:hAnsi="Times New Roman"/>
          </w:rPr>
          <w:t>Z 09.00 – Klíčové služby infrastruktury finančních trhů – Poskytovatelé a uživatelé – Zmapování podle zásadních funkcí</w:t>
        </w:r>
        <w:r w:rsidR="00C84401">
          <w:rPr>
            <w:webHidden/>
          </w:rPr>
          <w:tab/>
        </w:r>
        <w:r w:rsidR="00C84401">
          <w:rPr>
            <w:webHidden/>
          </w:rPr>
          <w:fldChar w:fldCharType="begin"/>
        </w:r>
        <w:r w:rsidR="00C84401">
          <w:rPr>
            <w:webHidden/>
          </w:rPr>
          <w:instrText xml:space="preserve"> PAGEREF _Toc96349041 \h </w:instrText>
        </w:r>
        <w:r w:rsidR="00C84401">
          <w:rPr>
            <w:webHidden/>
          </w:rPr>
        </w:r>
        <w:r w:rsidR="00C84401">
          <w:rPr>
            <w:webHidden/>
          </w:rPr>
          <w:fldChar w:fldCharType="separate"/>
        </w:r>
        <w:r w:rsidR="00C84401">
          <w:rPr>
            <w:webHidden/>
          </w:rPr>
          <w:t>37</w:t>
        </w:r>
        <w:r w:rsidR="00C84401">
          <w:rPr>
            <w:webHidden/>
          </w:rPr>
          <w:fldChar w:fldCharType="end"/>
        </w:r>
      </w:hyperlink>
    </w:p>
    <w:p w14:paraId="7515F7F7" w14:textId="6785EDEB" w:rsidR="00C84401" w:rsidRDefault="00D55993">
      <w:pPr>
        <w:pStyle w:val="TOC2"/>
        <w:rPr>
          <w:lang w:eastAsia="cs-CZ"/>
        </w:rPr>
      </w:pPr>
      <w:hyperlink w:anchor="_Toc96349042" w:history="1">
        <w:r w:rsidR="00C84401" w:rsidRPr="0009719E">
          <w:rPr>
            <w:rStyle w:val="Hyperlink"/>
            <w:rFonts w:ascii="Times New Roman" w:hAnsi="Times New Roman" w:cs="Times New Roman"/>
          </w:rPr>
          <w:t>II.10</w:t>
        </w:r>
        <w:r w:rsidR="00C84401">
          <w:rPr>
            <w:lang w:eastAsia="cs-CZ"/>
          </w:rPr>
          <w:tab/>
        </w:r>
        <w:r w:rsidR="00C84401" w:rsidRPr="0009719E">
          <w:rPr>
            <w:rStyle w:val="Hyperlink"/>
            <w:rFonts w:ascii="Times New Roman" w:hAnsi="Times New Roman"/>
          </w:rPr>
          <w:t>Klíčové informační systémy</w:t>
        </w:r>
        <w:r w:rsidR="00C84401">
          <w:rPr>
            <w:webHidden/>
          </w:rPr>
          <w:tab/>
        </w:r>
        <w:r w:rsidR="00C84401">
          <w:rPr>
            <w:webHidden/>
          </w:rPr>
          <w:fldChar w:fldCharType="begin"/>
        </w:r>
        <w:r w:rsidR="00C84401">
          <w:rPr>
            <w:webHidden/>
          </w:rPr>
          <w:instrText xml:space="preserve"> PAGEREF _Toc96349042 \h </w:instrText>
        </w:r>
        <w:r w:rsidR="00C84401">
          <w:rPr>
            <w:webHidden/>
          </w:rPr>
        </w:r>
        <w:r w:rsidR="00C84401">
          <w:rPr>
            <w:webHidden/>
          </w:rPr>
          <w:fldChar w:fldCharType="separate"/>
        </w:r>
        <w:r w:rsidR="00C84401">
          <w:rPr>
            <w:webHidden/>
          </w:rPr>
          <w:t>39</w:t>
        </w:r>
        <w:r w:rsidR="00C84401">
          <w:rPr>
            <w:webHidden/>
          </w:rPr>
          <w:fldChar w:fldCharType="end"/>
        </w:r>
      </w:hyperlink>
    </w:p>
    <w:p w14:paraId="04631A3A" w14:textId="330BCD40"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6349026"/>
      <w:r>
        <w:rPr>
          <w:rFonts w:ascii="Times New Roman" w:hAnsi="Times New Roman"/>
          <w:szCs w:val="20"/>
        </w:rPr>
        <w:lastRenderedPageBreak/>
        <w:t>Obecné pokyny</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6349027"/>
      <w:r>
        <w:rPr>
          <w:rFonts w:ascii="Times New Roman" w:hAnsi="Times New Roman"/>
          <w:szCs w:val="20"/>
        </w:rPr>
        <w:t>Struktura</w:t>
      </w:r>
      <w:bookmarkEnd w:id="3"/>
    </w:p>
    <w:p w14:paraId="4B1CB2EA"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Tento rámec se skládá z 15 vzorů rozdělených do 3 bloků:</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„Všeobecné informace“, které uvádějí přehled organizační struktury skupiny a jejích subjektů, distribuci aktiv a objemy rizikových expozic. Tento blok zahrnuje vzor „Z 01.00 – Organizační struktura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„Informace o rozvahových položkách a podrozvahových položkách“, které uvádějí finanční údaje o pasivech, kapitálu, finančním propojení mezi subjekty skupiny, závazcích vůči hlavním protistranám a podrozvahových položkách přijatých od hlavních protistran a pojištění vkladů. Tento blok se skládá z 6 vzorů:</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Struktura pasiv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Kapitálové požadavky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Finanční propojení v rámci skupiny (IFC)“;</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Dva vzory o hlavních protistranách „Z 05.01 – Závazky vůči hlavním protistranám (Z-MCP 1)“ a „Z 05.02 – Podrozvahové položky od hlavních protistran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Pojištění vkladů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„Zásadní funkce“, které poskytují přehled zásadních funkcí a mapují je podle právních subjektů, hlavních linií podnikání, klíčových služeb, infrastruktury finančních trhů a informačních systémů. Tento blok se skládá ze 7 vzorů:</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vzory pro identifikaci zásadních funkcí a jejich zmapování podle hlavních linií podnikání a subjektů skupiny „Z 07.01 – Kritické posouzení ekonomických funkcí (Z-FUNC 1)“, „Z 07.02 – Zmapování zásadních funkcí podle právních subjektů (Z-FUNC 2)“, „Z 07.03 – Zmapování hlavních linií podnikání podle právních subjektů (Z-FUNC 3)“ a „Z 07.04 – Zmapování zásadních funkcí podle hlavních linií podnikání (Z-FUNC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Klíčové služby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Služby infrastruktury finančních trhů – Poskytovatelé a uživatelé – Zmapování podle zásadních funkcí (Z-FMI)“;</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vzory pro klíčové informační systémy „Z 10.01 – Klíčové informační systémy (všeobecné informace) (Z-CIS 1)“ a „Z 10.02 – Zmapování informačních systémů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6349028"/>
      <w:r>
        <w:rPr>
          <w:rFonts w:ascii="Times New Roman" w:hAnsi="Times New Roman"/>
          <w:szCs w:val="20"/>
        </w:rPr>
        <w:t>Odkazy</w:t>
      </w:r>
      <w:bookmarkEnd w:id="4"/>
    </w:p>
    <w:p w14:paraId="3427A58A" w14:textId="77777777" w:rsidR="00C93D9F" w:rsidRPr="00D92B3C" w:rsidRDefault="00C93D9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Pro účely této přílohy se používají tyto zkratky:</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„BCBS“ se rozumí Basilejský výbor pro bankovní dohled při Bance pro mezinárodní platby;</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„CPMI“ se rozumí Výbor pro platební styk a tržní infrastrukturu při Bance pro mezinárodní platby;</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lastRenderedPageBreak/>
        <w:t>„FINREP“ se rozumí vzory finančních informací uvedené v přílohách III a IV prováděcího nařízení Komise (EU) 2021/451</w:t>
      </w:r>
      <w:r>
        <w:rPr>
          <w:rStyle w:val="FootnoteReference"/>
          <w:rFonts w:ascii="Times New Roman" w:hAnsi="Times New Roman"/>
          <w:sz w:val="20"/>
          <w:szCs w:val="20"/>
        </w:rPr>
        <w:footnoteReference w:id="1"/>
      </w:r>
      <w:r>
        <w:rPr>
          <w:rFonts w:ascii="Times New Roman" w:hAnsi="Times New Roman"/>
          <w:color w:val="000000" w:themeColor="text1"/>
          <w:sz w:val="20"/>
          <w:szCs w:val="20"/>
        </w:rPr>
        <w:t xml:space="preserve"> a doplňující pokyny uvedené v příloze V zmíněného prováděcího nařízení;</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se rozumí přílohy I (vzory) a II (pokyny) prováděcího nařízení Komise (EU) 2021/451;</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se rozumí přílohy X (vzory) a XI (pokyny) prováděcího nařízení Komise (EU) 2021/451;</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„FSB“ se rozumí Rada pro finanční stabilitu;</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„IAS“ se rozumí „</w:t>
      </w:r>
      <w:r>
        <w:rPr>
          <w:rFonts w:ascii="Times New Roman" w:hAnsi="Times New Roman"/>
          <w:i/>
          <w:iCs/>
          <w:color w:val="000000" w:themeColor="text1"/>
          <w:sz w:val="20"/>
          <w:szCs w:val="20"/>
        </w:rPr>
        <w:t>International Accounting Standards</w:t>
      </w:r>
      <w:r>
        <w:rPr>
          <w:rFonts w:ascii="Times New Roman" w:hAnsi="Times New Roman"/>
          <w:color w:val="000000" w:themeColor="text1"/>
          <w:sz w:val="20"/>
          <w:szCs w:val="20"/>
        </w:rPr>
        <w:t>“ uvedené v článku 2 nařízení Evropského parlamentu a Rady (ES) č. 1606/2002</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„IFRS“ se rozumí „</w:t>
      </w:r>
      <w:r>
        <w:rPr>
          <w:rFonts w:ascii="Times New Roman" w:hAnsi="Times New Roman"/>
          <w:i/>
          <w:iCs/>
          <w:color w:val="000000" w:themeColor="text1"/>
          <w:sz w:val="20"/>
          <w:szCs w:val="20"/>
        </w:rPr>
        <w:t>International Financial Reporting Standards</w:t>
      </w:r>
      <w:r>
        <w:rPr>
          <w:rFonts w:ascii="Times New Roman" w:hAnsi="Times New Roman"/>
          <w:color w:val="000000" w:themeColor="text1"/>
          <w:sz w:val="20"/>
          <w:szCs w:val="20"/>
        </w:rPr>
        <w:t>“ uvedené v článku 2 nařízení (EU) č. 1606/2002;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„kódem LEI“ se rozumí identifikační kód právnické osoby</w:t>
      </w:r>
      <w:r>
        <w:rPr>
          <w:rStyle w:val="FootnoteReference"/>
          <w:color w:val="000000" w:themeColor="text1"/>
          <w:lang w:eastAsia="en-GB"/>
        </w:rPr>
        <w:footnoteReference w:id="3"/>
      </w:r>
      <w:r>
        <w:rPr>
          <w:rFonts w:ascii="Times New Roman" w:hAnsi="Times New Roman"/>
          <w:color w:val="000000" w:themeColor="text1"/>
          <w:sz w:val="20"/>
          <w:szCs w:val="20"/>
        </w:rPr>
        <w:t>. Pokud pro danou protistranu existuje identifikační kód právnické osoby (kód LEI), používá se pro identifikaci této protistrany;</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„nGAAP“ neboli „vnitrostátními obecně uznávanými účetními zásadami“ se rozumí vnitrostátní účetní rámce vypracované podle směrnice Rady 86/635/EHS</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6349029"/>
      <w:r>
        <w:rPr>
          <w:rFonts w:ascii="Times New Roman" w:hAnsi="Times New Roman"/>
          <w:szCs w:val="20"/>
        </w:rPr>
        <w:t>Účetní standardy</w:t>
      </w:r>
      <w:bookmarkEnd w:id="5"/>
    </w:p>
    <w:p w14:paraId="26A186EE" w14:textId="6735A3AF" w:rsidR="002B2A61" w:rsidRPr="00D52306" w:rsidRDefault="00A7596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Pokud není v této příloze uvedeno jinak, vykazují instituce všechny částky na základě účetního rámce, který používají pro vykazování finančních údajů v souladu s články 9 až 11 prováděcího nařízení (EU) 2021/451. Instituce, které nemusí vykazovat finanční údaje podle uvedeného nařízení, uplatňují pravidla podle svého příslušného účetního rámce. </w:t>
      </w:r>
    </w:p>
    <w:p w14:paraId="1DC21228" w14:textId="77777777" w:rsidR="002B2A61" w:rsidRPr="00D92B3C" w:rsidRDefault="002B2A6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institucí, které vykazují finanční údaje podle mezinárodních standardů účetního výkaznictví (IFRS), byly vloženy odkazy na příslušné standardy IFRS.</w:t>
      </w:r>
    </w:p>
    <w:p w14:paraId="393F5D20" w14:textId="77777777"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6349030"/>
      <w:r>
        <w:rPr>
          <w:rFonts w:ascii="Times New Roman" w:hAnsi="Times New Roman"/>
          <w:szCs w:val="20"/>
        </w:rPr>
        <w:t>Rozsah konsolidace</w:t>
      </w:r>
      <w:bookmarkEnd w:id="6"/>
    </w:p>
    <w:p w14:paraId="4EE4713C" w14:textId="77777777" w:rsidR="00CF3051" w:rsidRPr="00044142" w:rsidRDefault="00883A6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Tento rámec se v závislosti na vzoru vztahuje na:</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konsolidaci na základě účetní konsolidace (subjekty zařazené do konsolidovaných účetních závěrek v souladu s platným účetním rámcem);</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obezřetnostní konsolidaci (subjekty v rámci konsolidace podle části první hlavy II kapitoly 2 nařízení Evropského parlamentu a Rady (EU) č. 575/2013</w:t>
      </w:r>
      <w:r>
        <w:rPr>
          <w:rStyle w:val="FootnoteReference"/>
          <w:rFonts w:ascii="Times New Roman" w:hAnsi="Times New Roman"/>
          <w:sz w:val="20"/>
          <w:szCs w:val="20"/>
        </w:rPr>
        <w:footnoteReference w:id="5"/>
      </w:r>
      <w:r>
        <w:rPr>
          <w:rFonts w:ascii="Times New Roman" w:hAnsi="Times New Roman"/>
          <w:sz w:val="20"/>
          <w:szCs w:val="20"/>
        </w:rPr>
        <w:t xml:space="preserve">) na úrovni mateřské společnosti v Unii; </w:t>
      </w:r>
    </w:p>
    <w:p w14:paraId="710CF36D" w14:textId="77777777" w:rsidR="00CF3051" w:rsidRPr="00BF16D7"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Pr>
          <w:rFonts w:ascii="Times New Roman" w:hAnsi="Times New Roman"/>
          <w:sz w:val="20"/>
          <w:szCs w:val="20"/>
        </w:rPr>
        <w:t>konsolidaci na úrovni subjektu v režimu řešení krize pro skupinu v režimu řešení krize.</w:t>
      </w:r>
    </w:p>
    <w:p w14:paraId="18E37F81" w14:textId="77777777" w:rsidR="00883A6B" w:rsidRPr="00D92B3C" w:rsidRDefault="009E43E8"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každého vzoru dodržují instituce základ konsolidace nebo základy platné podle článku 4 tohoto nařízení.</w:t>
      </w:r>
    </w:p>
    <w:p w14:paraId="6A9F48B5" w14:textId="77777777"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6349031"/>
      <w:r>
        <w:rPr>
          <w:rFonts w:ascii="Times New Roman" w:hAnsi="Times New Roman"/>
          <w:szCs w:val="20"/>
        </w:rPr>
        <w:t>Číslování a další pravidla</w:t>
      </w:r>
      <w:bookmarkEnd w:id="7"/>
    </w:p>
    <w:p w14:paraId="7BB54794" w14:textId="3FE073C2" w:rsidR="00863EFA" w:rsidRDefault="00863EF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Pokyny v této příloze se řídí níže uvedenými pravidly označování, jež při odkazování na sloupce, řádky a buňky používají číselné kódy. Uvedené číselné kódy se běžně používají v pravidlech pro ověřování.</w:t>
      </w:r>
    </w:p>
    <w:p w14:paraId="2E0A7801" w14:textId="5A802496" w:rsidR="006A530F" w:rsidRPr="00D92B3C" w:rsidRDefault="006A530F" w:rsidP="00C21EAE">
      <w:pPr>
        <w:pStyle w:val="InstructionsText2"/>
        <w:numPr>
          <w:ilvl w:val="0"/>
          <w:numId w:val="0"/>
        </w:numPr>
        <w:spacing w:before="0"/>
        <w:ind w:left="714"/>
        <w:rPr>
          <w:rFonts w:ascii="Times New Roman" w:hAnsi="Times New Roman" w:cs="Times New Roman"/>
          <w:sz w:val="20"/>
          <w:szCs w:val="20"/>
        </w:rPr>
      </w:pPr>
      <w:r>
        <w:rPr>
          <w:rFonts w:ascii="Times New Roman" w:hAnsi="Times New Roman"/>
          <w:sz w:val="20"/>
          <w:szCs w:val="20"/>
        </w:rPr>
        <w:t>Používá se toto obecné označení:</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lastRenderedPageBreak/>
        <w:t>{Vzor;Řádek;Sloupec} pro odkazy na sloupce, řádky a buňky vzoru;</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{Řádek;Sloupec} v případě ověřování v rámci vzoru, kdy se používají pouze datové body tohoto vzoru, bez odkazu na vzor;</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{Vzor;Řádek}, má-li vzor pouze jeden sloupec, odkazuje se pouze na řádky;</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hvězdička se používá pro vyjádření, že ověření je provedeno pro dříve uvedené řádky nebo sloupce.</w:t>
      </w:r>
    </w:p>
    <w:p w14:paraId="2A20EA62" w14:textId="77777777" w:rsidR="00E857A0" w:rsidRPr="00D92B3C" w:rsidRDefault="00B343C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Pokud se některá položka nevztahuje na subjekty, za něž se výkaz předkládá, odpovídající pole se ponechá prázdné.</w:t>
      </w:r>
    </w:p>
    <w:p w14:paraId="4BCC85F8" w14:textId="0BABE322" w:rsidR="00E108B3" w:rsidRPr="00D92B3C" w:rsidRDefault="00E108B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Když pokyny v této příloze odkazují na hlavní klíč, znamená to sloupec nebo kombinaci sloupců určených k jedinečné identifikaci všech řádků vzoru. Hlavní klíč obsahuje jedinečnou hodnotu pro každý řádek vzoru. Nesmí obsahovat nulovou hodnotu.</w:t>
      </w:r>
    </w:p>
    <w:p w14:paraId="003C692B" w14:textId="77777777"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6349032"/>
      <w:r>
        <w:rPr>
          <w:rFonts w:ascii="Times New Roman" w:hAnsi="Times New Roman"/>
          <w:szCs w:val="20"/>
        </w:rPr>
        <w:t>Pokyny týkající se vzorů</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6349033"/>
      <w:bookmarkEnd w:id="10"/>
      <w:r>
        <w:rPr>
          <w:rFonts w:ascii="Times New Roman" w:hAnsi="Times New Roman"/>
          <w:szCs w:val="20"/>
        </w:rPr>
        <w:t>Z 01.00 – Organizační struktura (ORG)</w:t>
      </w:r>
      <w:bookmarkEnd w:id="11"/>
    </w:p>
    <w:p w14:paraId="677C5E01" w14:textId="77777777" w:rsidR="00E13CE3" w:rsidRPr="00D92B3C" w:rsidRDefault="00E13CE3" w:rsidP="00EC261B">
      <w:pPr>
        <w:pStyle w:val="Instructionsberschrift3"/>
      </w:pPr>
      <w:r>
        <w:t>Obecné poznámky</w:t>
      </w:r>
    </w:p>
    <w:p w14:paraId="292F4167" w14:textId="51475549" w:rsidR="00273F69"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Tento vzor poskytuje přehled právní a vlastnické struktury skupiny. Předkládá se jeden vzor pro všechny subjekty skupiny splňující minimální práh stanovený v čl. 4 odst. 2 písm. a) tohoto nařízení. V tomto vzoru se uvádějí pouze právní subjekty. </w:t>
      </w:r>
    </w:p>
    <w:p w14:paraId="14ECDB9F" w14:textId="77777777" w:rsidR="00E13CE3" w:rsidRPr="00D92B3C" w:rsidRDefault="00AF189E" w:rsidP="00EC261B">
      <w:pPr>
        <w:pStyle w:val="Instructionsberschrift3"/>
      </w:pPr>
      <w:r>
        <w:t>Pokyny týkající se konkrétních pozic</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818"/>
        <w:gridCol w:w="8208"/>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Sloupce</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Pokyny</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Subjekt</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Název</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Název subjektu. Úřední název, jak je uveden ve statutárních dokumentech společnosti, včetně označení právní formy.</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Kód</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Kód subjektu. U institucí je kódem 20místný alfanumerický kód LEI. U jiných subjektů je kódem 20místný alfanumerický kód LEI nebo, není-li k dispozici, kód podle jednotné kodifikace platné v Unii nebo, není-li k dispozici, vnitrostátní kód.</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Tento kód je jedinečný a používá se jednotně ve všech vzorech. Kód má vždy hodnotu.</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Kód LEI</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20místný alfanumerický kód LEI subjektu, je-li k dispozici.</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Typ subjektu</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Typ subjektu v pořadí podle priority je jeden z následujících:</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„Úvěrová instituce“</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Tato kategorie zahrnuje úvěrové instituce ve smyslu čl. 4 odst. 1 bodu 1 nařízení (EU) č. 575/2013 bez zahrnutí subjektů uvedených v čl. 2 odst. 5 směrnice Evropského parlamentu a </w:t>
            </w:r>
            <w:r>
              <w:rPr>
                <w:rFonts w:ascii="Times New Roman" w:hAnsi="Times New Roman"/>
                <w:color w:val="000000" w:themeColor="text1"/>
                <w:sz w:val="20"/>
                <w:szCs w:val="20"/>
              </w:rPr>
              <w:lastRenderedPageBreak/>
              <w:t>Rady 2013/36/EU</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„Investiční podnik, který podléhá požadavku na počáteční kapitál stanovenému v čl. 28 odst. 2 směrnice 2013/36/EU“</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Tato kategorie zahrnuje investiční podniky ve smyslu čl. 4 odst. 1 bodu 2 nařízení (EU) č. 575/2013, které podléhají požadavku na počáteční kapitál stanovenému v čl. 28 odst. 2 směrnice 2013/36/EU.</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„Investiční podnik, který nepodléhá požadavku na počáteční kapitál stanovenému v čl. 28 odst. 2 směrnice 2013/36/EU“</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„Finanční instituce“</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Tato kategorie zahrnuje finanční instituce ve smyslu čl. 4 odst. 1 bodu 26 nařízení (EU) č. 575/2013 jiné než subjekty klasifikované jako „holdingová společnost“ popsaná níže v bodě e).</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„Holdingová společnost“</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Tato kategorie zahrnuje kterýkoli z následujících subjektů:</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finanční holdingovou společnost ve smyslu čl. 4 odst. 1 bodu 20 nařízení (EU) č.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smíšenou finanční holdingovou společnost ve smyslu čl. 4 odst. 1 bodu 21 nařízení (EU) č.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holdingovou společnost se smíšenou činností ve smyslu čl. 4 odst. 1 bodu 22 nařízení (EU) č.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mateřskou finanční holdingovou společnost v členském státě ve smyslu čl. 4 odst. 1 bodu 30 nařízení (EU) č.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mateřskou finanční holdingovou společnost v EU ve smyslu čl. 4 odst. 1 bodu 31 nařízení (EU) č.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mateřskou smíšenou finanční holdingovou společnost v členském státě ve smyslu čl. 4 odst. 1 bodu 32 nařízení (EU) č.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mateřskou smíšenou finanční holdingovou společnost v EU ve smyslu čl. 4 odst. 1 bodu 33 nařízení (EU) č.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„Pojišťovna“</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Tato kategorie zahrnuje pojišťovny ve smyslu článku 13 směrnice </w:t>
            </w:r>
            <w:r>
              <w:rPr>
                <w:rFonts w:ascii="Times New Roman" w:hAnsi="Times New Roman"/>
                <w:color w:val="19161B"/>
                <w:sz w:val="20"/>
                <w:szCs w:val="20"/>
              </w:rPr>
              <w:t>Evropského parlamentu a Rady 2009/138/ES</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color w:val="000000" w:themeColor="text1"/>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„Jiný druh subjektu“, pokud subjekt nespadá do žádné z výše uvedených kategorií.</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Stát</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Dvoupísmenný kód ISO 3166–1 státu, v němž je subjekt registrován, přičemž státem může být členský stát nebo třetí země.</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Zahrnuto do obezřetnostních pravidel</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Uveďte tyto zkratky:</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Ano;</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N – Ne.</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Článek 7 Výjimka z nařízení o kapitálových požadavcích</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Uveďte tyto zkratky:</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Y – jestliže příslušný orgán udělil výjimku z uplatňování čl. 6 odst. 1 nařízení (EU) č. 575/2013 v souladu s článkem 7 nařízení (EU) č. 575/2013;</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jinak.</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Článek 10 Výjimka z nařízení o kapitálových požadavcích</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Uveďte tyto zkratky:</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Y – jestliže příslušný orgán uplatnil výjimku podle článku 10 nařízení (EU) č. 575/2013.</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 – jinak.</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Aktiva celkem</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Aktiva celkem podle definice pro účely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Celkový objem rizikové expozice</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Celkový objem rizikové expozice podle definice pro účely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Tato položka se neuvádí za subjekty, které nejsou institucemi, a subjekty využívající výjimku podle článku 7 nebo článku 10 nařízení (EU) č. 575/2013.</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Míra expozice pákového poměru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Míra expozice pákového poměru celkem podle definice pro účely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Tato položka se neuvádí za subjekty, které nejsou institucemi, a subjekty využívající výjimku podle článku 7 nebo článku 10 nařízení (EU) č. 575/2013.</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Účetní standardy</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Účetní standardy používané subjektem. Uveďte tyto zkratky:</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IFRS</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nGAAP</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Příspěvek k celkovému objemu konsolidovaných aktiv</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Částka, kterou subjekt přispívá k celkovým konsolidovaným aktivům skupiny, jíž se výkaz týká.</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Příspěvek k celkovému objemu konsolidované expozice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Částka, kterou subjekt přispívá k celkové konsolidované expozici skupiny, jíž se výkaz týká.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Příspěvek ke konsolidované míře expozice pákového poměru</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Částka, kterou subjekt přispívá k celkové konsolidované míře expozice pákového poměru skupiny, jíž se výkaz týká.</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Příslušný právní subjekt</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Zda subjekt představuje příslušný právní subjekt podle definice v článku 2 tohoto nařízení.</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Přímá mateřská společnost</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Přímá mateřská společnost subjektu. Vykazuje se pouze přímá mateřská společnost, která má více než 5 % hlasovacích práv v subjektu.</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Jestliže má subjekt více než jednu přímou mateřskou společnost, vykazuje se pouze přímá mateřská společnost s nejvyšším kapitálovým podílem, případně s nejvyšším podílem hlasovacích práv.</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Název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Název přímé mateřské společnosti subjektu.</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Kód</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Kód přímé mateřské společnosti. U institucí je kódem 20místný alfanumerický kód LEI. U jiných subjektů je kódem 20místný alfanumerický kód LEI nebo, není-li k dispozici, kód podle jednotné kodifikace platné v Unii nebo, není-li k dispozici, vnitrostátní kód.</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Tento kód je jedinečný a používá se jednotně ve všech vzorech. Kód má vždy hodnotu.</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Kód LEI</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20místný alfanumerický kód LEI subjektu, je-li k dispozici.</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Základní kapitál</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Výše základního kapitálu, kterou má v subjektu přímá mateřská společnost, bez rezerv.</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Hlasovací práva v subjektu</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Procento hlasovacích práv, které má v subjektu přímá mateřská společnost.</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Tento údaj se požaduje pouze v případě, že se jedna akcie nerovná jednomu hlasu (hlasovací práva se tedy nerovnají základnímu kapitálu).</w:t>
            </w:r>
          </w:p>
        </w:tc>
      </w:tr>
    </w:tbl>
    <w:p w14:paraId="7D57015D" w14:textId="77777777" w:rsidR="00E13CE3" w:rsidRPr="00C84401"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6349034"/>
      <w:r>
        <w:rPr>
          <w:rFonts w:ascii="Times New Roman" w:hAnsi="Times New Roman"/>
          <w:szCs w:val="20"/>
        </w:rPr>
        <w:t>Z 02.00 – Struktura pasiv (LIAB)</w:t>
      </w:r>
      <w:bookmarkEnd w:id="12"/>
      <w:bookmarkEnd w:id="13"/>
    </w:p>
    <w:p w14:paraId="5599ADA4" w14:textId="77777777" w:rsidR="005B4526" w:rsidRPr="00D92B3C" w:rsidRDefault="005B4526" w:rsidP="00EC261B">
      <w:pPr>
        <w:pStyle w:val="Instructionsberschrift3"/>
      </w:pPr>
      <w:r>
        <w:t>Obecné poznámky</w:t>
      </w:r>
    </w:p>
    <w:p w14:paraId="03A756FB"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Tento vzor vyžaduje podrobné informace o struktuře pasiv subjektu nebo skupiny. Pasiva se dělí na závazky vyloučené z rekapitalizace z vnitřních zdrojů a závazky, které nejsou vyloučené z rekapitalizace z vnitřních zdrojů. Další dělení se uvádí podle tříd závazků, tříd protistran a splatnosti.</w:t>
      </w:r>
    </w:p>
    <w:p w14:paraId="1ECE4660" w14:textId="77777777" w:rsidR="008E116E" w:rsidRPr="00DB77B6" w:rsidRDefault="00BD69D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Je-li v tomto vzoru stanoveno členění podle splatnosti, je zbytkovou splatností doba do smluvní splatnosti. Odchylně od toho:</w:t>
      </w:r>
    </w:p>
    <w:p w14:paraId="4C384CA4" w14:textId="44AA56A3" w:rsidR="008E116E" w:rsidRPr="00DB77B6"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pokud nástroj závazků zahrnuje opci umoření držitelem uplatnitelnou před původně stanovenou splatností nástroje, je splatnost nástroje stanovena jako první možné datum, ke kterému může držitel tuto opci uplatnit a požádat o umoření nebo splacení nástroje;</w:t>
      </w:r>
    </w:p>
    <w:p w14:paraId="30A43287" w14:textId="46EE378F" w:rsidR="0025207C" w:rsidRDefault="008E116E"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pokud nástroj závazků zahrnuje pobídku pro emitenta k vypovězení, umoření, splacení nebo zpětnému odkupu před původně stanovenou splatností nástroje, je splatnost nástroje stanovena jako první možné datum, ke kterému může emitent tuto opci uplatnit a požádat o umoření nebo splacení nástroje;</w:t>
      </w:r>
    </w:p>
    <w:p w14:paraId="78D1E8F8" w14:textId="6FDC2A54" w:rsidR="008E116E" w:rsidRPr="00DB77B6" w:rsidRDefault="000666AA" w:rsidP="00D829EE">
      <w:pPr>
        <w:pStyle w:val="InstructionsText2"/>
        <w:numPr>
          <w:ilvl w:val="1"/>
          <w:numId w:val="26"/>
        </w:numPr>
        <w:spacing w:before="0"/>
        <w:rPr>
          <w:rFonts w:ascii="Times New Roman" w:hAnsi="Times New Roman" w:cs="Times New Roman"/>
          <w:sz w:val="20"/>
          <w:szCs w:val="20"/>
        </w:rPr>
      </w:pPr>
      <w:r>
        <w:rPr>
          <w:rFonts w:ascii="Times New Roman" w:hAnsi="Times New Roman"/>
          <w:sz w:val="20"/>
          <w:szCs w:val="20"/>
        </w:rPr>
        <w:t>pokud nástroj zahrnuje takovou kupní opci pro emitenta s neurčeným datem uplatnění nebo pokud je uplatnění opce aktivováno zvláštními událostmi, vykazuje se konzervativně odhadnuté pravděpodobné datum uplatnění; regulační nebo daňové kupní opce se pro tento účel nezohledňují.</w:t>
      </w:r>
    </w:p>
    <w:p w14:paraId="45C08BF6" w14:textId="712D03E7" w:rsidR="00E13CE3" w:rsidRPr="008E116E" w:rsidRDefault="008E116E" w:rsidP="008E116E">
      <w:pPr>
        <w:pStyle w:val="InstructionsText2"/>
        <w:numPr>
          <w:ilvl w:val="0"/>
          <w:numId w:val="0"/>
        </w:numPr>
        <w:spacing w:before="0"/>
        <w:ind w:left="720"/>
      </w:pPr>
      <w:r>
        <w:rPr>
          <w:rFonts w:ascii="Times New Roman" w:hAnsi="Times New Roman"/>
          <w:sz w:val="20"/>
          <w:szCs w:val="20"/>
        </w:rPr>
        <w:t>V případě průběžných plateb jistiny se jistina rozdělí a přidělí do příslušných košů splatnosti. V příslušných případech se splatnost uvažuje samostatně pro částku jistiny a pro vzniklý úrok</w:t>
      </w:r>
      <w:r>
        <w:t>.</w:t>
      </w:r>
    </w:p>
    <w:p w14:paraId="06C63FBA" w14:textId="4FC92425"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Částky vykazované v tomto vzoru jsou nesplacenými částkami. Nesplacená částka pohledávky nebo nástroje je součtem výše jistiny a vzniklého úroku z pohledávky nebo nástroje. Zůstatek nesplacených částek se rovná hodnotě pohledávky, kterou by věřitel mohl přihlásit do insolvenčního řízení. </w:t>
      </w:r>
    </w:p>
    <w:p w14:paraId="7E87707F" w14:textId="6B727E8E" w:rsidR="00E13CE3" w:rsidRPr="00D92B3C" w:rsidRDefault="00674016"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Rozvahové závazky vyplývající z derivátů (vykazované na řádku 0330) se však vykazují v účetní hodnotě. Účetní hodnotou je účetní hodnota definovaná pro účely FINREP, a to buď podle mezinárodních standardů účetního výkaznictví IFRS, případně podle vnitrostátních obecně uznávaných účetních zásad. Jinak se používají údaje podle vnitrostátních obecně uznávaných účetních zásad. </w:t>
      </w:r>
    </w:p>
    <w:p w14:paraId="2CF3C59A" w14:textId="77777777" w:rsidR="00E13CE3" w:rsidRPr="00D92B3C" w:rsidRDefault="00E13CE3" w:rsidP="00EC261B">
      <w:pPr>
        <w:pStyle w:val="Instructionsberschrift3"/>
      </w:pPr>
      <w:r>
        <w:t>Pokyny týkající se konkrétních pozic</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Sloupce</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Pokyny</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Domácnosti</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příloha V část první odst. 42 písm. f)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Jednotlivci nebo skupiny jednotlivců jako spotřebitelé a výrobci zboží a poskytovatelé nefinančních služeb určených výhradně pro jejich vlastní konečnou spotřebu a jako výrobci tržního zboží a poskytovatelé nefinančních a finančních služeb, nejsou-li jejich aktivity aktivitami kvazispolečností. Patří sem i neziskové organizace, které slouží domácnostem a které se zabývají převážně výrobou netržního zboží a poskytováním netržních služeb, jež jsou určeny pro konkrétní skupiny domácností.</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Nefinanční podniky (MSP)</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Příloha, hlava I, čl. 2 odst. 1 doporučení Komise ze dne 6. května 2003</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příloha V část první odst. 5 písm. i)</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Podniky, které zaměstnávají méně než 250 osob a jejichž roční obrat nepřesahuje 50 milionů Eur anebo jejichž bilanční suma roční rozvahy nepřesahuje 43 milionů Eur.</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Nefinanční podniky (jiné než MSP)</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příloha V část první odst. 42 písm. e)</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Společnosti a kvazispolečnosti, které se nezabývají finančním zprostředkováním, nýbrž převážně výrobou tržních výrobků a poskytováním nefinančních služeb ve smyslu nařízení Evropské centrální banky (EU) 2021/379</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Kromě „MSP“ vykázaných ve sloupci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Úvěrové instituce</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příloha V část první odst. 42 písm. c)</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Úvěrové instituce ve smyslu čl. 4 odst. 1 bod 1) nařízení (EU) č. 575/2013 a mezinárodní rozvojové banky.</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Jiné finanční podniky</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příloha V část první odst. 42 písm. d)</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Kromě úvěrových institucí veškeré finanční podniky a kvazispolečnosti, jako jsou investiční podniky, investiční fondy, pojišťovny, penzijní fondy, subjekty kolektivního investování a clearingové systémy a ostatní finanční zprostředkovatelé, pomocné finanční instituce a kaptivní finanční instituce a půjčovatelé peněz.</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Ústřední vlády a centrální banky</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příloha V část první odst. 42 písm. a) a b)</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Centrální banky a ústřední vlády, státní nebo regionální vlády a místní vlády, včetně administrativních a nekomerčních podniků, ale kromě veřejnoprávních a soukromých společností, které jsou ve vlastnictví uvedených správních orgánů a vykonávají obchodní činnost (a které jsou vykazovány pod hlavičkou „úvěrové instituce“, „jiné finanční podniky“ nebo „nefinanční podniky“ v závislosti na jejich činnosti); fondy sociálního zabezpečení a mezinárodní organizace, jako je Evropská unie, Mezinárodní měnový fond a Banka pro mezinárodní platby.</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Neurčené, kotované v obchodním systému</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Pokud není známa totožnost vlastníka cenného papíru, protože nástroje jsou kótovány v obchodním </w:t>
            </w:r>
            <w:r>
              <w:rPr>
                <w:rFonts w:ascii="Times New Roman" w:hAnsi="Times New Roman"/>
                <w:color w:val="000000" w:themeColor="text1"/>
                <w:sz w:val="20"/>
                <w:szCs w:val="20"/>
              </w:rPr>
              <w:lastRenderedPageBreak/>
              <w:t>systému podle definice uvedené ve směrnici Evropského parlamentu a Rady 2014/65/EU</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přiřadí se částky do tohoto sloupce.</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Neurčené, nekotované v obchodním systému</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Pokud není známa totožnost vlastníka cenného papíru a nástroje nejsou kótovány v obchodním systému, přiřadí se částky do tohoto sloupce, přičemž není požadováno další členění podle protistran. Subjekty vyvinou maximální úsilí, aby identifikovaly protistrany a omezily na minimum použití tohoto sloupce.</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Celkem</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 toho: v rámci skupiny</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Závazky vůči subjektům zahrnutým do konsolidovaných účetních závěrek konečné mateřské společnosti (na rozdíl od konsolidace podle právních předpisů).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 toho: závazky řídící se právem třetí země, kromě závazků v rámci skupiny</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Zahrnují hrubé částky závazků řídících se právem třetí země a/nebo závazků subjektů skupiny usazených v třetích zemích. Závazky v rámci skupiny jsou vyloučeny.</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Pokud orgán příslušný k řešení krize potvrdil, že je přesvědčen podle čl. 55 odst. 1 třetího pododstavce směrnice Evropského parlamentu a Rady 2014/59/EU</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že jakékoli rozhodnutí orgánu příslušného k řešení krize o odpisu či konverzi závazku nabude účinnosti podle práva uvedené třetí země, daný závazek se v tomto sloupci neuvádí.</w:t>
            </w:r>
          </w:p>
        </w:tc>
      </w:tr>
    </w:tbl>
    <w:p w14:paraId="784CE850" w14:textId="77777777" w:rsidR="0081175C" w:rsidRPr="00C84401"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Řádky</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Pokyny</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Závazky vyloučené z rekapitalizace z vnitřních zdrojů</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Směrnice 2014/59/EU v čl. 44 odst. 2 stanoví, že „Orgány příslušné k řešení krize nesmějí vykonávat pravomoci k odpisu nebo konverzi ve vztahu k těmto závazkům, ať se řídí právem členského státu nebo třetí země“.</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Pojištěné vklady</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Částka pojištěných vkladů podle definice v čl. 2 odst. 1 bodě 5 směrnice Evropského parlamentu a Rady 2014/49/EU</w:t>
            </w:r>
            <w:r>
              <w:rPr>
                <w:rStyle w:val="FootnoteReference"/>
                <w:color w:val="000000" w:themeColor="text1"/>
                <w:lang w:val="en-GB" w:eastAsia="en-GB"/>
              </w:rPr>
              <w:footnoteReference w:id="12"/>
            </w:r>
            <w:r>
              <w:rPr>
                <w:rFonts w:ascii="Times New Roman" w:hAnsi="Times New Roman"/>
                <w:color w:val="000000" w:themeColor="text1"/>
                <w:sz w:val="20"/>
                <w:szCs w:val="20"/>
              </w:rPr>
              <w:t>kromě dočasných vysokých zůstatků podle definice uvedené v čl. 6 odst. 2 uvedené směrnice.</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Zajištěné závazky – zajištěná část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44 odst. 2 písm. b) směrnice 2014/59/EU</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Zajištěné závazky včetně ujednání o repo operacích, krytých dluhopisů a závazků v podobě finančních nástrojů, které tvoří nedílnou součást krycího portfolia a které jsou podle vnitrostátního práva zajištěny podobným způsobem jako kryté dluhopisy.</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Ani požadavek na zajištění toho, aby všechna zajištěná aktiva související s krycím portfoliem krytých dluhopisů zůstala nedotčena, oddělena a dostatečně financována, ani vyloučení podle čl. 44 odst. 2 písm. b) směrnice 2014/59/EU nebrání orgánům příslušným k řešení krize, aby tam, kde je to vhodné, uvedené pravomoci vykonaly ve vztahu k jakékoli části zajištěného závazku nebo závazku, pro nějž bylo poskytnuto zajištění přesahující hodnotu aktiv, zástavy nebo zajištění, vůči nimž je </w:t>
            </w:r>
            <w:r>
              <w:rPr>
                <w:rFonts w:ascii="Times New Roman" w:hAnsi="Times New Roman"/>
                <w:color w:val="000000" w:themeColor="text1"/>
                <w:sz w:val="20"/>
                <w:szCs w:val="20"/>
              </w:rPr>
              <w:lastRenderedPageBreak/>
              <w:t>zajištěn. Tato nekrytá částka uvedených zajištěných závazků se nevykazuje na tomto řádku, ale vykazuje se na řádku 0340 v dalším rozdělení.</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Závazky centrálních bank, které jsou kryty seskupením kolaterálu (</w:t>
            </w:r>
            <w:r>
              <w:rPr>
                <w:rFonts w:ascii="Times New Roman" w:hAnsi="Times New Roman"/>
                <w:color w:val="1A171C"/>
                <w:sz w:val="20"/>
                <w:szCs w:val="20"/>
              </w:rPr>
              <w:t>například hlavními refinančními operacemi, dlouhodobou refinanční operací, cílenými dlouhodobějšími refinančními operacemi atd.</w:t>
            </w:r>
            <w:r>
              <w:rPr>
                <w:rFonts w:ascii="Times New Roman" w:hAnsi="Times New Roman"/>
                <w:color w:val="000000" w:themeColor="text1"/>
                <w:sz w:val="20"/>
                <w:szCs w:val="20"/>
              </w:rPr>
              <w:t xml:space="preserve">) se považují za zajištěné závazky.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Zvláštním druhem závazků jsou pozice ze zajištění přijaté a vykázané v rozvaze. Pokud jsou tyto pozice ze zajištění právně závazné s pozicí aktiv, považují se pro účely tohoto výkazu za zajištěné závazky.</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Závazky vůči klientům, jsou-li chráněny při insolvenci</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44 odst. 2 písm. c) směrnice 2014/59/EU</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Veškeré závazky vzniklé v důsledku toho, že instituce nebo subjekt podle čl. 1 odst. 1 písm. b), c) nebo d) směrnice 2014/59/EU má v držení aktiva nebo finanční prostředky klienta, včetně aktiv nebo finančních prostředků klienta držených jménem SKIPCP ve smyslu čl. 1 odst. 2 směrnice Evropského parlamentu a Rady 2009/65/ES</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nebo alternativních investičních fondů ve smyslu čl. 4 odst. 1 písm. a) směrnice Evropského parlamentu a Rady 2011/61/EU</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pokud je tento klient chráněn příslušným insolvenčním právem.</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Fiduciární závazky, jsou-li chráněny při insolvenci</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44 odst. 2 písm. d) směrnice 2014/59/EU</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Veškeré závazky vzniklé v důsledku fiduciárního vztahu mezi institucí nebo subjektem uvedeným v čl. 1 odst. 1 písm. b), c) nebo d) směrnice 2014/59/EU (jako fiduciárním zmocněncem) a jinou osobou (jako oprávněným), vztahuje-li se na takového oprávněného ochrana podle příslušného insolvenčního nebo občanského práva;</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Závazky vůči institucím kratší než 7 dní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44 odst. 2 písm. e) směrnice 2014/59/EU</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Závazky s původní splatností kratší než sedm dní vůči institucím jiným než subjektům, které jsou součástí stejné účetní skupiny.</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Závazky vůči systémům (provozovatelům systémů) a ústředním protistranám kratší než 7 dní</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44 odst. 2 písm. f) směrnice 2014/59/EU</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Závazky se zbytkovou dobou splatnosti kratší než sedm dní, jež existují vůči systémům nebo provozovatelům systémů, které jsou určeny podle směrnice</w:t>
            </w:r>
            <w:r>
              <w:t xml:space="preserve"> </w:t>
            </w:r>
            <w:r>
              <w:rPr>
                <w:rFonts w:ascii="Times New Roman" w:hAnsi="Times New Roman"/>
                <w:color w:val="000000" w:themeColor="text1"/>
                <w:sz w:val="20"/>
                <w:szCs w:val="20"/>
              </w:rPr>
              <w:t>Evropského parlamentu a Rady 98/26/ES</w:t>
            </w:r>
            <w:r>
              <w:rPr>
                <w:rStyle w:val="FootnoteReference"/>
                <w:rFonts w:eastAsia="Cambria" w:cs="Times New Roman"/>
                <w:color w:val="000000" w:themeColor="text1"/>
                <w:spacing w:val="-2"/>
                <w:w w:val="95"/>
                <w:lang w:val="en-GB"/>
              </w:rPr>
              <w:footnoteReference w:id="15"/>
            </w:r>
            <w:r>
              <w:rPr>
                <w:rFonts w:ascii="Times New Roman" w:hAnsi="Times New Roman"/>
                <w:color w:val="000000" w:themeColor="text1"/>
                <w:sz w:val="20"/>
                <w:szCs w:val="20"/>
              </w:rPr>
              <w:t>, nebo vůči účastníkům těchto systémů a jež plynou z účasti v takovém systému, anebo jež existují vůči ústředním protistranám povoleným v Unii podle článku 14 nařízení Evropského parlamentu a Rady (EU) č. 648/2012</w:t>
            </w:r>
            <w:r>
              <w:rPr>
                <w:rStyle w:val="FootnoteReference"/>
                <w:rFonts w:eastAsia="Cambria" w:cs="Times New Roman"/>
                <w:color w:val="000000" w:themeColor="text1"/>
                <w:spacing w:val="-2"/>
                <w:w w:val="95"/>
                <w:lang w:val="en-GB"/>
              </w:rPr>
              <w:footnoteReference w:id="16"/>
            </w:r>
            <w:r>
              <w:rPr>
                <w:rFonts w:ascii="Times New Roman" w:hAnsi="Times New Roman"/>
                <w:color w:val="000000" w:themeColor="text1"/>
                <w:sz w:val="20"/>
                <w:szCs w:val="20"/>
              </w:rPr>
              <w:t xml:space="preserve"> a vůči ústředním protistranám ze třetích zemí uznaným ESMA podle článku 25 uvedeného nařízení.</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Závazky vůči zaměstnancům</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44 odst. 2 písm. g) bod i) směrnice 2014/59/EU</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Závazky vůči zaměstnanci, ve vztahu ke splatné mzdě, důchodovým dávkám nebo jiné pevné </w:t>
            </w:r>
            <w:r>
              <w:rPr>
                <w:rFonts w:ascii="Times New Roman" w:hAnsi="Times New Roman"/>
                <w:color w:val="000000" w:themeColor="text1"/>
                <w:sz w:val="20"/>
                <w:szCs w:val="20"/>
              </w:rPr>
              <w:lastRenderedPageBreak/>
              <w:t>odměně, s výjimkou pohyblivé složky odměny, která není regulována kolektivní smlouvou. Nevztahuje se to však na pohyblivou složku odměny osob podstupujících podstatné riziko uvedených v čl. 92 odst. 2 směrnice 2013/36/EU.</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Závazky nezbytné pro každodenní fungování</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44 odst. 2 písm. g) bod ii) směrnice 2014/59/EU</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Závazky vůči obchodnímu věřiteli, vzniklé na základě poskytování zboží nebo služeb instituci nebo subjektu uvedenému v čl.</w:t>
            </w:r>
            <w:r>
              <w:rPr>
                <w:rFonts w:ascii="Times New Roman" w:hAnsi="Times New Roman"/>
                <w:bCs/>
                <w:color w:val="000000" w:themeColor="text1"/>
                <w:sz w:val="20"/>
                <w:szCs w:val="20"/>
              </w:rPr>
              <w:t xml:space="preserve">1 odst. 1, </w:t>
            </w:r>
            <w:r>
              <w:rPr>
                <w:rFonts w:ascii="Times New Roman" w:hAnsi="Times New Roman"/>
                <w:color w:val="000000" w:themeColor="text1"/>
                <w:sz w:val="20"/>
                <w:szCs w:val="20"/>
              </w:rPr>
              <w:t xml:space="preserve">písm. b), c) nebo d), </w:t>
            </w:r>
            <w:r>
              <w:rPr>
                <w:rFonts w:ascii="Times New Roman" w:hAnsi="Times New Roman"/>
                <w:bCs/>
                <w:color w:val="000000" w:themeColor="text1"/>
                <w:sz w:val="20"/>
                <w:szCs w:val="20"/>
              </w:rPr>
              <w:t>směrnice 2014/59/EU nezbytných pro každodenní fungování jejich operací, včetně IT služeb, energií a pronájmu, obsluhy a údržby prostor.</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Závazky vůči daňovým orgánům a orgánům sociálního zabezpečení, jsou-li prioritní</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44 odst. 2 písm. g) bod iii) směrnice 2014/59/EU</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Závazky vůči daňovým orgánům a orgánům sociálního zabezpečení, pokud jsou tyto závazky podle příslušného práva prioritní.</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Závazky vůči systémům pojištění vkladů</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44 odst. 2 písm. g) bod iv) směrnice 2014/59/EU</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Závazky vůči systémům pojištění vkladů vzniklé z příspěvků splatných v souladu se směrnicí 2014/49/EU.</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Závazky vůči jiným subjektům skupiny řešící krizi</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Ustanovení čl. 44 odst. 2 písm. h) směrnice 2014/59/EU.</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Závazky vůči institucím nebo subjektům uvedeným v čl. 1 odst. 1 písm. b), c) nebo d) směrnice 2014/59/EU, které jsou součástí téže skupiny řešící krizi, ale nejsou samy subjektem řešícím krizi, bez ohledu na jejich splatnost s výjimkou případů, kdy se tyto závazky řadí pod jiné běžné nezajištěné závazky podle příslušného vnitrostátního práva, jímž se řídí běžné úpadkové řízení, platného ke dni provedení směrnice 2014/59/EU.</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Pokud je vyloučeným závazkem derivátový závazek, vykazují se čisté pozice závazků zohledňující obezřetnostní pravidla započtení stanovená v článku 429c nařízení (EU) č. 575/2013.</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Závazky nevyloučené z rekapitalizace z vnitřních zdrojů</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Vklady, které nejsou pojištěné, ale jsou přednostní</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Článek 108 směrnice 2014/59/EU</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Vklady podle definice uvedené v čl. 2 odst. 1 bodě 3 směrnice 2014/49/EU, které nesplňují podmínky pro vyloučení z rekapitalizace z vnitřních zdrojů (čl. 44 odst. 2 písm. a) směrnice 2014/59/EU), ale pro které je stanoveno preferenční zacházení v souladu s článkem 108 směrnice 2014/59/EU.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Vklady, které nejsou pojištěné a nejsou přednostní</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Vklady podle definice uvedené v čl. 2 odst. 1 bodě 3 směrnice 2014/49/EU, které nesplňují podmínky pro vyloučení z rekapitalizace z vnitřních zdrojů ani pro preferenční zacházení podle čl. 44 odst. 2 písm. a) nebo článku 108 směrnice 2014/59/EU.</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Rozvahové závazky vyplývající z derivátů</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Účetní hodnota závazků vyplývajících z derivátů.</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Součet čistých pozic pasiv při zohlednění smluvních skupin transakcí se započtením – po přecenění podle tržní hodnoty a před započtením kolaterálu</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Standardně součet všech čistých tržních hodnot derivátových závazků podle skupin transakcí se smluvním započtením. Skupina transakcí se započtením se vykazuje pouze v případě, že čistou tržní hodnotu skupiny transakcí představuje závazek. Deriváty, které nepodléhají nettingové dohodě, se považují za jednotlivou smlouvu, tzn. jako by šlo o skupinu transakcí se započtením pouze s jedním </w:t>
            </w:r>
            <w:r>
              <w:rPr>
                <w:rFonts w:ascii="Times New Roman" w:hAnsi="Times New Roman"/>
                <w:color w:val="000000" w:themeColor="text1"/>
                <w:sz w:val="20"/>
                <w:szCs w:val="20"/>
              </w:rPr>
              <w:lastRenderedPageBreak/>
              <w:t>derivátem.</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Součet čistých pozic pasiv při zohlednění skupin transakcí se smluvním započtením – po přecenění podle tržní hodnoty a po započtení kolaterálu</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Ocenění v řádku 0331 podléhá přecenění podle kolaterálu zaúčtovaného na zajištění této expozice, takže výsledkem je součet těchto čistých tržních hodnot po započtení kolaterálu v jeho tržní hodnotě.</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Součet čistých pozic pasiv při zohlednění skupin transakcí se smluvním započtením– po přecenění podle tržní hodnoty, po započtení kolaterálu a se zahrnutím odhadu částek po závěrečném vypořádání</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 souladu s nařízením Komise v přenesené pravomoci 2016/1401</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xml:space="preserve"> další částka po závěrečném vypořádání zahrnující výši ztrát nebo nákladů vzniklých protistranám derivátů nebo zisky realizované těmito protistranami nahrazením či získáním ekonomického ekvivalentu klíčových podmínek smluv a opčních práv stran v souvislosti s těmito ukončenými smlouvami.</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Odhady požadované pro stanovení částky pro závěrečné vypořádání v souladu s nařízením v přenesené pravomoci mohou být v individuálních případech celkem obtížné. Proto lze místo nich použít přibližné hodnoty, které mohou vycházet z dostupných údajů, jako jsou obezřetnostní pravidla pro tržní riziko. Pokud se ukáže, že není možné vypočítat částku po závěrečném vypořádání pro derivátové závazky, rovná se vykázaná částka částce vykázané na řádku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Součet čistých pozic pasiv při zohlednění obezřetnostních pravidel pro započtení</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Vykazují se čisté pozice pasiv pro deriváty po zohlednění obezřetnostních pravidel pro započtení stanovené v článku 429c nařízení (EU) č. 575/2013 (týkajících se výpočtu celkové míry expozic pro účely pákového poměru).</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Nekolateralizované</w:t>
            </w:r>
            <w:r>
              <w:rPr>
                <w:rFonts w:ascii="Times New Roman" w:hAnsi="Times New Roman"/>
                <w:b/>
                <w:bCs/>
                <w:color w:val="000000" w:themeColor="text1"/>
                <w:sz w:val="20"/>
                <w:szCs w:val="20"/>
              </w:rPr>
              <w:t xml:space="preserve"> zajištěné závazky</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Výše zajištěného závazku nebo závazku, pro nějž bylo poskytnuto zajištění přesahující hodnotu aktiv, zástavy nebo zajištění, vůči nimž je zajištěn. Zahrnuje to „nedostatečně zajištěnou“ část jakéhokoli kolateralizovaného závazku, například nedostatečně zajištěnou část </w:t>
            </w:r>
            <w:r>
              <w:rPr>
                <w:rFonts w:ascii="Times New Roman" w:hAnsi="Times New Roman"/>
                <w:bCs/>
                <w:color w:val="000000" w:themeColor="text1"/>
                <w:sz w:val="20"/>
                <w:szCs w:val="20"/>
              </w:rPr>
              <w:t>krytých dluhopisů nebo repo obchodů.</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Strukturované</w:t>
            </w:r>
            <w:r>
              <w:rPr>
                <w:rFonts w:ascii="Times New Roman" w:hAnsi="Times New Roman"/>
                <w:b/>
                <w:bCs/>
                <w:color w:val="000000" w:themeColor="text1"/>
                <w:sz w:val="20"/>
                <w:szCs w:val="20"/>
              </w:rPr>
              <w:t xml:space="preserve"> dluhopisy</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Strukturované dluhopisy jsou pro tento účel specifikovány jako dluhové obligace, které obsahují vloženou derivátovou složku, přičemž výnosy souvisí s podkladovým cenným papírem nebo indexem (veřejným nebo individuálním, jako jsou akcie nebo dluhopisy, úrokové sazby s pevným výnosem nebo úvěr, devizy, komodity atd.). Strukturované dluhopisy nezahrnují dluhové nástroje, které obsahují pouze kupní nebo prodejní opce, tj. hodnota nástroje nezávisí na žádné vložené derivátové složce.</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Prioritní</w:t>
            </w:r>
            <w:r>
              <w:rPr>
                <w:rFonts w:ascii="Times New Roman" w:hAnsi="Times New Roman"/>
                <w:b/>
                <w:bCs/>
                <w:color w:val="000000" w:themeColor="text1"/>
                <w:sz w:val="20"/>
                <w:szCs w:val="20"/>
              </w:rPr>
              <w:t xml:space="preserve"> nezajištěné závazky</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Zahrnují všechny prioritní nezajištěné nástroje, které nejsou zařazeny do kategorie strukturovaných dluhopisů.</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Prioritní nepreferenční závazky</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Výše kterýchkoli těchto závazků:</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nezajištěných pohledávek vyplývajících z dluhových nástrojů, jež splňují podmínky stanovené v čl. 108 odst. 2 písm. a), b) a c) a čl. 108 odst. 3 směrnice 2014/59/EU;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nezajištěných pohledávek vyplývajících z dluhových nástrojů uvedených v čl. 108 odst. 5 prvním pododstavci písm. b) směrnice 2014/59/EU;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dluhových nástrojů s nejnižším stupněm priority patřících mezi běžné nezajištěné pohledávky vyplývající z dluhových nástrojů uvedených v čl. 108 odst. 7 směrnice 2014/59/EU, u nichž členský stát v souladu s uvedeným odstavcem stanovil, že mají stejný stupeň priority jako pohledávky, které splňují podmínky stanovené v čl. 108 odst. 2 písm. a), b) a c) a v čl. 108 odst. 3 směrnice 2014/59/EU.</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Podřízené</w:t>
            </w:r>
            <w:r>
              <w:rPr>
                <w:rFonts w:ascii="Times New Roman" w:hAnsi="Times New Roman"/>
                <w:b/>
                <w:bCs/>
                <w:color w:val="000000" w:themeColor="text1"/>
                <w:sz w:val="20"/>
                <w:szCs w:val="20"/>
              </w:rPr>
              <w:t xml:space="preserve"> závazky</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Závazky, které budou podle vnitrostátních právních předpisů o úpadku splaceny až po splacení všech tříd pohledávek běžných věřitelů a prioritních nepreferenčních věřitelů v plné výši. Zahrnují smluvní podřízené závazky a závazky podřízené ze zákona. U holdingových společností mohou být v této kategorii vykazovány také nepodřízené dluhové cenné papíry (tj. strukturální podřízení).</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Do této kategorie se zařazují pouze podřízené nástroje, které nejsou vykázány jako kapitál.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Tento řádek zahrnuje také tu část podřízených závazků, které v zásadě splňují požadavky na kapitál, ale nejsou zahrnuty do kapitálu v důsledku ustanovení o vyřazování, jako je článek 64 nařízení (EU) č. 575/2013 (zbytková splatnost) nebo část 10 nařízení (EU) č. 575/2013 (dopad zachování právních účinků).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Jiné způsobilé závazky podle minimálních požadavků na kapitál</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Jakýkoli nástroj, který je způsobilý pro účely splnění požadavku stanoveného v článku 45 směrnice 2014/59/EU, ale není zachycen v řádcích 0320 a 0340 až 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w:t>
            </w:r>
            <w:r>
              <w:rPr>
                <w:rFonts w:ascii="Times New Roman" w:hAnsi="Times New Roman"/>
                <w:b/>
                <w:color w:val="000000" w:themeColor="text1"/>
                <w:sz w:val="20"/>
                <w:szCs w:val="20"/>
              </w:rPr>
              <w:t>finanční</w:t>
            </w:r>
            <w:r>
              <w:rPr>
                <w:rFonts w:ascii="Times New Roman" w:hAnsi="Times New Roman"/>
                <w:b/>
                <w:bCs/>
                <w:color w:val="000000" w:themeColor="text1"/>
                <w:sz w:val="20"/>
                <w:szCs w:val="20"/>
              </w:rPr>
              <w:t xml:space="preserve"> závazky</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Tento řádek zachycuje nefinanční závazky, které se netýkají dluhových nástrojů, jež mohou držitelé odepsat z praktických důvodů, jako jsou ustanovení týkající se soudních sporů, jichž se subjekt účastní.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Zbývající</w:t>
            </w:r>
            <w:r>
              <w:rPr>
                <w:rFonts w:ascii="Times New Roman" w:hAnsi="Times New Roman"/>
                <w:b/>
                <w:bCs/>
                <w:color w:val="000000" w:themeColor="text1"/>
                <w:sz w:val="20"/>
                <w:szCs w:val="20"/>
              </w:rPr>
              <w:t xml:space="preserve"> závazky</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Každý závazek nevykázaný v řádcích 0100 až 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bCs/>
                <w:color w:val="000000" w:themeColor="text1"/>
                <w:sz w:val="20"/>
                <w:szCs w:val="20"/>
              </w:rPr>
              <w:t>Kap</w:t>
            </w:r>
            <w:r>
              <w:rPr>
                <w:rFonts w:ascii="Times New Roman" w:hAnsi="Times New Roman"/>
                <w:b/>
                <w:color w:val="000000" w:themeColor="text1"/>
                <w:sz w:val="20"/>
                <w:szCs w:val="20"/>
              </w:rPr>
              <w:t>itál</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Ustanovení čl. 4 odst. 1 bodu 118 a článku 72 nařízení (EU) č.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Stejná definice jako pro účely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Kmenový kapitál tier 1</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Článek 50 nařízení (EU) č.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Stejná definice jako pro účely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 toho: kapitálové nástroje / základní kapitál</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Právní nástroje, které představují (část) kapitálu CET1 ve formě kapitálových nástrojů / základního kapitálu.</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Z toho:</w:t>
            </w:r>
            <w:r>
              <w:rPr>
                <w:rFonts w:ascii="Times New Roman" w:hAnsi="Times New Roman"/>
                <w:b/>
                <w:bCs/>
                <w:color w:val="000000" w:themeColor="text1"/>
                <w:sz w:val="20"/>
                <w:szCs w:val="20"/>
              </w:rPr>
              <w:t xml:space="preserve"> nástroje, které jsou řazeny na stejné úrovni jako kmenové akcie</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Právní nástroje, které představují (část) kapitálu CET1 ve formě nástrojů jiných než kapitálových nástrojů / základního kapitálu, ale které jsou řazeny na stejné úrovni jako tato kategorie.</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Vedlejší kapitál tier 1</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Článek 61 nařízení (EU) č.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Stejná definice jako pro účely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Z toho: </w:t>
            </w:r>
            <w:r>
              <w:rPr>
                <w:rFonts w:ascii="Times New Roman" w:hAnsi="Times New Roman"/>
                <w:b/>
                <w:color w:val="000000" w:themeColor="text1"/>
                <w:sz w:val="20"/>
                <w:szCs w:val="20"/>
              </w:rPr>
              <w:t>(část) podřízených závazků vykazovaných jako kapitál</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Právní nástroje, které představují (část) vedlejšího kapitálu tier 1.</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Kapitál tier 2</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Článek 71 nařízení (EU) č.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Stejná definice jako pro účely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 toho: (část) podřízených závazků vykazovaných jako kapitál</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Toto rozdělení označuje právní nástroje, které představují (část) kapitálu tier 2.</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Celkové závazky a kapitál včetně derivátových závazků</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Součet všech závazků vykazovaných v tomto vzoru a výše regulatorního kapitálu. Za tímto účelem se sečtou částky z výše uvedených řádků. Pokud jde o deriváty, použije se hodnota z řádku 0334 „Součet čistých pozic pasiv po zohlednění obezřetnostních pravidel pro započtení“.</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6349035"/>
      <w:r>
        <w:rPr>
          <w:rFonts w:ascii="Times New Roman" w:hAnsi="Times New Roman"/>
          <w:szCs w:val="20"/>
        </w:rPr>
        <w:t>Z 03.00 – Kapitálové požadavky (OWN)</w:t>
      </w:r>
      <w:bookmarkEnd w:id="14"/>
      <w:bookmarkEnd w:id="15"/>
    </w:p>
    <w:p w14:paraId="1EB4E523" w14:textId="77777777" w:rsidR="00F73F97" w:rsidRPr="00D92B3C" w:rsidRDefault="00F73F97" w:rsidP="00EC261B">
      <w:pPr>
        <w:pStyle w:val="Instructionsberschrift3"/>
      </w:pPr>
      <w:r>
        <w:t>Obecné poznámky</w:t>
      </w:r>
    </w:p>
    <w:p w14:paraId="1CC72D3C" w14:textId="1D211A64" w:rsidR="002449CC" w:rsidRPr="00D92B3C" w:rsidRDefault="002449C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 tomto vzoru se uvádějí údaje o požadavcích na kapitál subjektu nebo skupiny.</w:t>
      </w:r>
    </w:p>
    <w:p w14:paraId="201F0F25" w14:textId="77777777" w:rsidR="00B93E39" w:rsidRPr="00D92B3C" w:rsidRDefault="00B93E3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Všechny vykázané údaje odrážejí kapitálové požadavky platné k referenčnímu datu pro vykazování.</w:t>
      </w:r>
    </w:p>
    <w:p w14:paraId="6294C8B2" w14:textId="77777777" w:rsidR="00B93E39" w:rsidRPr="00D92B3C" w:rsidRDefault="000447A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Informace o požadavcích podle pilíře 2 vykázané v tomto vzoru vycházejí z nejnovějšího dostupného úředního oznámení o přezkumu a vyhodnocení vydaného příslušným orgánem.</w:t>
      </w:r>
    </w:p>
    <w:p w14:paraId="00E42EBB" w14:textId="77777777" w:rsidR="00066E8E" w:rsidRPr="00D92B3C" w:rsidRDefault="00066E8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Pokud subjekt, jehož se výkaz týká, nepodléhá kapitálovým požadavkům na individuálním základě, vyplní pouze řádek 0110.</w:t>
      </w:r>
    </w:p>
    <w:p w14:paraId="4CE17C26" w14:textId="77777777" w:rsidR="00E13CE3" w:rsidRPr="00D92B3C" w:rsidRDefault="00E13CE3" w:rsidP="00EC261B">
      <w:pPr>
        <w:pStyle w:val="Instructionsberschrift3"/>
      </w:pPr>
      <w:r>
        <w:t>Pokyny týkající se konkrétních pozic</w:t>
      </w:r>
    </w:p>
    <w:tbl>
      <w:tblPr>
        <w:tblW w:w="0" w:type="auto"/>
        <w:tblCellMar>
          <w:top w:w="57" w:type="dxa"/>
          <w:left w:w="57" w:type="dxa"/>
          <w:bottom w:w="57" w:type="dxa"/>
          <w:right w:w="0" w:type="dxa"/>
        </w:tblCellMar>
        <w:tblLook w:val="01E0" w:firstRow="1" w:lastRow="1" w:firstColumn="1" w:lastColumn="1" w:noHBand="0" w:noVBand="0"/>
      </w:tblPr>
      <w:tblGrid>
        <w:gridCol w:w="726"/>
        <w:gridCol w:w="8300"/>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Řádky</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Pokyny</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Celkový objem rizikové expozice</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92 odst. 3 nařízení (EU) č.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Viz Z 01.00, sloupec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Celkový objem rizikové expozice podle definice pro účely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Příspěvek k celkovému objemu rizikové expozice na konsolidované úrovni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Viz Z 01.00, sloupec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Tato položka se vykazuje pouze u subjektů, které nepodléhají kapitálovým požadavkům na individuálním základě.</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Celková míra expozic</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Čl. 429 odst. 4 nařízení (EU) č.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Požadavky na počáteční kapitál a pákový poměr</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Počáteční kapitál</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Články 12 a 28 až 31 směrnice 2013/36/EU a článek 93 nařízení (EU) č.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Výše počátečního kapitálu požadovaného jako podmínka povolení zahájení činnosti instituce.</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Požadavek na pákový poměr</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Požadavek na pákový poměr v souladu s čl. 92 odst. 1 písm. d) nařízení (EU) č. 575/2013, který se </w:t>
            </w:r>
            <w:r>
              <w:rPr>
                <w:rFonts w:ascii="Times New Roman" w:hAnsi="Times New Roman"/>
                <w:color w:val="000000" w:themeColor="text1"/>
                <w:sz w:val="20"/>
                <w:szCs w:val="20"/>
              </w:rPr>
              <w:lastRenderedPageBreak/>
              <w:t>vztahuje na subjekt nebo skupinu, vyjádřený jako procentní podíl celkové míry expozic. Vykazující subjekty, které vyloučí expozice vůči centrální bance instituce, jak je uvedeno v čl. 429a odst. 1 písm. n) nařízení (EU) č. 575/2013, vykazují požadavek na upravený pákový poměr v souladu s čl. 429a odst. 7 uvedeného nařízení. Pokud není stanoven žádný formální požadavek, ponechají subjekty tuto buňku prázdnou.</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Požadavky na celkový kapitálový poměr podle procesu přezkumu a vyhodnocení (TSCR)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Součet bodů i) a ii):</w:t>
            </w:r>
          </w:p>
          <w:p w14:paraId="65D1EF4B" w14:textId="039EDBDE"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celkový kapitálový poměr (8 %), jak je uvedeno v čl. 92 odst. 1 písm. c) nařízení (EU) č. 575/2013; </w:t>
            </w:r>
          </w:p>
          <w:p w14:paraId="41D5EECE" w14:textId="5F202AC7" w:rsidR="00517EFA" w:rsidRPr="00D92B3C" w:rsidRDefault="00517EFA" w:rsidP="0073582D">
            <w:pPr>
              <w:pStyle w:val="InstructionsText"/>
              <w:ind w:left="789"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poměr dodatečných kapitálových požadavků (požadavky pilíře 2 – P2R) určený v souladu s článkem 104a směrnice 2013/36/EU a s pokyny EBA o společných postupech a metodikách pro proces dohledu a hodnocení a zátěžové testování v rámci dohledu – konsolidované znění (EBA/GL/2014/13).</w:t>
            </w:r>
          </w:p>
          <w:p w14:paraId="47373784" w14:textId="77777777" w:rsidR="00517EFA" w:rsidRPr="00D92B3C" w:rsidRDefault="00517EFA" w:rsidP="0073582D">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Tato položka vyjadřuje požadavky na celkový kapitálový poměr podle procesu přezkumu a vyhodnocení (TSCR) sdělený institucí příslušným orgánem. Požadavky na celkový SREP kapitálový poměr jsou definovány v části 1.2 pokynů EBA SREP GL.</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Jestliže příslušný orgán nesdělil žádné dodatečné kapitálové požadavky, uvádí se pouze bod 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TSCR: složený z kapitálu CET1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Součet bodů i) a ii):</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poměr kapitálu CET1(4,5 %), jak je stanoven v čl. 92 odst. 1 písm. a) nařízení (EU) č. 575/2013;</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část poměru P2R podle bodu ii) řádku 0300, která musí být podle požadavku příslušného orgánu držena ve formě kapitálu CET1.</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Jestliže příslušný orgán nesdělil žádné dodatečné požadavky na kapitál, který má být udržován ve formě kapitálu CET1, uvádí se pouze bod 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73582D">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TSCR: složený z kapitálu tier 1</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Součet bodů i) a ii):</w:t>
            </w:r>
          </w:p>
          <w:p w14:paraId="4092817A" w14:textId="3DA48819" w:rsidR="00122E1B" w:rsidRPr="00D92B3C" w:rsidRDefault="00122E1B" w:rsidP="00D829EE">
            <w:pPr>
              <w:pStyle w:val="InstructionsText"/>
              <w:numPr>
                <w:ilvl w:val="0"/>
                <w:numId w:val="28"/>
              </w:numPr>
              <w:rPr>
                <w:rFonts w:ascii="Times New Roman" w:hAnsi="Times New Roman" w:cs="Times New Roman"/>
                <w:color w:val="000000" w:themeColor="text1"/>
                <w:sz w:val="20"/>
                <w:szCs w:val="20"/>
              </w:rPr>
            </w:pPr>
            <w:r>
              <w:rPr>
                <w:rFonts w:ascii="Times New Roman" w:hAnsi="Times New Roman"/>
                <w:color w:val="000000" w:themeColor="text1"/>
                <w:sz w:val="20"/>
                <w:szCs w:val="20"/>
              </w:rPr>
              <w:t>kapitálový poměr tier 1 (6 %), jak je stanoven v čl. 92 odst. 1 písm. b) nařízení (EU) č. 575/2013;</w:t>
            </w:r>
          </w:p>
          <w:p w14:paraId="4F7DF8CA" w14:textId="5C8A1C12" w:rsidR="00122E1B" w:rsidRPr="00D92B3C" w:rsidRDefault="00122E1B" w:rsidP="00D829EE">
            <w:pPr>
              <w:pStyle w:val="InstructionsText"/>
              <w:numPr>
                <w:ilvl w:val="0"/>
                <w:numId w:val="28"/>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část poměru P2R uvedeného v bodu ii) řádku 0300, který má být podle požadavku příslušného orgánu udržován ve formě kmenového kapitálu tier 1.</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Jestliže příslušný orgán nesdělil žádné dodatečné požadavky na kapitál, který má být udržován ve formě kmenového kapitálu tier 1, uvádí se pouze bod 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Požadavek kombinovaných kapitálových rezerv</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128 bod 6 směrnice 2013/36/EU</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Bezpečnostní kapitálová rezerva</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Ustanovení čl. 128 bodu 1) a  článku 129 směrnice 2013/36/EU</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Bezpečnostní kapitálová rezerva představuje podle čl. 129 odst. 1 uvedené směrnice dodatečný objem </w:t>
            </w:r>
            <w:r>
              <w:rPr>
                <w:rFonts w:ascii="Times New Roman" w:hAnsi="Times New Roman"/>
                <w:color w:val="000000" w:themeColor="text1"/>
                <w:sz w:val="20"/>
                <w:szCs w:val="20"/>
              </w:rPr>
              <w:lastRenderedPageBreak/>
              <w:t>kmenového kapitálu tier 1. Vzhledem ke skutečnosti, že bezpečnostní kapitálová rezerva 2,5 % je stabilní, vykazuje se v této buňce částka.</w:t>
            </w:r>
          </w:p>
          <w:p w14:paraId="09409E4E" w14:textId="77777777" w:rsidR="00046CD0" w:rsidRPr="00BB4805"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Bezpečnostní rezerva v důsledku makroobezřetnostního nebo systémového rizika zjištěného na úrovni členského státu</w:t>
            </w:r>
          </w:p>
          <w:p w14:paraId="76B66FEC" w14:textId="77777777" w:rsidR="005337DD" w:rsidRPr="00BB4805"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Čl. 458 odst. 2 písm. d) bod iv) nařízení (EU) č.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V této buňce se vykazuje výše bezpečnostní rezervy v důsledku makroobezřetnostního nebo systémového rizika zjištěného na úrovni členského státu, která může být vyžadována podle článku 458 nařízení (EU) č. 575/2013 vedle bezpečnostní kapitálové rezervy.</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Vykazovaná částka představuje částku kapitálu potřebného na splnění příslušných požadavků na kapitálovou rezervu k datu vykázání.</w:t>
            </w:r>
          </w:p>
          <w:p w14:paraId="30AC9E9B" w14:textId="77777777" w:rsidR="005337DD" w:rsidRPr="00BB4805"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Proticyklická kapitálová rezerva stanovená konkrétně pro danou instituci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Ustanovení čl. 128 bodu 2 a článků 130 a 135 až 140 směrnice 2013/36/EU</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(viz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Vykazovaná částka představuje částku kapitálu potřebného na splnění příslušných požadavků na kapitálovou rezervu k datu vykázání.</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Kapitálová rezerva pro krytí systémového rizika</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Ustanovení čl. 128 bodu 5) a  článků 133 a 134 směrnice 2013/36/EU</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(viz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Vykazovaná částka představuje částku kapitálu potřebného na splnění příslušných požadavků na kapitálovou rezervu k datu vykázání.</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Kapitálová rezerva pro globální systémově významné instituce (G-SVI)</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Ustanovení čl. 128 bodu 3) a  článku 131 směrnice 2013/36/EU</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Vykazovaná částka představuje částku kapitálu potřebného na splnění příslušných požadavků na kapitálovou rezervu k datu vykázání.</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Kapitálová rezerva pro jiné systémově významné instituce (J-SVI)</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Ustanovení čl. 128 bodu 4) a  článku 131 směrnice 2013/36/EU</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Vykazovaná částka představuje částku kapitálu potřebného na splnění příslušných požadavků na kapitálovou rezervu k datu vykázání.</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D92B3C" w:rsidRDefault="005C514D"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Poměr celkových kapitálových požadavků</w:t>
            </w:r>
          </w:p>
          <w:p w14:paraId="47F23FA2" w14:textId="77777777" w:rsidR="00B4561B" w:rsidRPr="00D92B3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03.00;160;010}</w:t>
            </w:r>
          </w:p>
          <w:p w14:paraId="338006B0" w14:textId="77777777" w:rsidR="00B77E4E" w:rsidRPr="00D92B3C" w:rsidRDefault="00B77E4E"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Součet následujících bodů i) a ii):</w:t>
            </w:r>
          </w:p>
          <w:p w14:paraId="518D69CD" w14:textId="77777777"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požadavky na celkový SREP kapitálový poměr uvedený v řádku 0300;</w:t>
            </w:r>
          </w:p>
          <w:p w14:paraId="3920AB79" w14:textId="3EA1BC1C" w:rsidR="00B77E4E" w:rsidRPr="00D92B3C" w:rsidRDefault="00B77E4E" w:rsidP="00D829EE">
            <w:pPr>
              <w:pStyle w:val="InstructionsText"/>
              <w:numPr>
                <w:ilvl w:val="0"/>
                <w:numId w:val="29"/>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pokud je to v souladu s platnými právními předpisy, poměr požadavku kombinovaných kapitálových rezerv uvedený v čl. 128 bodě 6 směrnice 2013/36/EU.</w:t>
            </w:r>
          </w:p>
          <w:p w14:paraId="355F1E2B" w14:textId="3160F130" w:rsidR="00B77E4E" w:rsidRPr="00D92B3C" w:rsidRDefault="00B77E4E"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Tato položka vyjadřuje poměr celkových kapitálových požadavků definovaný v části 1.2 pokynů EBA SREP GL.</w:t>
            </w:r>
          </w:p>
          <w:p w14:paraId="1D152FF7" w14:textId="77777777" w:rsidR="00B77E4E" w:rsidRPr="00D92B3C" w:rsidRDefault="00B77E4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Jestliže se neuplatňuje žádný požadavek na rezervu, uvádí se pouze bod 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složený z kapitálu CET1</w:t>
            </w:r>
          </w:p>
          <w:p w14:paraId="5AB756A7"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03.00;170;010}</w:t>
            </w:r>
          </w:p>
          <w:p w14:paraId="46842D1E" w14:textId="77777777" w:rsidR="004E1838" w:rsidRPr="00D92B3C" w:rsidRDefault="004E1838"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Součet následujících bodů i) a ii):</w:t>
            </w:r>
          </w:p>
          <w:p w14:paraId="57C3C525" w14:textId="77777777" w:rsidR="004E1838" w:rsidRPr="00D92B3C" w:rsidRDefault="004E1838" w:rsidP="00D829EE">
            <w:pPr>
              <w:pStyle w:val="InstructionsText"/>
              <w:numPr>
                <w:ilvl w:val="0"/>
                <w:numId w:val="3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požadavky na celkový SREP kapitálový poměr složený z kapitálu CET1 uvedený v řádku 0310;</w:t>
            </w:r>
          </w:p>
          <w:p w14:paraId="0C6EEFD7" w14:textId="2F9AF612" w:rsidR="004E1838" w:rsidRPr="00D92B3C" w:rsidRDefault="004E1838" w:rsidP="00D829EE">
            <w:pPr>
              <w:pStyle w:val="InstructionsText"/>
              <w:numPr>
                <w:ilvl w:val="0"/>
                <w:numId w:val="30"/>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pokud je to v souladu s platnými právními předpisy, poměr požadavku kombinovaných kapitálových rezerv uvedený v čl. 128 bodě 6 směrnice 2013/36/EU.</w:t>
            </w:r>
          </w:p>
          <w:p w14:paraId="16F3C4F4"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Jestliže se neuplatňuje žádný požadavek na rezervu, uvádí se pouze bod 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   OCR: složený z kapitálu tier 1</w:t>
            </w:r>
          </w:p>
          <w:p w14:paraId="37885BB5" w14:textId="77777777" w:rsidR="004E1838" w:rsidRPr="00D92B3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03.00;180;010}</w:t>
            </w:r>
          </w:p>
          <w:p w14:paraId="053307FF" w14:textId="77777777" w:rsidR="004E1838" w:rsidRPr="00D92B3C" w:rsidRDefault="004E1838" w:rsidP="00C80BDE">
            <w:pPr>
              <w:pStyle w:val="InstructionsText"/>
              <w:numPr>
                <w:ilvl w:val="0"/>
                <w:numId w:val="0"/>
              </w:numPr>
              <w:ind w:firstLine="221"/>
              <w:rPr>
                <w:rFonts w:ascii="Times New Roman" w:hAnsi="Times New Roman" w:cs="Times New Roman"/>
                <w:color w:val="000000" w:themeColor="text1"/>
                <w:sz w:val="20"/>
                <w:szCs w:val="20"/>
              </w:rPr>
            </w:pPr>
            <w:r>
              <w:rPr>
                <w:rFonts w:ascii="Times New Roman" w:hAnsi="Times New Roman"/>
                <w:color w:val="000000" w:themeColor="text1"/>
                <w:sz w:val="20"/>
                <w:szCs w:val="20"/>
              </w:rPr>
              <w:t>Součet následujících bodů i) a ii):</w:t>
            </w:r>
          </w:p>
          <w:p w14:paraId="11C681EE" w14:textId="77777777" w:rsidR="004E1838" w:rsidRPr="00D92B3C" w:rsidRDefault="004E1838" w:rsidP="00D829EE">
            <w:pPr>
              <w:pStyle w:val="InstructionsText"/>
              <w:numPr>
                <w:ilvl w:val="0"/>
                <w:numId w:val="31"/>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požadavky na celkový SREP kapitálový poměr složený z kmenového kapitálu tier 1, uvedený v řádku 0320;</w:t>
            </w:r>
          </w:p>
          <w:p w14:paraId="07733519" w14:textId="3AD55733" w:rsidR="004E1838" w:rsidRPr="00D92B3C" w:rsidRDefault="004E1838" w:rsidP="00D829EE">
            <w:pPr>
              <w:pStyle w:val="InstructionsText"/>
              <w:numPr>
                <w:ilvl w:val="0"/>
                <w:numId w:val="31"/>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pokud je to v souladu s platnými právními předpisy, poměr požadavku kombinovaných kapitálových rezerv uvedený v čl. 128 bodě 6 směrnice 2013/36/EU.</w:t>
            </w:r>
          </w:p>
          <w:p w14:paraId="69C8A4F2" w14:textId="77777777" w:rsidR="004E1838" w:rsidRPr="00D92B3C" w:rsidRDefault="004E1838"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Jestliže se neuplatňuje žádný požadavek na rezervu, uvádí se pouze bod 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Poměr celkových kapitálových požadavků a požadavků podle pokynů v rámci pilíře 2 (P2G)</w:t>
            </w:r>
          </w:p>
          <w:p w14:paraId="5249627D"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03.00;190;010}</w:t>
            </w:r>
          </w:p>
          <w:p w14:paraId="64543DA2"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Součet následujících bodů i) a ii):</w:t>
            </w:r>
          </w:p>
          <w:p w14:paraId="0ECD6318" w14:textId="77777777" w:rsidR="00B27F8F" w:rsidRPr="00D92B3C" w:rsidRDefault="00B27F8F" w:rsidP="00D829EE">
            <w:pPr>
              <w:pStyle w:val="InstructionsText"/>
              <w:numPr>
                <w:ilvl w:val="0"/>
                <w:numId w:val="32"/>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poměr celkových kapitálových požadavků uvedený v řádku 0500;</w:t>
            </w:r>
          </w:p>
          <w:p w14:paraId="785F5121" w14:textId="77777777" w:rsidR="00B27F8F" w:rsidRPr="00D92B3C" w:rsidRDefault="00B27F8F" w:rsidP="00D829EE">
            <w:pPr>
              <w:pStyle w:val="InstructionsText"/>
              <w:numPr>
                <w:ilvl w:val="0"/>
                <w:numId w:val="32"/>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případně, požadavky podle pokynů v rámci pilíře 2 (P2G) definované v dokumentu EBA SREP GL. Požadavky podle pokynů v rámci pilíře 2 se zahrnují pouze v případě, že je instituci sdělil příslušný orgán</w:t>
            </w:r>
          </w:p>
          <w:p w14:paraId="7BB84EC7" w14:textId="77777777" w:rsidR="00FE3E96"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Jestliže příslušný orgán nesdělil žádné požadavky podle pokynů v rámci pilíře 2, uvádí se pouze bod 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složený z kapitálu CET1</w:t>
            </w:r>
          </w:p>
          <w:p w14:paraId="2974E8C9"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03.00;200;010}</w:t>
            </w:r>
          </w:p>
          <w:p w14:paraId="05132510"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Součet následujících bodů i) a ii):</w:t>
            </w:r>
          </w:p>
          <w:p w14:paraId="4A819993" w14:textId="58DFB542" w:rsidR="00B27F8F" w:rsidRPr="00D92B3C" w:rsidRDefault="00B27F8F" w:rsidP="00D829EE">
            <w:pPr>
              <w:pStyle w:val="InstructionsText"/>
              <w:numPr>
                <w:ilvl w:val="0"/>
                <w:numId w:val="33"/>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poměr OCR z kapitálu CET1 uvedený v řádku 0510;</w:t>
            </w:r>
          </w:p>
          <w:p w14:paraId="68ED702C" w14:textId="77777777" w:rsidR="00B27F8F" w:rsidRPr="00D92B3C" w:rsidRDefault="00B27F8F" w:rsidP="00D829EE">
            <w:pPr>
              <w:pStyle w:val="InstructionsText"/>
              <w:numPr>
                <w:ilvl w:val="0"/>
                <w:numId w:val="33"/>
              </w:numPr>
              <w:rPr>
                <w:rFonts w:ascii="Times New Roman" w:hAnsi="Times New Roman" w:cs="Times New Roman"/>
                <w:bCs/>
                <w:color w:val="000000" w:themeColor="text1"/>
                <w:sz w:val="20"/>
                <w:szCs w:val="20"/>
                <w:u w:val="single"/>
              </w:rPr>
            </w:pPr>
            <w:r>
              <w:rPr>
                <w:rFonts w:ascii="Times New Roman" w:hAnsi="Times New Roman"/>
                <w:color w:val="000000" w:themeColor="text1"/>
                <w:sz w:val="20"/>
                <w:szCs w:val="20"/>
              </w:rPr>
              <w:t>případně část poměru P2G uvedeného v bodu ii) v řádku 0600, který má být podle požadavku příslušného orgánu udržován ve formě kapitálu CET1. Požadavky podle pokynů v rámci pilíře 2 se zahrnují pouze v případě, že je instituci sdělil příslušný orgán.</w:t>
            </w:r>
          </w:p>
          <w:p w14:paraId="77F524AB"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Jestliže příslušný orgán nesdělil žádné požadavky podle pokynů v rámci pilíře 2, uvádí se pouze bod 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D92B3C" w:rsidRDefault="00B27F8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OCR a P2G: složený z kapitálu tier 1</w:t>
            </w:r>
          </w:p>
          <w:p w14:paraId="17D0C8FC" w14:textId="77777777" w:rsidR="00B27F8F"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03.00;210;010}</w:t>
            </w:r>
          </w:p>
          <w:p w14:paraId="3FBB27DD" w14:textId="77777777" w:rsidR="00B27F8F" w:rsidRPr="00D92B3C" w:rsidRDefault="00B27F8F" w:rsidP="00C80BDE">
            <w:pPr>
              <w:pStyle w:val="InstructionsText"/>
              <w:numPr>
                <w:ilvl w:val="0"/>
                <w:numId w:val="0"/>
              </w:numPr>
              <w:rPr>
                <w:rFonts w:ascii="Times New Roman" w:hAnsi="Times New Roman" w:cs="Times New Roman"/>
                <w:color w:val="000000" w:themeColor="text1"/>
                <w:sz w:val="20"/>
                <w:szCs w:val="20"/>
              </w:rPr>
            </w:pPr>
            <w:r>
              <w:rPr>
                <w:rFonts w:ascii="Times New Roman" w:hAnsi="Times New Roman"/>
                <w:color w:val="000000" w:themeColor="text1"/>
                <w:sz w:val="20"/>
                <w:szCs w:val="20"/>
              </w:rPr>
              <w:t>Součet následujících bodů i) a ii):</w:t>
            </w:r>
          </w:p>
          <w:p w14:paraId="09F52B98"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poměr celkových kapitálových požadavků složený z kmenového kapitálu tier 1 uvedený v řádku 0520;</w:t>
            </w:r>
          </w:p>
          <w:p w14:paraId="1D9625AF" w14:textId="77777777" w:rsidR="00B27F8F" w:rsidRPr="00D92B3C" w:rsidRDefault="00B27F8F" w:rsidP="00D829EE">
            <w:pPr>
              <w:pStyle w:val="InstructionsText"/>
              <w:numPr>
                <w:ilvl w:val="0"/>
                <w:numId w:val="34"/>
              </w:numPr>
              <w:rPr>
                <w:rFonts w:ascii="Times New Roman" w:hAnsi="Times New Roman" w:cs="Times New Roman"/>
                <w:color w:val="000000" w:themeColor="text1"/>
                <w:sz w:val="20"/>
                <w:szCs w:val="20"/>
              </w:rPr>
            </w:pPr>
            <w:r>
              <w:rPr>
                <w:rFonts w:ascii="Times New Roman" w:hAnsi="Times New Roman"/>
                <w:color w:val="000000" w:themeColor="text1"/>
                <w:sz w:val="20"/>
                <w:szCs w:val="20"/>
              </w:rPr>
              <w:t>případně část poměru P2G uvedeného v bodu ii) v řádku 600, který má být podle požadavku příslušného orgánu udržován ve formě kmenového kapitálu tier 1. Požadavky podle pokynů v rámci pilíře 2 se zahrnují pouze v případě, že je instituci sdělil příslušný orgán.</w:t>
            </w:r>
          </w:p>
          <w:p w14:paraId="24307EA5" w14:textId="77777777" w:rsidR="00E05E83" w:rsidRPr="00D92B3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Jestliže příslušný orgán nesdělil žádné požadavky podle pokynů v rámci pilíře 2, uvádí se pouze bod i).</w:t>
            </w:r>
          </w:p>
        </w:tc>
      </w:tr>
    </w:tbl>
    <w:p w14:paraId="4396EC85" w14:textId="77777777" w:rsidR="00FE3E96" w:rsidRPr="00BB4805"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6349036"/>
      <w:r>
        <w:rPr>
          <w:rFonts w:ascii="Times New Roman" w:hAnsi="Times New Roman"/>
          <w:szCs w:val="20"/>
        </w:rPr>
        <w:t>Z 04.00 – Finanční propojení v rámci skupiny (IFC)</w:t>
      </w:r>
      <w:bookmarkEnd w:id="16"/>
      <w:bookmarkEnd w:id="17"/>
    </w:p>
    <w:p w14:paraId="651647D3" w14:textId="77777777" w:rsidR="00E13CE3" w:rsidRPr="00D92B3C" w:rsidRDefault="00AD2380" w:rsidP="00EC261B">
      <w:pPr>
        <w:pStyle w:val="Instructionsberschrift3"/>
      </w:pPr>
      <w:r>
        <w:t>Obecné poznámky</w:t>
      </w:r>
    </w:p>
    <w:p w14:paraId="22CE4358"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V tomto vzoru jsou vyžadovány údaje o závazcích v rámci skupiny, které nejsou vyloučeny z rekapitalizace z vnitřních zdrojů, kapitálových nástrojích a zárukách. </w:t>
      </w:r>
    </w:p>
    <w:p w14:paraId="5DFA4AB4" w14:textId="77777777" w:rsidR="00395330" w:rsidRPr="00D92B3C" w:rsidRDefault="0039533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Vykazují se všechna finanční propojení mezi příslušnými právními subjekty, které jsou zahrnuty do konsolidovaných účetních závěrek. Vykazované částky jsou souhrnné, pokud se týkají stejných protistran (emitenta i subjektu, v jehož prospěch byla záruka poskytnuta, věřitele, držitele i poskytovatele záruky) a stejného druhu závazků, kapitálových nástrojů nebo záruk.</w:t>
      </w:r>
    </w:p>
    <w:p w14:paraId="6610BD05" w14:textId="77777777" w:rsidR="00E13CE3" w:rsidRPr="00D92B3C" w:rsidRDefault="00E13CE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Kombinace hodnot vykázaných ve sloupcích 0020, 0040 a 0050 tohoto vzoru tvoří hlavní klíč, který musí být jedinečný pro každý řádek vzoru.</w:t>
      </w:r>
    </w:p>
    <w:p w14:paraId="2B305CA8" w14:textId="77777777" w:rsidR="00E13CE3" w:rsidRPr="00D92B3C" w:rsidRDefault="00E13CE3" w:rsidP="00715DAB">
      <w:pPr>
        <w:pStyle w:val="Instructionsberschrift3"/>
      </w:pPr>
      <w:r>
        <w:t>Pokyny týkající se konkrétních pozic</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Sloupce</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Pokyny</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Emitent nebo subjekt, v jehož prospěch byla záruka poskytnuta</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Právní subjekt, který vydává závazky nebo kapitálový nástroj nebo je subjektem, v jehož prospěch byla záruka poskytnuta.</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Název subjektu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Musí být jiný než název subjektu uvedený ve sloupci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Kód emitenta nebo příjemce záruky. U institucí je kódem 20místný alfanumerický kód LEI. U jiných subjektů je kódem 20místný alfanumerický kód LEI nebo, není-li k dispozici, kód podle jednotné kodifikace platné v Unii nebo, není-li k dispozici, vnitrostátní kód.</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Tento kód je jedinečný a používá se jednotně ve všech vzorech.</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Kód musí být jiný než kód uvedený ve sloupci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Věřitel, držitel nebo poskytovatel záruky</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Právní subjekt, který je věřitelem závazku, drží kapitálový nástroj nebo poskytuje záruku.</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Název subjektu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Musí být jiný než název subjektu uvedený ve sloupci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Kód věřitele, držitele nebo poskytovatele záruky. U institucí je kódem 20místný alfanumerický kód LEI. U jiných subjektů je kódem 20místný alfanumerický kód LEI nebo, není-li k dispozici, kód podle jednotné kodifikace platné v Unii nebo, není-li k dispozici, vnitrostátní kód.</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Tento kód je jedinečný a používá se jednotně ve všech vzorech.</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Musí být jiný než kód uvedený ve sloupci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 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Finanční propojení</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 tomto poli se popisuje finanční propojení mezi příslušnými právními subjekty.</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Druh</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Vybere se z následujícího seznamu:</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Závazky v rámci skupiny</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Vklady, které nejsou pojištěné, ale jsou přednostní</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Vklady, které nejsou pojištěné a nejsou přednostní</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Závazky vyplývající z derivátů (částky po závěrečném vypořádání)</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Nekolateralizované zajištěné závazky</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Strukturované dluhopisy</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Prioritní nezajištěné závazky</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Prioritní nepreferenční závazky</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Podřízené závazky</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Jiné způsobilé závazky podle minimálních požadavků na kapitál</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Nefinanční závazky</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Zbývající závazky</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0400 Každý závazek nevykázaný v předchozích položkách.</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Kapitál tier 2</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Vedlejší kapitál tier 1</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Kmenový kapitál tier 1</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Stejná definice jako v Z 02.00 (LIAB), řádek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Záruky v rámci skupiny</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Emise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Záruky za konkrétní nástroje/závazky, které byly vydány</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Protistrana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Záruky poskytnuté konkrétní protistraně instituce</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Neomezené</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Obecné záruky neomezené na pevnou částku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Jiné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Jakýkoli druh záruky neuvedený v předchozích druzích.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Zůstatek</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závazků (sloupec 0050, druhy L.1, L.2 a L.4 – L.14) zůstatek závazků v rámci skupiny; u závazků vyplývajících z derivátů (druh L.3) částky po závěrečném vypořádání definované pro účely vzoru Z 02.00 (LIAB), řádek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 záruk (sloupec 0050, hodnoty G.1–G.4) maximální potenciální částka budoucích plateb ze záruky.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 toho vydané podle práva třetí země</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Podíl zůstatku v peněžním vyjádření, který se řídí právem třetí země.</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Z toho: způsobilé závazky podle minimálních požadavků na kapitál</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Výše kapitálu a závazků způsobilých ke splnění požadavku stanoveného v článku 45 směrnice 2014/59/EU.</w:t>
            </w:r>
            <w:r>
              <w:t xml:space="preserve"> </w:t>
            </w:r>
          </w:p>
        </w:tc>
      </w:tr>
    </w:tbl>
    <w:p w14:paraId="27337152" w14:textId="77777777" w:rsidR="00E13CE3" w:rsidRPr="00BB4805"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6349037"/>
      <w:r>
        <w:rPr>
          <w:rFonts w:ascii="Times New Roman" w:hAnsi="Times New Roman"/>
          <w:szCs w:val="20"/>
        </w:rPr>
        <w:t xml:space="preserve">Z 05.01 a Z 05.02 - </w:t>
      </w:r>
      <w:bookmarkStart w:id="19" w:name="_Toc492542325"/>
      <w:r>
        <w:rPr>
          <w:rFonts w:ascii="Times New Roman" w:hAnsi="Times New Roman"/>
          <w:szCs w:val="20"/>
        </w:rPr>
        <w:t>Hlavní protistrany (MCP)</w:t>
      </w:r>
      <w:bookmarkEnd w:id="18"/>
      <w:bookmarkEnd w:id="19"/>
    </w:p>
    <w:p w14:paraId="3CC29F42" w14:textId="77777777" w:rsidR="00BF5063" w:rsidRPr="00D92B3C" w:rsidRDefault="00BF5063" w:rsidP="00715DAB">
      <w:pPr>
        <w:pStyle w:val="Instructionsberschrift3"/>
      </w:pPr>
      <w:r>
        <w:t>Obecné poznámky</w:t>
      </w:r>
    </w:p>
    <w:p w14:paraId="116486F6" w14:textId="77777777" w:rsidR="00747EE2" w:rsidRPr="00D92B3C" w:rsidRDefault="005B6B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 těchto vzorech se uvádějí informace o závazcích vůči hlavním protistranám (Z 05.01) a podrozvahových položkách přijatých od hlavních protistran (Z 05.02). Vykázané částky jsou souhrnné, pokud patří stejné protistraně a představují stejný druh závazků nebo podrozvahových položek.</w:t>
      </w:r>
    </w:p>
    <w:p w14:paraId="589A58FE" w14:textId="77777777" w:rsidR="0056559D" w:rsidRPr="00D92B3C" w:rsidRDefault="007B491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 těchto vzorech se nevykazují závazky a podrozvahové položky, u nichž nelze určit protistranu. Nevykazují se závazky a podrozvahové položky, u nichž je protistranou subjekt zahrnutý do konsolidovaných účetních závěrek.</w:t>
      </w:r>
    </w:p>
    <w:p w14:paraId="3454E902" w14:textId="77777777" w:rsidR="00DF1EA4" w:rsidRPr="00D92B3C" w:rsidRDefault="00F7117F" w:rsidP="00715DAB">
      <w:pPr>
        <w:pStyle w:val="Instructionsberschrift3"/>
      </w:pPr>
      <w:r>
        <w:t>Z 05.01 – Závazky vůči hlavním protistranám – Pokyny týkající se konkrétních pozic</w:t>
      </w:r>
    </w:p>
    <w:p w14:paraId="387BB84F" w14:textId="77777777" w:rsidR="00DF1EA4" w:rsidRPr="00D92B3C" w:rsidRDefault="00DF1EA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Kombinace hodnot vykázaných ve sloupcích 0020 a 0060 tohoto vzoru tvoří hlavní klíč, který musí být jedinečný pro každý řádek vzoru.</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Sloupce</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Pokyny</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Protistrana</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Informace o hlavních protistranách, v souvislosti s nimiž závazky vznikají.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Hlavní protistrany se určí sečtením zůstatků všech závazků subjektu nebo skupiny, za něž se výkaz předkládá, vůči každé protistraně nebo ekonomicky spjaté skupině klientů, kromě závazků vůči subjektům zahrnutým do konsolidovaných účetních závěrek.</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Protistrany a ekonomicky spjaté skupiny protistran se poté seřadí podle souhrnných zůstatků, aby bylo možné určit 10 největších hlavních protistran, o nichž se v tomto vzoru uvádějí informace.</w:t>
            </w:r>
          </w:p>
          <w:p w14:paraId="06033B0A" w14:textId="77777777" w:rsidR="00AD011A" w:rsidRPr="00BB4805"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Definice „ekonomicky spjaté skupiny protistran“ odpovídá definici „ekonomicky spjaté skupiny klientů“ stanovené v čl. 4 odst. 1 bodě 39 nařízení (EU) č. 575/2013. </w:t>
            </w:r>
          </w:p>
          <w:p w14:paraId="294E9015" w14:textId="77777777" w:rsidR="00AD011A" w:rsidRPr="00BB4805"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Pro účely tohoto vzoru nesmí být protistranou subjekt zahrnutý do konsolidovaných účetních závěrek.</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 subjektu</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Název hlavní protistrany, případně název ekonomicky spjaté skupiny klientů.</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Názvem ekonomicky spjaté skupiny klientů je název mateřské společnosti, případně obchodní firma společnosti, pokud ekonomicky spjatá skupina klientů nemá mateřskou společnost.</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Kód hlavní protistrany nebo ekonomicky spjaté skupiny klientů. U institucí je kódem 20místný alfanumerický kód LEI. U jiných subjektů je kódem 20místný alfanumerický kód LEI nebo, není-li k dispozici, kód podle jednotné kodifikace platné v Unii nebo, není-li k dispozici, vnitrostátní kód.</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Tento kód je jedinečný a používá se jednotně ve všech vzorech.</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Skupina nebo jednotlivá protistrana</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Instituce uvede „1“ pro jednotlivé hlavní protistrany a „2“ pro ekonomicky spjaté skupiny klientů.</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Stát</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Dvoupísmenný kód ISO 3166–1 státu, v němž je protistrana registrována. Zahrnuje pseudo-ISO kódy pro mezinárodní organizace, které jsou k dispozici v posledním vydání příručky Eurostatu „</w:t>
            </w:r>
            <w:r>
              <w:rPr>
                <w:rFonts w:ascii="Times New Roman" w:hAnsi="Times New Roman"/>
                <w:i/>
                <w:iCs/>
                <w:color w:val="000000" w:themeColor="text1"/>
                <w:sz w:val="20"/>
                <w:szCs w:val="20"/>
              </w:rPr>
              <w:t>Balance of Payments Vademecum</w:t>
            </w:r>
            <w:r>
              <w:rPr>
                <w:rFonts w:ascii="Times New Roman" w:hAnsi="Times New Roman"/>
                <w:color w:val="000000" w:themeColor="text1"/>
                <w:sz w:val="20"/>
                <w:szCs w:val="20"/>
              </w:rPr>
              <w:t xml:space="preserve">“.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Stát se určí odkazem na sídlo protistrany. U ekonomicky spjatých skupin klientů stát, v němž je registrována mateřská společnost.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Odvětví</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Každé protistraně se přiřadí jedno odvětví podle následujících tříd hospodářských odvětví (FINREP, příloha V, část 1, kapitola 6):</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centrální banky,</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ústřední vlády,</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úvěrové instituce,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jiné finanční podniky,</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nefinanční podniky,</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domácnosti.</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ekonomicky spjatých skupin klientů se žádné odvětví nevykazuje.</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Druh</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Druh závazku bude jeden z druhů uvedených ve vzoru Z 02.00 – Struktura pasiv (LIAB), a to:</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Závazky vyloučené z rekapitalizace z vnitřních zdrojů</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Vklady, které nejsou pojištěné, ale jsou přednostní</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Vklady, které nejsou pojištěné a nejsou přednostní;</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Závazky vyplývající z derivátů</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Nekolateralizované zajištěné závazky</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Strukturované dluhopisy</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Prioritní nezajištěné závazky</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Prioritní nepreferenční závazky</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Podřízené závazky (nevykazované jako kapitál)</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Jiné způsobilé závazky podle minimálních požadavků na kapitál</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Nefinanční závazky</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L.11.</w:t>
            </w:r>
            <w:r>
              <w:tab/>
            </w:r>
            <w:r>
              <w:rPr>
                <w:rFonts w:ascii="Times New Roman" w:hAnsi="Times New Roman"/>
                <w:color w:val="000000" w:themeColor="text1"/>
                <w:sz w:val="20"/>
                <w:szCs w:val="20"/>
              </w:rPr>
              <w:t>Zbývající závazky</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Jestliže se závazky vůči hlavní protistraně skládají z více než jednoho z uvedených druhů, vykazuje se každý druh závazku na samostatném řádku.</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Částka</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Částka se rovná definici „zůstatku“ uvedené ve vzoru Z 02.00 – Struktura pasiv. U závazků vyplývajících z derivátů (druh L.3) se vykazují částky po závěrečném vypořádání definované pro účely řádku 0333 vzoru Z 02.00.</w:t>
            </w:r>
          </w:p>
        </w:tc>
      </w:tr>
    </w:tbl>
    <w:p w14:paraId="3AE50F86" w14:textId="77777777" w:rsidR="00627D51" w:rsidRPr="00BB4805"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Podrozvahové položky přijaté od hlavních protistran: Pokyny týkající se konkrétních pozic</w:t>
      </w:r>
    </w:p>
    <w:p w14:paraId="6262D37D" w14:textId="77777777" w:rsidR="0056559D" w:rsidRPr="00D92B3C" w:rsidRDefault="005A6A0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Kombinace hodnot vykázaných ve sloupcích 0020 a 0060 tohoto vzoru tvoří hlavní klíč, který musí být jedinečný pro každý řádek vzoru.</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Protistrana</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Informace o podrozvahových položkách přijatých od hlavních protistran.</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Podrozvahové položky přijaté od hlavních protistran se určují sečtením celkové nominální výše příslibů a finančních záruk přijatých (podle definice pro účely FINREP, vzor F 09) subjektem nebo subjekty skupiny, za něž je výkaz předkládán, od protistran nebo ekonomicky spjaté skupiny klientů. Podrozvahové položky přijaté od hlavních protistran nezahrnují subjekty zahrnuté do konsolidovaných účetních závěrek skupiny. Protistrany a ekonomicky spjaté skupiny protistran se poté seřadí podle souhrnných částek, aby bylo možné určit 10 největších podrozvahových položek přijatých od hlavních protistran, o nichž se v tomto vzoru uvádějí informace.</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 účely tohoto vzoru se vykazují pouze protistrany, které nejsou zahrnuty do konsolidovaných účetních závěrek.</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 subjektu</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Viz pokyny k sloupci 0010 v Z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Viz pokyny k sloupci 0020 v Z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Skupina nebo jednotlivá protistrana</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Viz pokyny k sloupci 0030 v Z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Stát</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Viz pokyny k sloupci 0040 v Z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Odvětví</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Viz pokyny k sloupci 0050 v Z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Druh</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Druhem podrozvahové položky bude jeden z následujících druhů podle definice uvedené ve FINREP, vzor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Přijaté úvěrové přísliby</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OBS.2.</w:t>
            </w:r>
            <w:r>
              <w:tab/>
            </w:r>
            <w:r>
              <w:rPr>
                <w:rFonts w:ascii="Times New Roman" w:hAnsi="Times New Roman"/>
                <w:color w:val="000000" w:themeColor="text1"/>
                <w:sz w:val="20"/>
                <w:szCs w:val="20"/>
              </w:rPr>
              <w:t>Přijaté finanční záruky</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Ostatní přijaté úvěrové přísliby</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Jestliže se podrozvahové položky přijaté od hlavní protistrany skládají z více než jednoho z uvedených druhů, vykazuje se každý druh podrozvahové položky na samostatném řádku.</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Částka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6349038"/>
      <w:r>
        <w:rPr>
          <w:rFonts w:ascii="Times New Roman" w:hAnsi="Times New Roman"/>
          <w:szCs w:val="20"/>
        </w:rPr>
        <w:t>Z 06.00 – Pojištění vkladů (Z-DIS)</w:t>
      </w:r>
      <w:bookmarkEnd w:id="20"/>
      <w:bookmarkEnd w:id="21"/>
    </w:p>
    <w:p w14:paraId="3E891384" w14:textId="77777777" w:rsidR="008F7980" w:rsidRPr="00D92B3C" w:rsidRDefault="006A7DCF" w:rsidP="00715DAB">
      <w:pPr>
        <w:pStyle w:val="Instructionsberschrift3"/>
      </w:pPr>
      <w:r>
        <w:t>Obecné poznámky</w:t>
      </w:r>
    </w:p>
    <w:p w14:paraId="2BBE7EE7" w14:textId="2462787A" w:rsidR="0076289A" w:rsidRPr="00D92B3C" w:rsidRDefault="00DF64E1" w:rsidP="00D829EE">
      <w:pPr>
        <w:pStyle w:val="InstructionsText2"/>
        <w:numPr>
          <w:ilvl w:val="0"/>
          <w:numId w:val="26"/>
        </w:numPr>
        <w:spacing w:before="0"/>
        <w:ind w:left="714" w:hanging="357"/>
        <w:rPr>
          <w:rFonts w:ascii="Times New Roman" w:hAnsi="Times New Roman" w:cs="Times New Roman"/>
          <w:sz w:val="20"/>
          <w:szCs w:val="20"/>
        </w:rPr>
      </w:pPr>
      <w:bookmarkStart w:id="22" w:name="_Hlk89264673"/>
      <w:r>
        <w:rPr>
          <w:rFonts w:ascii="Times New Roman" w:hAnsi="Times New Roman"/>
          <w:sz w:val="20"/>
          <w:szCs w:val="20"/>
        </w:rPr>
        <w:t>Tento vzor poskytuje přehled pojištění vkladů v rámci skupiny. V tomto vzoru se vykazuje systém pojištění vkladů (DGS), je-li jeho členem příslušný právní subjekt skupiny.</w:t>
      </w:r>
    </w:p>
    <w:bookmarkEnd w:id="22"/>
    <w:p w14:paraId="4617367D" w14:textId="0F60D970" w:rsidR="000C2D75" w:rsidRPr="00D92B3C" w:rsidRDefault="0057049E"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Každá úvěrová instituce patřící do skupiny se vykazuje na samostatném řádku.</w:t>
      </w:r>
    </w:p>
    <w:p w14:paraId="039239B2" w14:textId="77777777" w:rsidR="006A7DCF" w:rsidRPr="00D92B3C" w:rsidRDefault="006A7DCF" w:rsidP="00715DAB">
      <w:pPr>
        <w:pStyle w:val="Instructionsberschrift3"/>
      </w:pPr>
      <w:r>
        <w:t>Pokyny týkající se konkrétních pozic</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Subjekt</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 subjektu</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Název subjektu vykázaný v Z 01.00 – Organizační struktura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Kód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Kód subjektu vykázaný v Z 01.00 – Organizační struktura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 to identifikátor řádku a musí být jedinečný pro každý řádek vzoru.</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Systém pojištění vkladů</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4 odst. 3 směrnice 2014/49/EU</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Název úředně uznaného systému pojištění vkladů, jehož je subjekt členem, podle směrnice 2014/49/EU. Bude to systém pojištění vkladů v členském státě, v němž je subjekt registrován, při vyloučení jiných systémů pojištění vkladů, které mohou v jiných členských státech poskytovat další („doplňkovou“) ochranu zákazníkům subjektu v pobočce v tomto členském státě. Pokud je instituce členem institucionálního systému ochrany, který je také úředně uznán jako systém pojištění vkladů podle čl. 4 odst. 2 směrnice 2014/49/EU, bude název systému pojištění vkladů stejný jako název institucionálního systému ochrany v řádku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Pro každou zemi, v níž je subjekt registrován, se systém pojištění vkladů vybere z tohoto seznamu:</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Pro Rakousko</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Belgie</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 / 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Bulharsko</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Фондът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Chorvatsko</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Kypr</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Česká republika</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Dánsko</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Estonsko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Finsko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Francie</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Německo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Gibraltar</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Řecko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Maďarsko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Island</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Irsko</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Itálie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Lotyšsko</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Lichtenštejnsko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Litva</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Lucembursko</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Malta</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Nizozemsko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Norsko</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Polsko</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Portugalsko</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Rumunsko</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Slovensko</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Slovinsko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Španělsko</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Švédsko</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Jestliže úředně uznaný systém pojištění vkladů, jehož je subjekt členem, není výše uveden, vykáže se „jiný“.</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Výše pojištěných vkladů</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Ustanovení čl. 2 odst. 1 bodu 5) a čl. 6 odst. 2 směrnice 2014/49/EU</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Částka pojištěných vkladů podle definice v čl. 2 odst. 1 bodě 5 ve spojení s článkem 6 směrnice 2014/49/EU, krytých systémem pojištění vkladů v řádku 00030, kromě dočasných vysokých zůstatků podle definice uvedené v čl. 6 odst. 2 směrnice 2014/49/EU.</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Institucionální systém ochrany</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113 odst. 7 nařízení (EU) č.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Název institucionálního systému ochrany (IPS) uvedený v čl. 113 odst. 7 nařízení (EU) č. 575/2013, jehož je subjekt členem. Jestliže subjekt není členem institucionálního systému ochrany, nevykazujte nic. Pokud je subjekt členem institucionálního systému ochrany, který je také úředně uznán jako systém pojištění vkladů podle čl. 4 odst. 2 směrnice 2014/49/EU, bude název institucionálního systému ochrany stejný jako název systému pojištění vkladů v řádku 030.</w:t>
            </w:r>
          </w:p>
          <w:p w14:paraId="76DBA0CC" w14:textId="77777777" w:rsidR="0057049E" w:rsidRPr="00BB4805"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Doplňková ochrana podle smluvního systému</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1 odst. 3 písm. a) směrnice 2014/49/EU</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Výše vkladů krytých smluvním systémem u subjektu.</w:t>
            </w:r>
          </w:p>
        </w:tc>
      </w:tr>
    </w:tbl>
    <w:p w14:paraId="54A835DD" w14:textId="77777777" w:rsidR="0057049E" w:rsidRPr="00BB4805"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6349039"/>
      <w:r>
        <w:rPr>
          <w:rFonts w:ascii="Times New Roman" w:hAnsi="Times New Roman"/>
          <w:szCs w:val="20"/>
        </w:rPr>
        <w:t>Zásadní funkce a hlavní linie podnikání</w:t>
      </w:r>
      <w:bookmarkEnd w:id="23"/>
      <w:bookmarkEnd w:id="24"/>
    </w:p>
    <w:p w14:paraId="7F5A1735" w14:textId="77777777" w:rsidR="00AA4026" w:rsidRPr="00D92B3C" w:rsidRDefault="00AA4026" w:rsidP="00715DAB">
      <w:pPr>
        <w:pStyle w:val="Instructionsberschrift3"/>
      </w:pPr>
      <w:r>
        <w:t>Obecné poznámky</w:t>
      </w:r>
    </w:p>
    <w:p w14:paraId="3E394F27" w14:textId="7B9A5D62" w:rsidR="001D72E4" w:rsidRPr="00D92B3C" w:rsidRDefault="001D72E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Čtyři vzory v této části předkládají klíčové údaje a kvalitativní posouzení dopadu, nahraditelnosti a kritičnosti ekonomických funkcí poskytované skupinou a jsou doplněné o zmapování těchto zásadních funkcí podle hlavních směrů podnikání a právních subjektů.</w:t>
      </w:r>
    </w:p>
    <w:p w14:paraId="379E7199" w14:textId="77777777" w:rsidR="005B5989" w:rsidRPr="00D92B3C" w:rsidRDefault="0001511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Konkrétně se tyto vzory věnují následujícím tématům:</w:t>
      </w:r>
    </w:p>
    <w:p w14:paraId="5478B9AC" w14:textId="77777777" w:rsidR="004D12A4" w:rsidRPr="00D92B3C" w:rsidRDefault="0000307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Vzor Z 07.01 – Kritické posouzení ekonomických funkcí (FUNC 1) určuje podle kvantitativních a kvalitativních ukazatelů, zásadní funkce a funkce, které nemají zásadní charakter, vykonávané skupinou pro každý členský stát, v němž skupina působí;</w:t>
      </w:r>
    </w:p>
    <w:p w14:paraId="3677D314" w14:textId="472206BA" w:rsidR="00DF4780" w:rsidRPr="00D92B3C" w:rsidRDefault="000103D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Vzor Z 07.02 – Zmapování zásadních funkcí podle právních subjektů (FUNC 2) mapuje určené zásadní funkce podle právních subjektů a posuzuje, zda jsou jednotlivé právní subjekty považovány za podstatné pro výkon této zásadní funkce;</w:t>
      </w:r>
    </w:p>
    <w:p w14:paraId="2DE966B5" w14:textId="07E849D6" w:rsidR="00DF4780" w:rsidRPr="00D92B3C" w:rsidRDefault="00A75AB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Vzor Z 07.03 – Zmapování hlavních linií podnikání podle právních subjektů (FUNC 3) poskytuje úplný seznam hlavních linií podnikání a mapuje je podle právních subjektů;</w:t>
      </w:r>
    </w:p>
    <w:p w14:paraId="6E15E952" w14:textId="49503E5A" w:rsidR="00DF4780" w:rsidRPr="00D92B3C" w:rsidRDefault="00AD488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Vzor Z 07.04 – Zmapování zásadních funkcí podle hlavních linií podnikání (FUNC 4) mapuje určené zásadní funkce podle linií podnikání.</w:t>
      </w:r>
    </w:p>
    <w:p w14:paraId="59A4D823" w14:textId="055F9F3B" w:rsidR="003A344F" w:rsidRPr="00D92B3C" w:rsidRDefault="006B4A6D"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Podle čl. 2 odst. 1 bodu 35 směrnice 2014/59/EU </w:t>
      </w:r>
      <w:r>
        <w:rPr>
          <w:rFonts w:ascii="Arial Unicode MS" w:hAnsi="Arial Unicode MS"/>
          <w:color w:val="444444"/>
          <w:sz w:val="21"/>
          <w:szCs w:val="21"/>
          <w:shd w:val="clear" w:color="auto" w:fill="FFFFFF"/>
        </w:rPr>
        <w:t>„</w:t>
      </w:r>
      <w:r>
        <w:rPr>
          <w:rFonts w:ascii="Times New Roman" w:hAnsi="Times New Roman"/>
          <w:sz w:val="20"/>
          <w:szCs w:val="20"/>
        </w:rPr>
        <w:t>jsou zásadními funkcemi</w:t>
      </w:r>
      <w:r>
        <w:rPr>
          <w:rFonts w:ascii="Arial Unicode MS" w:hAnsi="Arial Unicode MS"/>
          <w:color w:val="444444"/>
          <w:sz w:val="21"/>
          <w:szCs w:val="21"/>
          <w:shd w:val="clear" w:color="auto" w:fill="FFFFFF"/>
        </w:rPr>
        <w:t>“</w:t>
      </w:r>
      <w:r>
        <w:rPr>
          <w:rFonts w:ascii="Times New Roman" w:hAnsi="Times New Roman"/>
          <w:sz w:val="20"/>
          <w:szCs w:val="20"/>
        </w:rPr>
        <w:t xml:space="preserve"> činnosti, služby nebo operace, jejichž přerušení by v jednom nebo více členských státech pravděpodobně vedlo k narušení služeb, jež mají zásadní význam pro reálnou ekonomiku, nebo k narušení finanční stability vzhledem k velikosti, podílu na trhu, vnější a vnitřní propojenosti, složitosti či přeshraniční činnosti instituce či skupiny, se zvláštním ohledem na nahraditelnost těchto činností, služeb či operací. </w:t>
      </w:r>
    </w:p>
    <w:p w14:paraId="24049F8B" w14:textId="5F10B718" w:rsidR="0056559D" w:rsidRPr="00D92B3C" w:rsidRDefault="003A344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Podle čl. 6 odst. 1) nařízení Komise v přenesené pravomoci (EU) 2016/778</w:t>
      </w:r>
      <w:r>
        <w:rPr>
          <w:rFonts w:ascii="Times New Roman" w:hAnsi="Times New Roman" w:cs="Times New Roman"/>
          <w:vertAlign w:val="superscript"/>
          <w:lang w:val="en-GB"/>
        </w:rPr>
        <w:footnoteReference w:id="18"/>
      </w:r>
      <w:r>
        <w:rPr>
          <w:rFonts w:ascii="Times New Roman" w:hAnsi="Times New Roman"/>
          <w:sz w:val="20"/>
          <w:szCs w:val="20"/>
        </w:rPr>
        <w:t>, se funkce považuje za zásadní, pokud splňuje obě tyto podmínky:</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instituce zajišťuje dotyčnou funkci pro třetí strany, které nejsou přidruženy k instituci ani skupině, a</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náhlé narušení této funkce by pravděpodobně mělo podstatný negativní dopad na třetí strany, mělo by za následek šíření krize nebo narušení celkové důvěry účastníků trhu kvůli systémovému významu funkce pro třetí strany a systémovému významu instituce nebo skupiny při zajišťování dotyčné funkce.</w:t>
      </w:r>
    </w:p>
    <w:p w14:paraId="7BDBA6EC" w14:textId="53DF98FF" w:rsidR="00291ADD" w:rsidRPr="00D92B3C" w:rsidRDefault="00AC1C5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Podle čl. 2 odst. 1 bodu 36 směrnice 2014/59/EU se „hlavními liniemi podnikání“ rozumí linie podnikání a související služby, které pro instituci nebo skupinu, jíž je instituce součástí, představují podstatný zdroj příjmů, zisku či franšízové hodnoty.</w:t>
      </w:r>
    </w:p>
    <w:p w14:paraId="349FB66D" w14:textId="77777777" w:rsidR="007827E9" w:rsidRPr="00D92B3C" w:rsidRDefault="007827E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Ekonomické funkce jsou pro účely tohoto vzoru funkce uvedené v následující tabulce.</w:t>
      </w:r>
    </w:p>
    <w:p w14:paraId="6E2655D3" w14:textId="77777777" w:rsidR="00881545" w:rsidRPr="00D92B3C" w:rsidRDefault="00905475"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 každé kategorie ekonomických funkcí může být zvolena ekonomická funkce „jiná“, pokud tato funkce není obsažena v jiných definovaných funkcích.</w:t>
      </w:r>
    </w:p>
    <w:p w14:paraId="4FB784E0" w14:textId="43FD4075" w:rsidR="00AC1C52" w:rsidRPr="00D92B3C" w:rsidRDefault="005E06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Protistrany uvedené v řádcích 0010 až 0070 a v řádcích 0080 až 0150 jsou definovány stejně jako odvětví protistrany uvedená ve FINREP, příloze V části 1 kapitole 6. „MSP“ jsou malé a střední podniky podle definice uvedené ve FINREP, příloha V část první odst. 5 písm. i).</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Ekonomická funkce</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Vklady</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Přijímání vkladů je přijímání vkladů od nefinančních zprostředkovatelů. Nezahrnuje výpůjčky od jiných finančních zprostředkovatelů, které jsou zařazeny samostatně pod „mezibankovním úvěrováním“.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Vklady zahrnují: i) běžné účty / jednodenní vklady, ii) vklady s dohodnutou splatností a iii) vklady s výpovědní lhůtou, ale nezahrnují repo obchody.</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Odkazy: </w:t>
            </w:r>
            <w:r>
              <w:rPr>
                <w:rFonts w:ascii="Times New Roman" w:hAnsi="Times New Roman"/>
                <w:i/>
                <w:iCs/>
                <w:color w:val="000000" w:themeColor="text1"/>
                <w:sz w:val="20"/>
                <w:szCs w:val="20"/>
              </w:rPr>
              <w:t>FSB Guidance on Identification of Critical Functions and Critical Shared Services</w:t>
            </w:r>
            <w:r>
              <w:rPr>
                <w:rFonts w:ascii="Times New Roman" w:hAnsi="Times New Roman"/>
                <w:color w:val="000000" w:themeColor="text1"/>
                <w:sz w:val="20"/>
                <w:szCs w:val="20"/>
              </w:rPr>
              <w:t xml:space="preserve"> (2013) s. 14. Příloha II, část 2, body 9.1, 9.2 a 9.3 nařízení (EU) č. 1071/2013.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Domácnosti</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Nefinanční podniky (MSP)</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Nefinanční podniky (jiné než MSP)</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Ústřední vlády</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Jiná odvětví / protistrany (1), (2) a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Úvěry</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Úvěry znamenají poskytování finančních prostředků nefinančním protistranám, jako jsou podniky a maloobchodní zákazníci. Poskytování úvěrů finančním protistranám je odlišná činnost a vykazuje se pod „mezibankovním úvěrováním“. Úvěry zahrnují dluhové nástroje držené institucemi, ale nezahrnují dluhové nástroje, které jsou cennými papíry, bez ohledu na jejich účetní klasifikaci.</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Odkazy: </w:t>
            </w:r>
            <w:r>
              <w:rPr>
                <w:rFonts w:ascii="Times New Roman" w:hAnsi="Times New Roman"/>
                <w:i/>
                <w:iCs/>
                <w:color w:val="000000" w:themeColor="text1"/>
                <w:sz w:val="20"/>
                <w:szCs w:val="20"/>
              </w:rPr>
              <w:t>FSB Guidance on Identification of Critical Functions and Critical Shared Services</w:t>
            </w:r>
            <w:r>
              <w:rPr>
                <w:rFonts w:ascii="Times New Roman" w:hAnsi="Times New Roman"/>
                <w:color w:val="000000" w:themeColor="text1"/>
                <w:sz w:val="20"/>
                <w:szCs w:val="20"/>
              </w:rPr>
              <w:t xml:space="preserve"> (2013) s. 17. Příloha II, část 2, bod 2 nařízení (EU) č. 1071/2013.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Domácnosti – úvěry na bydlení</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Úvěry na bydlení znamenají úvěry poskytnuté k financování investic do bytových nemovitostí k vlastnímu bydlení nebo k pronájmu, včetně stavby a rekonstrukce těchto bytových nemovitostí.</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Domácnosti – ostatní úvěry</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Nefinanční podniky – MSP</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Nefinanční podniky – jiné než MSP</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Ústřední vlády</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Jiná odvětví / protistrany (1), (2) a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Platby, hotovost, vypořádání, clearing, úschova</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Odkaz: </w:t>
            </w:r>
            <w:r>
              <w:rPr>
                <w:rFonts w:ascii="Times New Roman" w:hAnsi="Times New Roman"/>
                <w:i/>
                <w:iCs/>
                <w:color w:val="000000" w:themeColor="text1"/>
                <w:sz w:val="20"/>
                <w:szCs w:val="20"/>
              </w:rPr>
              <w:t>FSB Guidance on Identification of Critical Functions and Critical Shared Services</w:t>
            </w:r>
            <w:r>
              <w:rPr>
                <w:rFonts w:ascii="Times New Roman" w:hAnsi="Times New Roman"/>
                <w:color w:val="000000" w:themeColor="text1"/>
                <w:sz w:val="20"/>
                <w:szCs w:val="20"/>
              </w:rPr>
              <w:t xml:space="preserve"> (2013), s.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Ekonomické funkce zařazené v této rubrice zahrnují poskytování plateb, hotovosti, vypořádání, clearingu a úschovy ze strany úvěrové instituce jako zprostředkovatele mezi vlastními klienty nebo jako zprostředkovatele mezi klientem a jednou nebo několika relevantními infrastrukturami finančních trhů, nebo poskytování (nepřímého) přístupu k infrastrukturám finančních trhů nebo jiným bankám. V souladu s dokumentem </w:t>
            </w:r>
            <w:r>
              <w:rPr>
                <w:rFonts w:ascii="Times New Roman" w:hAnsi="Times New Roman"/>
                <w:i/>
                <w:iCs/>
                <w:color w:val="000000" w:themeColor="text1"/>
                <w:sz w:val="20"/>
                <w:szCs w:val="20"/>
              </w:rPr>
              <w:t>FSB Guidance on Identification of Critical Functions and Critical Shared Services</w:t>
            </w:r>
            <w:r>
              <w:rPr>
                <w:rFonts w:ascii="Times New Roman" w:hAnsi="Times New Roman"/>
                <w:color w:val="000000" w:themeColor="text1"/>
                <w:sz w:val="20"/>
                <w:szCs w:val="20"/>
              </w:rPr>
              <w:t xml:space="preserve"> se platby, clearing a vypořádání omezuje na služby, které banky poskytují svým klientům. Tato kategorie nezahrnuje služby, které poskytují poskytovatelé (pouze) infrastruktur finančních trhů. Pro účely tohoto vzoru zahrnují infrastruktury finančních trhů platební systémy, systémy vypořádání obchodů s cennými papíry, centrální depozitáře cenných papírů a ústřední protistrany (a nezahrnují registry obchodních údajů).</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„Platební služba“, „platební transakce“ a „platební systém“ mají stejný význam, jak je definováno v čl. 4 odst. 3, 5 a 7 směrnice Evropského parlamentu a Rady (EU) 2015/2366</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Platební služby měnovým finančním institucím</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Tento řádek zahrnuje platební služby nabízené měnovým finančním institucím s využitím nebo bez využití externích platebních systémů. Zahrnuje také korespondenční bankovní služby (platby s nimi spojené). Měnové a finanční instituce zahrnují všechny institucionální jednotky uvedené v dílčích sektorech: i)centrální banka; ii) instituce přijímající vklady s výjimkou centrální banky; a iii) fondy peněžního trhu.</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Platební služby jiným klientům než měnovým finančním institucím</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Platební služby nabízené klientům s využitím nebo bez využití externích platebních systémů. Zahrnují pouze fyzické nebo právnické osoby, které nespadají do sektoru měnových finančních institucí. Ze sektoru „jiní klienti než měnové a finanční instituce“ jsou vyloučeni také poskytovatelé platebních služeb.</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Hotovostní služby</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Poskytování hotovostních služeb klientům (fyzickým osobám a podnikům, pouze jiným klientům než měnovým a finančním institucím). Uvedené služby se týkají výběrů z bankomatů a na pobočkách a nezahrnují jiné hotovostní služby (včetně služeb přepravy hotovosti pro maloobchodní řetězce). Zahrnují výběr hotovosti pomocí šeků a na pobočkách pomocí bankovních formulářů (kdy mohou být jako prostředek identifikace používány karty).</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Služby vypořádání transakcí s cennými papíry</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Služby nabízené klientům pro potvrzení a clearing a vypořádání transakcí s cennými papíry s využitím nebo bez využití systémů vypořádání obchodů s cennými papíry. „Vypořádáním“ se rozumí provedení transakce s cennými papíry, která se uskutečňuje s cílem splnit povinnosti účastníků transakce prostřednictvím převodu hotovosti anebo cenných papírů.</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Clearingové služby ústřední protistrany</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Clearingové služby spojené s cennými papíry a deriváty poskytované klientům. Zahrnují rovněž poskytování nepřímého přístupu k ústřední protistraně.</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Služby úschovy</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Uložení a správa finančních nástrojů pro klienty a služby spojené s opatrovnictvím, jako je správa peněžních prostředků a kolaterálu.</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Jiné služby / činnosti / funkce (1), (2) a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Kapitálové trhy</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Činnosti na kapitálových trzích znamenají vydávání cenných papírů a obchodování s nimi, související poradenské služby a související služby, jako jsou makléřské služby a tvorba trhu.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Deriváty k obchodování (OTC)</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Čl. 2 odst. 5 a 7 nařízení (EU) č.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Derivátem nebo derivátovou smlouvou se rozumí finanční nástroj uvedený v bodech 4 až 10 části C přílohy I směrnice 2014/65/EU provedené články 38 a 39 nařízení Komise (ES) č. 1287/20066</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OTC derivátem nebo OTC derivátovou smlouvou se rozumí derivátová smlouva, jejíž uzavření neprobíhá na regulovaném trhu ve smyslu čl. 4 odst. 1 bodu 21 směrnice 2014/65/EU ani na trhu třetí země považovaném za ekvivalentní regulovanému trhu v souladu s článkem 2a nařízení ( EU) č.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Částka, která se vykazuje, zahrnuje pouze deriváty obchodované na OTC trhu.</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Deriváty k obchodování (jiné než OTC)</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Všechny deriváty k obchodování kromě OTC derivátů k obchodování.</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Sekundární trhy / obchodování:</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Sekundární trh je trh, kde investoři nakupují a prodávají cenné papíry. Tato funkce se vztahuje na celé obchodní portfolio (tj. akcie, firemní úvěry, státní dluhopisy).</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Částka, která se vykazuje, zahrnuje hodnotu cenných papírů vyjádřenou jako celkovou výši cenných papírů k obchodování. Cenné papíry se vykazují v reálné hodnotě k datu vykázání.</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Tato částka nezahrnuje úvěry, deriváty a neobchodovatelná aktiva (např. pohledávky).</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Primární trhy / upisování</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Primární trhy jsou takové trhy, kdy jsou společnostmi, vládami a jinými skupinami na burzách vydávány nové cenné papíry za účelem financování prostřednictvím cenných papírů ve formě dluhopisů nebo akcií (jako jsou kmenové a prioritní akcie, korporátní dluhopisy, vlastní a cizí směnky, státní dluhopisy). Činnost primárních trhů usnadňují skupiny upisovatelů.</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Jiné služby / činnosti / funkce (1), (2) a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Mezibankovní úvěrování</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Vzájemné výpůjčky a úvěry finančních protistran (úvěrové instituce a jiné finanční podniky) na mezibankovních trzích.</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Výpůjčky</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Výpůjčky od finančních protistran na mezibankovních trzích (včetně výpůjček formou repo obchodů, mezibankovních výpůjček, komerčních papírů, vkladních listů, fondů peněžního trhu, úvěrových linek, obchodních cenných papírů zajištěných aktivy a svěřeneckých vkladů).</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Deriváty (aktiva)</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Všechny deriváty s finančními protistranami účtované v rozvaze na straně aktiv. Na rozdíl od „kapitálových trhů“ zahrnují deriváty u „mezibankovního úvěrování“ všechny derivátové smlouvy s finančními protistranami (nejen vysokofrekvenční obchodování).</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Úvěry</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Úvěry finančním protistranám na mezibankovních trzích (včetně úvěrů formou reverzních repo operací, komerčních papírů, vkladních listů, fondů peněžního trhu, úvěrových linek, obchodních cenných papírů zajištěných aktivy a svěřeneckých vkladů).</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Deriváty (pasiva)</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Všechny deriváty s finančními protistranami účtované v rozvaze na straně pasiv.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Jiné druhy produktů (1), (2) a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Každá funkce z ekonomické funkce „mezibankovní úvěrování“, která není uvedena v bodech 5.1 až 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Kritické posouzení ekonomických funkcí (FUNC 1): Pokyny týkající se konkrétních pozic</w:t>
      </w:r>
    </w:p>
    <w:p w14:paraId="5F16FF24" w14:textId="77777777" w:rsidR="00336AC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Tento vzor se vyplňuje jednou pro každý členský stát (označený jako „stát“), v němž skupina působí.</w:t>
      </w:r>
    </w:p>
    <w:p w14:paraId="10470341" w14:textId="77777777" w:rsidR="00AE7D80" w:rsidRPr="00D92B3C" w:rsidRDefault="00336AC0"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Zahrnuje všechny ekonomické funkce vykonávané v daném členském státě jakýmkoli subjektem skupiny bez ohledu na to, zda tato funkce představuje zásadní funkci.</w:t>
      </w:r>
    </w:p>
    <w:p w14:paraId="0F54907C" w14:textId="77777777" w:rsidR="005244DF" w:rsidRPr="00BB4805"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Řádky</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Ekonomické funkce</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Ekonomické funkce definované výše</w:t>
            </w:r>
          </w:p>
        </w:tc>
      </w:tr>
    </w:tbl>
    <w:p w14:paraId="1B2F7A7F" w14:textId="77777777" w:rsidR="0056559D" w:rsidRPr="00BB4805"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Popis ekonomické funkce</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Pokud je ekonomická funkce druhu „jiná“ (funkce 1.5–1.7, 2.6–2.8, 3.7–3.9, 4.5–4.7, 5.5–5.7), uvede se popis této funkce.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Tržní podíl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Odhad tržního podílu instituce nebo skupiny pro ekonomickou funkci v příslušné zemi. Jako procento z celkového trhu z hlediska peněžní částky.</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Peněžní částka</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Obsah tohoto sloupce závisí na poskytované ekonomické funkci.</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Vklady</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Účetní hodnota (včetně vzniklého úroku) přijatých vkladů.</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Odkazy: FINREP, přílohy III a IV, vzor F 08.01 a příloha V, část druhá odstavec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Úvěry</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Hrubá účetní hodnota neznehodnocených a znehodnocených úvěrů a záloh (včetně vzniklého úroku). Objem úvěrů se považuje za ukazatel očekávaných budoucích úvěrů.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Odkazy: FINREP, přílohy III a IV, vzor F 04.04.01 a příloha V, část první odst. 34 písm. b).</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Platby, hotovost, vypořádání, clearing, úschova</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Obecně platí, že se vykazují průměrné denní transakce v průběhu roku. Pokud není tento údaj k dispozici, může být uveden průměr za kratší období (např. za několik měsíců).</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Konkrétně se u různých funkcí berou v úvahu tato měřítka: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Platební služby (3.1 a 3.2): Hodnota odeslaných transakcí. </w:t>
            </w:r>
            <w:r>
              <w:t xml:space="preserve"> </w:t>
            </w:r>
            <w:r>
              <w:br/>
            </w:r>
            <w:r>
              <w:rPr>
                <w:rFonts w:ascii="Times New Roman" w:hAnsi="Times New Roman"/>
                <w:color w:val="000000" w:themeColor="text1"/>
                <w:sz w:val="20"/>
                <w:szCs w:val="20"/>
              </w:rPr>
              <w:t>(Odkazy: Ustanovení čl. 4 odst. 5 směrnice (EU) 2015/2366; ECB/2013/43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Hotovostní služby (3.3): Hodnota transakcí v bankomatech podle definice uvedené v tabulce 7 nařízení ECB/2013/43 a výběrů hotovosti na přepážkách podle definice uvedené v tabulce 4 nařízení ECB/2014/15</w:t>
            </w:r>
            <w:r>
              <w:rPr>
                <w:rStyle w:val="FootnoteReference"/>
                <w:rFonts w:eastAsia="Cambria" w:cs="Times New Roman"/>
                <w:color w:val="000000" w:themeColor="text1"/>
                <w:spacing w:val="-2"/>
                <w:w w:val="95"/>
                <w:lang w:val="en-GB"/>
              </w:rPr>
              <w:footnoteReference w:id="22"/>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služby vypořádání transakcí s cennými papíry (3.4): Hodnota převodů cenných papírů zpracovaných v zastoupení klientů. Zahrnuje transakce vypořádané v rámci systému vypořádání obchodů s cennými papíry nebo vypořádané interně vykazujícími institucemi a „bezplatné“ transakce,</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Clearingové služby ústřední protistrany (3.5): Pozice (expozice), které ústřední protistrany, v nichž je instituce členem, mají u instituce v zastoupení svých klientů. Uveďte průměrnou denní hodnotu otevřených pozic týkajících se činnosti klientů u ústředních protistran. Pokud není tento údaj k dispozici, můžete uvést průměry za kratší období (např. za několik měsíců),</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služby úschovy (3.6): Výše aktiv v úschově s použitím reálné hodnoty. Pokud není reálná hodnota k dispozici, je možné použít jiná měřítka včetně nominální hodnoty. V případech, kdy instituce poskytuje služby takovým subjektům, jako jsou subjekty kolektivního investování nebo penzijní fondy, mohou být příslušná aktiva vykázána v hodnotě, v níž tyto subjekty uvedená aktiva vykazují ve své vlastní rozvaze. Vykázané částky zahrnují případný vzniklý úrok. </w:t>
            </w:r>
            <w:r>
              <w:t xml:space="preserve"> </w:t>
            </w:r>
            <w:r>
              <w:br/>
            </w:r>
            <w:r>
              <w:rPr>
                <w:rFonts w:ascii="Times New Roman" w:hAnsi="Times New Roman"/>
                <w:color w:val="000000" w:themeColor="text1"/>
                <w:sz w:val="20"/>
                <w:szCs w:val="20"/>
              </w:rPr>
              <w:t>(Odkaz: FINREP, přílohy III a IV, vzor F 22.02 sloupec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Kapitálové trhy</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Pomyslná hodnota – Vykazuje se pouze u derivátů (4.1–4.2): hrubá nominální výše všech obchodů, které byly k referenčnímu datu uzavřeny, ale nebyly ještě vypořádány.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Odkazy: ohledně definice: FINREP, příloha V část druhá odstavec 133; FINREP, přílohy III, IV a V pro údaje.</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deriváty celkem (4.1–4.2): Vzor F 10.00 sloupec 030 řádek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OTC deriváty (4.1): Vzor F 10.00, sloupec 030, řádky 300 + 310 + 320.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Činnosti na sekundárních trzích (4.3): Účetní hodnota aktiv – účetní hodnota vykázaná v rozvaze na straně aktiv, včetně vzniklého úroku [FINREP: příloha V část první odstavec 27], kde jsou popsány kapitálové nástroje a dluhové cenné papíry [FINREP: příloha V část první odstavec 31], klasifikované jako „k obchodování“ [FINREP: příloha V část první odst. 15 písm. a) a odstavec 16 písm. a)].</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odkaz: FINREP: příloha III vzor F 04.01 sloupec 010 řádky 010 + 060 + 120.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primární trhy (4.4): Výnos z poplatků – Poplatky a provize přijaté za zapojení do vzniku nebo emise cenných papírů nepocházejících ani nevydaných institucí,</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odkaz: FINREP: příloha III a IV vzor F 22.01, sloupec 010, řádky 030 + 180.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Mezibankovní úvěrování</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Hrubá účetní hodnota se použije podle definice v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Odkazy: FINREP: příloha V část první odstavec 34, FINREP: přílohya III a IV, vzory:</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výpůjčky (5.1): vzor F 20.06 sloupec 010 řádky 100 + 110, všechny země.</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Deriváty (aktiva) (5.2): vzor F20.04 sloupec 010 řádek 010, všechny země.</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Úvěry (5.3): vzor F 20.04 sloupec 010 řádky 170+180, všechny země.</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Deriváty (pasiva) (5.4): vzor F 20.06 sloupec 010 řádek 010, všechny země.</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Číselný ukazatel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Obsah tohoto sloupce závisí na poskytované ekonomické funkci.</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Vklady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Celkový počet klientů, kteří uložili hodnoty vykázané v peněžní částce. Pokud klient používá více než jeden vkladový produkt / účet, bude tento klient započítán pouze jednou.</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Úvěry</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Celkový počet klientů. Pokud klient používá více úvěrových produktů / účtů, bude tento klient započítán pouze jednou.</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Platby, hotovost, vypořádání, clearing, úschova</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Obecně platí, že se vykazují průměrné denní transakce v průběhu roku. Pokud není tento údaj k dispozici, mohou být uvedeny průměry za kratší období (např. za několik měsíců).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Konkrétně se u různých funkcí berou v úvahu tato měřítka:</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platební služby (3.1–3.2): Počet uskutečněných transakcí. </w:t>
            </w:r>
            <w:r>
              <w:t xml:space="preserve"> </w:t>
            </w:r>
            <w:r>
              <w:br/>
            </w:r>
            <w:r>
              <w:rPr>
                <w:rFonts w:ascii="Times New Roman" w:hAnsi="Times New Roman"/>
                <w:color w:val="000000" w:themeColor="text1"/>
                <w:sz w:val="20"/>
                <w:szCs w:val="20"/>
              </w:rPr>
              <w:t>odkazy: Ustanovení čl. 4 odst. 5 směrnice (EU) 2015/2366; ECB/2013/43.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Hotovostní služby (3.3): Počet transakcí v bankomatech podle definice uvedené v tabulce 7 nařízení ECB/2013/43 a výběrů hotovosti na přepážkách podle definice uvedené v tabulce 4 nařízení ECB/2014/15.</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služby vypořádání transakcí s cennými papíry (3.4): Počet transakcí převodů cenných papírů zpracovaných v zastoupení klientů. Zahrnuje transakce vypořádané v rámci systému vypořádání obchodů s cennými papíry nebo vypořádané interně vykazující institucí nebo skupinou a „bezplatné“ transakce.</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Kapitálové trhy</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Počet protistran nebo transakcí: U derivátů (4.1–4.2) a nástrojů sekundárního trhu (4.3) celkový počet protistran. U primárních trhů (4. 4) celkový počet upsaných transakcí.</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Mezibankovní úvěrování</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Celkový počet protistran Pokud má jedna protistrana více než jeden účet anebo více než jednu transakci, bude tato protistrana započítána pouze jednou.</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Dopad na trh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Odhadovaný dopad náhlého přerušení funkce na třetí strany, finanční trhy a reálnou ekonomiku se zohledněním velikosti, tržního podílu v dané zemi, vnější a vnitřní propojenosti, složitosti a přeshraničních činností instituce.</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Toto hodnocení dopadu se vyjadřuje kvalitativně jako „velký (H)“, „středně velký (MH)“, „středně malý (ML)“ nebo „malý (L)“.</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Hodnocení „H“ se zvolí, pokud má přerušení velký dopad na vnitrostátní trh; hodnocení „MH“, pokud je dopad významný; hodnocení „ML“, pokud je dopad podstatný, ale omezený; a hodnocení „L“, pokud je dopad malý.</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Nahraditelnost</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Čl. 6 odst. 3 nařízení v přenesené pravomoci (EU) 2016/778.</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Funkce se pokládá za nahraditelnou tehdy, pokud může být nahrazena přijatelným způsobem a v přiměřené lhůtě, čímž se zamezí systémovým problémům pro reálnou ekonomiku a finanční trhy V úvahu se vezmou tato kritéria:</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a) struktura trhu pro danou funkci a dostupnost jiných poskytovatelů;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b) schopnost ostatních poskytovatelů, pokud jde o kapacitu, požadavky na plnění dané funkce a možné překážky vstupu na trh nebo rozšíření činnosti;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c) motivace ostatních poskytovatelů k převzetí těchto činností;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 doba, kterou uživatelé služby potřebují ke změně poskytovatele služby, a náklady na tuto změnu, doba, kterou potřebují ostatní konkurenti k převzetí funkcí, a to, zda je tato doba přiměřená, aby se zamezilo významnému narušení, v závislosti na druhu služby.</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Toto hodnocení dopadu se vyjadřuje kvalitativně jako „velký (H)“, „středně velký (MH)“, „středně malý (ML)“ nebo „malý (L)“.</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Hodnocení „H“ se zvolí, pokud může funkci v přiměřené lhůtě snadno poskytovat jiná banka za srovnatelných podmínek;</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hodnocení „L“, pokud funkci nelze snadno nebo rychle nahradit;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hodnocení „MH“ a „ML“ u nejednoznačných případů se zohledněním různých aspektů (např. tržní podíl, tržní koncentrace, čas potřebný na náhradu, jakož i právní překážky a provozní požadavky na vstup nebo expanzi).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Zásadní funkce</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V tomto sloupci se uvádí, zda je ekonomická funkce považována na trhu příslušného státu za zásadní při zohlednění kvantitativních údajů a ukazatelů kritičnosti v tomto vzoru.</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Uveďte „ano“ nebo „ne“.</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t>Z 07.02 – Zmapování zásadních funkcí podle právních subjektů (FUNC 2): Pokyny týkající se konkrétních pozic</w:t>
      </w:r>
    </w:p>
    <w:p w14:paraId="652C2EAE" w14:textId="77777777" w:rsidR="00517C03" w:rsidRPr="00D92B3C" w:rsidRDefault="005F4132"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Tento vzor se vyplňuje za celou skupinu. V tomto vzoru se vykazují pouze zásadní funkce určené jako takové ve vzoru {Z 07.01;070} (podle členského státu).</w:t>
      </w:r>
    </w:p>
    <w:p w14:paraId="6B07A7C5" w14:textId="77777777" w:rsidR="00517C03" w:rsidRPr="00D92B3C" w:rsidRDefault="00517C0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Kombinace hodnot vykázaných ve sloupcích 0010, 0020 a 0040 tohoto vzoru tvoří hlavní klíč, který musí být jedinečný pro každý řádek vzoru.</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Stát</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Stát, pro nějž je funkce zásadní, jak je vykázáno ve vzoru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Identifikace zásadních funkcí podle definice uvedené výše v kapitole II.7.1 a ve vzoru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 subjektu</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Název subjektu vykonávajícího zásadní funkci vykázaný ve vzoru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Jestliže stejné zásadní funkce vykonává ve stejném státu několik subjektů, vykazuje se každý subjekt na samostatném řádku.</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Kód subjektu vykonávajícího zásadní funkci vykázaný v Z 01.00 – Organizační struktura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Peněžní částka</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Peněžní vyjádření příspěvku právního subjektu k peněžní částce, jak je popsáno ve sloupci 0030 vzoru Z 07.01 (FUNC 1). </w:t>
            </w:r>
          </w:p>
        </w:tc>
      </w:tr>
    </w:tbl>
    <w:p w14:paraId="1C505975" w14:textId="77777777" w:rsidR="0056559D" w:rsidRPr="00BB4805"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Zmapování hlavních linií podnikání podle právních subjektů (FUNC 3): Pokyny týkající se konkrétních pozic</w:t>
      </w:r>
    </w:p>
    <w:p w14:paraId="6A4F8A17" w14:textId="77777777" w:rsidR="008D7004" w:rsidRPr="00BF16D7" w:rsidRDefault="0035612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Kombinace hodnot vykázaných ve sloupcích 0020 a 0040 tohoto vzoru tvoří hlavní klíč, který musí být jedinečný pro každý řádek vzoru.</w:t>
      </w:r>
    </w:p>
    <w:p w14:paraId="08717458" w14:textId="6403463D" w:rsidR="002D7C07" w:rsidRPr="00BF16D7" w:rsidRDefault="002D7C07"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V tomto vzoru se uvádějí pouze právní subjekty.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Hlavní linie podnikání</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Hlavní linie podnikání podle čl. 2 odst. 1 bodu 36 směrnice 2014/59/EU a článku 7 nařízení Komise v přenesené pravomoci (EU) 2016/778.</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linie podnikání</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Jedinečná identifikace linie podnikání, kterou uvede instituce.</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Popis</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Popis hlavní linie podnikání.</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 subjektu</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Název subjektu vykázaný v Z 01.00 (ORG), který vykonává hlavní linii podnikání nebo je její součástí.</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Jestliže stejnou hlavní linii podnikání vykonává několik subjektů, nebo jsou tyto subjekty její součástí, vykazuje se každý subjekt na samostatném řádku.</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Kód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Kód subjektu, který vykonává nebo je součástí stejné hlavní linie podnikání, vykázaný ve vzoru Z 01.00 (ORG).</w:t>
            </w:r>
          </w:p>
        </w:tc>
      </w:tr>
    </w:tbl>
    <w:p w14:paraId="258A1667" w14:textId="3BCA2C0A" w:rsidR="0056559D" w:rsidRPr="00D92B3C" w:rsidRDefault="00F7117F" w:rsidP="00715DAB">
      <w:pPr>
        <w:pStyle w:val="Instructionsberschrift3"/>
      </w:pPr>
      <w:r>
        <w:t>Z 07.04 – Zmapování zásadních funkcí podle hlavních linií podnikání (FUNC 4): Pokyny týkající se konkrétních pozic</w:t>
      </w:r>
    </w:p>
    <w:p w14:paraId="3D8A43BC" w14:textId="77777777" w:rsidR="003D0643" w:rsidRPr="00D92B3C" w:rsidRDefault="003D0643"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Kombinace hodnot vykázaných ve sloupcích 0010, 0020 a 0040 tohoto vzoru tvoří hlavní klíč, který musí být jedinečný pro každý řádek vzoru.</w:t>
      </w:r>
    </w:p>
    <w:p w14:paraId="7C5566B9" w14:textId="77777777" w:rsidR="00347A09" w:rsidRPr="00D92B3C" w:rsidRDefault="00347A09"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V tomto vzoru se vykazují pouze zásadní funkce určené v {Z 07.01;0070}. </w:t>
      </w:r>
    </w:p>
    <w:p w14:paraId="7352C8D5" w14:textId="77777777" w:rsidR="00E714C5" w:rsidRPr="00D92B3C" w:rsidRDefault="00E714C5" w:rsidP="008E116E">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Stát</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Stát, pro nějž je funkce zásadní, jak je vykázáno ve vzoru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funkce</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Identifikace zásadních funkcí podle definice uvedené výše v kapitole II.7.1 a ve vzoru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Hlavní linie podnikání</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Hlavní linie podnikání podle čl. 2 odst. 1 bodu 36 směrnice 2014/59/EU a článku 7 nařízení Komise v přenesené pravomoci (EU) 2016/778 z 2. února 2016, jak je vykázána ve vzoru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 linie podnikání</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Jedinečná identifikace linie podnikání, kterou uvede instituce; stejné identifikační číslo jako ve vzoru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6349040"/>
      <w:r>
        <w:rPr>
          <w:rFonts w:ascii="Times New Roman" w:hAnsi="Times New Roman"/>
          <w:szCs w:val="20"/>
        </w:rPr>
        <w:t>Z 08.00 – Klíčové služby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Obecné pokyny</w:t>
      </w:r>
    </w:p>
    <w:p w14:paraId="4310B78D" w14:textId="6E7BA54F" w:rsidR="008A0BEC" w:rsidRPr="00D92B3C" w:rsidRDefault="008A0BE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Informace, které jsou zahrnuty do tohoto vzoru, se vykazují jednou za celou skupinu a uvádějí klíčové služby přijímané kterýmkoli subjektem ve skupině a dávají je do souvislosti se zásadními funkcemi, které poskytuje skupina.</w:t>
      </w:r>
    </w:p>
    <w:p w14:paraId="735E6BB8" w14:textId="467CD3A0" w:rsidR="00625A0F"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Klíčovými službami jsou uskutečněné operace, činnosti a služby vykonávané pro jeden obchodní útvar nebo právní subjekt (specializované služby) nebo pro více obchodních útvarů nebo právních subjektů (sdílené služby) v rámci skupiny, které jsou nutné pro poskytování jedné či více zásadních funkcí. Klíčové služby mohou být vykonávány subjekty v rámci skupiny (interní služba) nebo tyto služby mohou být zajišťovány prostřednictvím externího poskytovatele (externí služba). Služba se považuje za klíčovou, pokud může její narušení představovat závažnou překážku pro výkon zásadních funkcí nebo tyto zásadní funkce zcela znemožnit, protože nedílně souvisí se zásadními funkcemi, které instituce vykonává pro třetí strany.</w:t>
      </w:r>
    </w:p>
    <w:p w14:paraId="08576756" w14:textId="77777777" w:rsidR="0051360C" w:rsidRPr="00D92B3C" w:rsidRDefault="0051360C"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 tomto vzoru se nevykazují služby, které se vykonávají pro právní subjekt pouze interně.</w:t>
      </w:r>
    </w:p>
    <w:p w14:paraId="1C23FA87" w14:textId="77777777" w:rsidR="009F4567" w:rsidRPr="00D92B3C"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V tomto vzoru se nevykazují služby, které nemají podstatný dopad na zásadní funkce.</w:t>
      </w:r>
    </w:p>
    <w:p w14:paraId="2B4ECDEF" w14:textId="33F4BD21" w:rsidR="00276FFB" w:rsidRPr="00C518B0" w:rsidRDefault="00276FFB"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 xml:space="preserve">Kombinace hodnot vykázaných ve sloupcích 0005, 0010, 0030, 0050, 0070 a 0080 tohoto vzoru tvoří hlavní klíč, který musí být jedinečný pro každý řádek vzoru.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Pokyny týkající se konkrétních pozic</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Identifikátor</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Druh služby</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Druh služby bude jeden z druhů služeb uvedených níže.</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Pokud je to možné, uvede se dílčí kategorie (dvoumístná identifikace). Pokud žádná dílčí kategorie neexistuje nebo pokud službu poskytovanou institucí nepopisuje žádná dílčí kategorie správně, uvede se hlavní kategorie (jednomístná identifikace).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Podpora lidských zdrojů</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správa personálních záležitostí, včetně správy pracovních smluv a mezd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interní komunikace</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Informační technologie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IT a komunikační hardware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uchovávání a zpracování dat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ostatní IT infrastruktura, pracovní stanice, telekomunikace, servery, datová centra a související služby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správa softwarových licencí a aplikačního softwaru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přístup k externím poskytovatelům, zejména poskytovatelům dat a infrastruktury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údržba aplikací, včetně údržby softwarových aplikací a souvisejících datových toků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generování zpráv, interní informační toky a databáze</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podpora uživatelů</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obnova po mimořádné situaci a havárii</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Zpracování transakcí, včetně právních záležitostí, zpracování v oblasti boje proti praní peněz.</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Poskytování nebo správa nemovitostí a zařízení a související zařízení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kanceláře a sklady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správa interních zařízení</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zabezpečení a kontrola přístupu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správa portfolia nemovitostí</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w:t>
            </w:r>
            <w:r>
              <w:tab/>
            </w:r>
            <w:r>
              <w:rPr>
                <w:rFonts w:ascii="Times New Roman" w:hAnsi="Times New Roman"/>
                <w:color w:val="000000" w:themeColor="text1"/>
                <w:sz w:val="20"/>
                <w:szCs w:val="20"/>
              </w:rPr>
              <w:t xml:space="preserve">jiné, uveďte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Funkce v oblasti právních služeb a zajišťování shody s předpisy (compliance):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podniková právní podpora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právní služby v oblasti obchodu a transakcí</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podpora v oblasti zajišťování shody s předpisy</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Služby spojené s pokladnou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koordinace, administrativa a správa pokladny</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koordinace, administrativa a správa refinancování subjektů, včetně řízení kolaterálu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výkaznictví, zejména v souvislosti s mírou likvidity podle právních předpisů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koordinace, administrativa a správa střednědobých a dlouhodobých programů financování a refinancování subjektů skupiny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koordinace, administrativa a správa refinancování, zejména krátkodobých emisí</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Obchodování/správa majetku</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zpracování operací: příjem, návrh a realizace obchodů, služby v oblasti obchodních produktů</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potvrzení, vypořádání, úhrada</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správa pozic a protistran, v souvislosti s vykazováním údajů a vztahy s protistranami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řízení rizik (riziko a rekonciliace)</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Řízení rizik a ocenění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řízení rizik na centrální úrovni nebo podle linie podnikání, případně podle druhu rizika</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generování zpráv o rizicích</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Účetnictví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výkaznictví na základě vnitřních předpisů a obecně platných právních předpisů</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oceňování, zejména tržních pozic</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zprávy vedení</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Zpracování hotovosti</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Příjemce služeb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Subjekt skupiny, který přijímá klíčovou službu vykázanou ve sloupci 0010 od jiného subjektu skupiny nebo od externího poskytovatele vykázaného ve sloupcích 0040–0050.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Název subjektu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Musí být jiný než název uvedený ve sloupci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Kód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Jedinečný identifikátor právního subjektu ve sloupci 0020 uvedený ve vzoru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Musí být jiný než identifikátor uvedený ve sloupci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Poskytovatel služeb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Právní subjekt (interní nebo externí), který poskytuje klíčovou službu vykázanou ve sloupci 0010 jinému subjektu skupiny.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Název subjektu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Musí být jiný než název uvedený ve sloupci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Kód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Jedinečný identifikátor právního subjektu ve sloupci 0040. Musí se lišit od identifikátoru uvedeného ve sloupci 0030.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Pokud je poskytovatelem služby subjekt skupiny, je kód stejný jako kód uvedený ve vzoru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Pokud poskytovatelem služby není subjekt skupiny, je kódem tohoto subjektu:</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institucí 20místný alfanumerický kód LEI,</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 jiných subjektů je kódem 20místný alfanumerický kód LEI nebo, není-li k dispozici, kód podle jednotné kodifikace platné v Unii nebo, není-li k dispozici, vnitrostátní kód.</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Tento kód je jedinečný a používá se jednotně ve všech vzorech.</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Část skupiny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„Ano“ – jestliže je služba poskytována subjektem skupiny („interní“)</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 – jestliže je služba poskytována subjektem mimo skupinu („externí“)</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Zásadní funkce</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Zásadní funkce, jejíž výkon by byl v případě narušení klíčové služby vážně narušen nebo zcela znemožněn. Je to jedna z funkcí hodnocených jako zásadní ve vzoru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Stát</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Členský stát, pro nějž je funkce zásadní, jak je vykázáno ve vzoru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Identifikace zásadních funkcí podle definice uvedené výše v kapitole II.7.1 a ve vzoru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Odhad doby potřebné na nahrazení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Odhad doby potřebné na nahrazení poskytovatele jiným poskytovatelem ve srovnatelném rozsahu, pokud jde o předmět, kvalitu a cenu přijímané služby.</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Uveďte jednu z těchto hodnot:</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den – 1 týden“, pokud nahrazení trvá maximálně jeden týden;</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týden – 1 měsíc“, pokud nahrazení trvá déle než jeden týden, ale maximálně jeden měsíc;</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 6 měsíců“, pokud nahrazení trvá déle než jeden měsíc, ale maximálně šest měsíců;</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 12 měsíců“, pokud nahrazení trvá déle než šest měsíců, ale maximálně jeden rok;</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„více než 1 rok“, pokud nahrazení trvá déle než jeden rok.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Odhad doby potřebné na přístup ke smlouvám</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Odhad doby potřebné na získání následujících informací o smlouvě upravující službu po žádosti orgánu příslušného k řešení krize:</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doba trvání smlouvy,</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smluvní strany (objednatel a dodavatel, kontaktní osoby) a jejich jurisdikce,</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charakter smlouvy (tj. stručný popis charakteru transakce mezi smluvními stranami včetně cen),</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zda může být stejná služba nabízena jiným interním/externím poskytovatelem (a uveďte potenciální kandidáty),</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jurisdikce smlouvy,</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útvar odpovědný za řešení hlavních operací, jichž se smlouva týká,</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hlavní sankce uvedené ve smlouvě v případě pozastavení nebo opoždění plateb,</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důvod výpovědi a výpovědní lhůta,</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provozní podpora po výpovědi,</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relevance pro jednotlivé zásadní funkce a linie podnikání.</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Uveďte jednu z těchto hodnot:</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den,</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den – 1 týden,</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více než 1 týden,</w:t>
            </w:r>
          </w:p>
          <w:p w14:paraId="4BD39BFA" w14:textId="77777777" w:rsidR="000713A0" w:rsidRPr="00D92B3C" w:rsidRDefault="000713A0">
            <w:pPr>
              <w:pStyle w:val="List1"/>
              <w:rPr>
                <w:rFonts w:eastAsia="Cambria"/>
                <w:w w:val="95"/>
              </w:rPr>
            </w:pPr>
            <w:r>
              <w:rPr>
                <w:rFonts w:ascii="Times New Roman" w:hAnsi="Times New Roman"/>
                <w:sz w:val="20"/>
                <w:szCs w:val="20"/>
              </w:rPr>
              <w:t>službu neupravuje žádná smlouva.</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Rozhodné právo</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Kód ISO státu, podle jehož práva se smlouva řídí.</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Smlouva neovlivnitelná řešením krize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Vyjadřuje hodnocení, zda by smlouva mohla pokračovat a být převedena i v době řešení krize.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Toto hodnocení bere v úvahu mimo jiné:</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každé ustanovení, které opravňuje protistranu vypovědět smlouvu pouze z důvodu řešení krize, přijetí opatření včasné intervence nebo při scénářích druhotné platební neschopnosti, a to i přes další plnění podstatných povinností,</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každé ustanovení, které opravňuje protistranu změnit podmínky služby nebo ceny pouze z důvodu řešení krize, při opatřeních včasné intervence nebo při scénářích druhotné platební neschopnosti, a to i přes další plnění podstatných povinností,</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uznání práva orgánů příslušných k řešení krize pozastavit plnění uvedené ve smlouvě.</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Uveďte jednu z těchto hodnot:</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„Ano“ – jestliže je smlouva vyhodnocena jako neovlivnitelná řešením krize</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 – jestliže smlouva není vyhodnocena jako neovlivnitelná řešením krize</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„Neposuzováno“ – jestliže posouzení nebylo provedena</w:t>
            </w:r>
          </w:p>
        </w:tc>
      </w:tr>
    </w:tbl>
    <w:p w14:paraId="4E1DED29" w14:textId="77777777" w:rsidR="00276FFB" w:rsidRPr="00BB4805"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6349041"/>
      <w:r>
        <w:rPr>
          <w:rFonts w:ascii="Times New Roman" w:hAnsi="Times New Roman"/>
          <w:color w:val="000000" w:themeColor="text1"/>
          <w:szCs w:val="20"/>
        </w:rPr>
        <w:t xml:space="preserve">Z 09.00 – Klíčové služby infrastruktury finančních trhů – Poskytovatelé a uživatelé – Zmapování podle zásadních </w:t>
      </w:r>
      <w:bookmarkEnd w:id="26"/>
      <w:r>
        <w:rPr>
          <w:rFonts w:ascii="Times New Roman" w:hAnsi="Times New Roman"/>
          <w:color w:val="000000" w:themeColor="text1"/>
          <w:szCs w:val="20"/>
        </w:rPr>
        <w:t>funkcí</w:t>
      </w:r>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Obecné poznámky</w:t>
      </w:r>
    </w:p>
    <w:p w14:paraId="39C7B346" w14:textId="3577D4B1" w:rsidR="008F717A" w:rsidRPr="00D92B3C" w:rsidRDefault="008F717A"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Tento vzor určuje činnosti, funkce nebo služby v oblasti clearingu, úhrad, vypořádání cenných papírů a úschovy, jejichž přerušení může představovat vážnou překážku pro jednu nebo více zásadních funkcí nebo je zcela znemožnit.</w:t>
      </w:r>
    </w:p>
    <w:p w14:paraId="3D356696" w14:textId="77777777" w:rsidR="00120519" w:rsidRPr="00D92B3C" w:rsidRDefault="00FE54EF"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Tento vzor se vyplňuje jednou za celou instituci nebo skupinu.</w:t>
      </w:r>
    </w:p>
    <w:p w14:paraId="44AD6062" w14:textId="350A1600" w:rsidR="000F273B" w:rsidRDefault="00AA6491"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Uvádějí se pouze infrastruktury finančního trhu, jejichž narušení by představovalo závažnou překážku nebo znemožnění výkonu zásadní funkce.</w:t>
      </w:r>
    </w:p>
    <w:p w14:paraId="603C4710" w14:textId="5D3F1CCB" w:rsidR="00400DF4" w:rsidRPr="00D92B3C" w:rsidRDefault="00400DF4" w:rsidP="00D829EE">
      <w:pPr>
        <w:pStyle w:val="InstructionsText2"/>
        <w:numPr>
          <w:ilvl w:val="0"/>
          <w:numId w:val="26"/>
        </w:numPr>
        <w:spacing w:before="0"/>
        <w:ind w:left="714" w:hanging="357"/>
        <w:rPr>
          <w:rFonts w:ascii="Times New Roman" w:hAnsi="Times New Roman" w:cs="Times New Roman"/>
          <w:sz w:val="20"/>
          <w:szCs w:val="20"/>
        </w:rPr>
      </w:pPr>
      <w:r>
        <w:rPr>
          <w:rFonts w:ascii="Times New Roman" w:hAnsi="Times New Roman"/>
          <w:sz w:val="20"/>
          <w:szCs w:val="20"/>
        </w:rPr>
        <w:t>Kombinace hodnot vykázaných ve sloupcích 0020, 0030, 0040, 0070 a 0100 tohoto vzoru tvoří hlavní klíč, který musí být jedinečný pro každý řádek vzoru.</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Pokyny týkající se konkrétních pozic</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Uživatel</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Subjekt skupiny využívající služby úhrad, úschovy, vypořádání, clearingu nebo registru obchodních údajů, vykázaný v Z 01.00 – Organizační struktura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 subjektu</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Název subjektu využívajícího služby úhrad, úschovy, vypořádání, clearingu nebo registru obchodních údajů, vykázaný v Z 01.00 – Organizační struktura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Uvádí se pouze subjekty, které jsou ve vzoru Z 07.02 uvedeny jako subjekty poskytující zásadní funkce.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Kód subjektu využívajícího služby úhrad, úschovy, vypořádání, clearingu nebo registru obchodních údajů, vykázaný v Z 01.00 – Organizační struktura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Zásadní funkce</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Zásadní funkce vykonávané subjektem, jejichž výkon by byl zkomplikován nebo znemožněn přerušením přístupu ke službě úhrad, úschovy, vypořádání, clearingu nebo registru obchodních údajů.</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Stát</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Stát, pro nějž je funkce zásadní, jak je vykázáno ve vzoru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Identifikace zásadních funkcí podle definice uvedené výše v kapitole II.7.1 a ve vzoru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Infrastruktura finančních trhů (FMI)</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Odkaz: CPMI, </w:t>
            </w:r>
            <w:hyperlink r:id="rId8" w:history="1">
              <w:r>
                <w:rPr>
                  <w:rFonts w:ascii="Times New Roman" w:hAnsi="Times New Roman"/>
                  <w:color w:val="000000" w:themeColor="text1"/>
                  <w:sz w:val="20"/>
                  <w:szCs w:val="20"/>
                </w:rPr>
                <w:t>Zásady infrastruktur finančního trhu</w:t>
              </w:r>
            </w:hyperlink>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Multilaterální systém mezi zúčastněnými finančními institucemi, včetně provozovatele systému, používaný za účelem evidování, clearingu nebo vypořádání plateb, transakcí s cennými papíry, deriváty nebo jiných finančních transakcí.</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Druh systému</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Uveďte jednu z těchto hodnot:</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„PS“</w:t>
            </w:r>
            <w:r>
              <w:tab/>
            </w:r>
            <w:r>
              <w:rPr>
                <w:rFonts w:ascii="Times New Roman" w:hAnsi="Times New Roman"/>
                <w:color w:val="000000" w:themeColor="text1"/>
                <w:sz w:val="20"/>
                <w:szCs w:val="20"/>
              </w:rPr>
              <w:t>platební systém</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t>„(I) CSD“ – (mezinárodní) centrální depozitář cenných papírů, včetně depozitářů, které poskytují služby vypořádání (interně nebo je zajišťují externě)</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„SSS“</w:t>
            </w:r>
            <w:r>
              <w:tab/>
            </w:r>
            <w:r>
              <w:rPr>
                <w:rFonts w:ascii="Times New Roman" w:hAnsi="Times New Roman"/>
                <w:color w:val="000000" w:themeColor="text1"/>
                <w:sz w:val="20"/>
                <w:szCs w:val="20"/>
              </w:rPr>
              <w:t>systém vypořádání obchodů s cennými papíry bez úschovy</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 – cenné papíry“</w:t>
            </w:r>
            <w:r>
              <w:tab/>
            </w:r>
            <w:r>
              <w:rPr>
                <w:rFonts w:ascii="Times New Roman" w:hAnsi="Times New Roman"/>
                <w:color w:val="000000" w:themeColor="text1"/>
                <w:sz w:val="20"/>
                <w:szCs w:val="20"/>
              </w:rPr>
              <w:t xml:space="preserve">ústřední protistrana pro clearing cenných papírů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„CCP – deriváty“</w:t>
            </w:r>
            <w:r>
              <w:tab/>
            </w:r>
            <w:r>
              <w:rPr>
                <w:rFonts w:ascii="Times New Roman" w:hAnsi="Times New Roman"/>
                <w:color w:val="000000" w:themeColor="text1"/>
                <w:sz w:val="20"/>
                <w:szCs w:val="20"/>
              </w:rPr>
              <w:t>deriváty“ ústřední protistrana pro clearing derivátů</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w:t>
            </w:r>
            <w:r>
              <w:tab/>
            </w:r>
            <w:r>
              <w:rPr>
                <w:rFonts w:ascii="Times New Roman" w:hAnsi="Times New Roman"/>
                <w:color w:val="000000" w:themeColor="text1"/>
                <w:sz w:val="20"/>
                <w:szCs w:val="20"/>
              </w:rPr>
              <w:t>registr obchodních údajů</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„Jiný“</w:t>
            </w:r>
            <w:r>
              <w:tab/>
            </w:r>
            <w:r>
              <w:rPr>
                <w:rFonts w:ascii="Times New Roman" w:hAnsi="Times New Roman"/>
                <w:color w:val="000000" w:themeColor="text1"/>
                <w:sz w:val="20"/>
                <w:szCs w:val="20"/>
              </w:rPr>
              <w:t>když druh systému infrastruktur finančních trhů neodpovídá žádnému z výše uvedených definovaných druhů</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tab/>
            </w:r>
            <w:r>
              <w:rPr>
                <w:rFonts w:ascii="Times New Roman" w:hAnsi="Times New Roman"/>
                <w:color w:val="000000" w:themeColor="text1"/>
                <w:sz w:val="20"/>
                <w:szCs w:val="20"/>
              </w:rPr>
              <w:t>když jsou klíčové služby v oblasti úhrad, clearingu, vypořádání nebo úschovy poskytovány subjektem, který není výše uvedenou infrastrukturou finančního trhu, například bankami spravujícími cenné papíry.</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Obchodní název infrastruktury finančního trhu</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Když je ve sloupci 0050 uvedena „–“, ponechá se tento sloupec prázdný.</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 FMI</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Kód FMI. Kódem je 20místný alfanumerický kód LEI, pokud je takový kód k dispozici. Pokud kód LEI není k dispozici, kód podle jednotné kodifikace platné v Unii nebo, není-li k dispozici, vnitrostátní kód.</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Když je ve sloupci 0050 uvedena „–“, ponechá se tento sloupec prázdný.</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Režim účasti</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Uveďte jednu z těchto hodnot:</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„Přímá“</w:t>
            </w:r>
            <w:r>
              <w:tab/>
            </w:r>
            <w:r>
              <w:rPr>
                <w:rFonts w:ascii="Times New Roman" w:hAnsi="Times New Roman"/>
                <w:color w:val="000000" w:themeColor="text1"/>
                <w:sz w:val="20"/>
                <w:szCs w:val="20"/>
              </w:rPr>
              <w:t>v případě přímého členství nebo přímé účasti</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„Nepřímá“</w:t>
            </w:r>
            <w:r>
              <w:tab/>
            </w:r>
            <w:r>
              <w:rPr>
                <w:rFonts w:ascii="Times New Roman" w:hAnsi="Times New Roman"/>
                <w:color w:val="000000" w:themeColor="text1"/>
                <w:sz w:val="20"/>
                <w:szCs w:val="20"/>
              </w:rPr>
              <w:t>v případě nepřímého členství nebo nepřímé účasti</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w:t>
            </w:r>
            <w:r>
              <w:tab/>
            </w:r>
            <w:r>
              <w:rPr>
                <w:rFonts w:ascii="Times New Roman" w:hAnsi="Times New Roman"/>
                <w:color w:val="000000" w:themeColor="text1"/>
                <w:sz w:val="20"/>
                <w:szCs w:val="20"/>
              </w:rPr>
              <w:t>když je ve sloupci 0050 uvedena „–“.</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Název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Obchodní název zprostředkovatele, když je ve sloupci 0080 uvedena „nepřímá“ nebo „–“.</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Když je ve sloupci 0080 uvedeno „přímá“, vykáže se „–“ (tzn. bezpředmětné).</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Zprostředkovatel může být součástí skupiny, do níž patří vykazující subjekt, nebo jiná úvěrová instituce, která s touto skupinou není spojena.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Zprostředkovatelem může být firma, která poskytuje služby clearingu, úhrad, vypořádání anebo úschovy cenných papírů jiným firmám (zejména když je ve sloupci 0050 uvedena „–“); může být přímým členem jedné nebo několika infrastruktur finančních trhů a poskytovat nepřímý přístup ke službám nabízeným těmito infrastrukturami finančních trhů (zejména když je ve sloupci 0080 uvedeno „nepřímá“).</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Kód zprostředkovatele. Kódem je 20místný alfanumerický kód LEI, pokud je takový kód k dispozici. Pokud kód LEI není k dispozici, kód podle jednotné kodifikace platné v Unii nebo, není-li k dispozici, vnitrostátní kód.</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Když je ve sloupci 0090 uvedeno „přímá“, vykáže se „–“ (tzn. bezpředmětné).</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Popis služby</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Popis služby, pokud je druh systému vykázaný ve sloupci 050 „jiný“ nebo „–“.</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Rozhodné právo</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Dvoupísmenný kód ISO 3166–1 státu, podle jehož práva se řídí přístup k infrastrukturám finančních trhů.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V případě přímého členství nebo přímé účasti je třeba uvést rozhodné právo, kterým se řídí smlouva mezi infrastrukturou finančního trhu a uživatelem. V případě nepřímého členství nebo nepřímé účasti je třeba uvést rozhodné právo, kterým se řídí smlouva mezi zastupující institucí a uživatelem.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6349042"/>
      <w:r>
        <w:rPr>
          <w:rFonts w:ascii="Times New Roman" w:hAnsi="Times New Roman"/>
          <w:color w:val="000000" w:themeColor="text1"/>
          <w:szCs w:val="20"/>
        </w:rPr>
        <w:t>Klíčové informační systémy</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Obecné poznámky</w:t>
      </w:r>
    </w:p>
    <w:p w14:paraId="219E2A8C" w14:textId="77777777" w:rsidR="004507BB" w:rsidRPr="00D92B3C" w:rsidRDefault="004507BB" w:rsidP="001843F4">
      <w:pPr>
        <w:pStyle w:val="numberedparagraph"/>
        <w:rPr>
          <w:rFonts w:ascii="Times New Roman" w:hAnsi="Times New Roman" w:cs="Times New Roman"/>
          <w:sz w:val="20"/>
          <w:szCs w:val="20"/>
        </w:rPr>
      </w:pPr>
      <w:r>
        <w:rPr>
          <w:rFonts w:ascii="Times New Roman" w:hAnsi="Times New Roman"/>
          <w:sz w:val="20"/>
          <w:szCs w:val="20"/>
        </w:rPr>
        <w:t>Tato část sestává z následujících vzorů:</w:t>
      </w:r>
    </w:p>
    <w:p w14:paraId="4BD2F402" w14:textId="7F74091F" w:rsidR="004507BB" w:rsidRPr="0002300D" w:rsidRDefault="0018376A" w:rsidP="005844B5">
      <w:pPr>
        <w:pStyle w:val="numberedparagraph"/>
        <w:numPr>
          <w:ilvl w:val="0"/>
          <w:numId w:val="35"/>
        </w:numPr>
        <w:rPr>
          <w:rFonts w:ascii="Times New Roman" w:hAnsi="Times New Roman" w:cs="Times New Roman"/>
          <w:sz w:val="20"/>
        </w:rPr>
      </w:pPr>
      <w:r>
        <w:rPr>
          <w:rFonts w:ascii="Times New Roman" w:hAnsi="Times New Roman"/>
          <w:sz w:val="20"/>
        </w:rPr>
        <w:t>Z 10.01 – Klíčové informační systémy (všeobecné informace) (Z-CIS 1), kde jsou uvedeny všechny klíčové informační systémy ve skupině;</w:t>
      </w:r>
    </w:p>
    <w:p w14:paraId="76E7BE93" w14:textId="436A7087" w:rsidR="004507BB" w:rsidRPr="0002300D" w:rsidRDefault="0018376A" w:rsidP="00D829EE">
      <w:pPr>
        <w:pStyle w:val="numberedparagraph"/>
        <w:numPr>
          <w:ilvl w:val="0"/>
          <w:numId w:val="35"/>
        </w:numPr>
        <w:rPr>
          <w:rFonts w:ascii="Times New Roman" w:hAnsi="Times New Roman" w:cs="Times New Roman"/>
          <w:sz w:val="20"/>
        </w:rPr>
      </w:pPr>
      <w:r>
        <w:rPr>
          <w:rFonts w:ascii="Times New Roman" w:hAnsi="Times New Roman"/>
          <w:sz w:val="20"/>
        </w:rPr>
        <w:t>Z 10.02 – Zmapování informačních systémů (Z-CIS 2), kde jsou zmapovány klíčové informační systémy pro uživatelské subjekty ve skupině a zásadní funkce.</w:t>
      </w:r>
    </w:p>
    <w:p w14:paraId="3387030A" w14:textId="512C7D46" w:rsidR="00277550" w:rsidRPr="0002300D" w:rsidRDefault="00AD4B22" w:rsidP="008E116E">
      <w:pPr>
        <w:pStyle w:val="numberedparagraph"/>
        <w:rPr>
          <w:rFonts w:ascii="Times New Roman" w:hAnsi="Times New Roman" w:cs="Times New Roman"/>
          <w:sz w:val="20"/>
        </w:rPr>
      </w:pPr>
      <w:r>
        <w:rPr>
          <w:rFonts w:ascii="Times New Roman" w:hAnsi="Times New Roman"/>
          <w:sz w:val="20"/>
        </w:rPr>
        <w:t>Klíčovým informačním systémem („CIS“) se rozumí IT aplikace nebo software, který podporuje klíčovou službu, jejíž narušení by představovalo závažnou překážku nebo znemožnění výkonu zásadní funkce.</w:t>
      </w:r>
      <w:bookmarkEnd w:id="30"/>
      <w:bookmarkEnd w:id="31"/>
    </w:p>
    <w:p w14:paraId="5D8C775D" w14:textId="77777777" w:rsidR="00ED08D2" w:rsidRPr="0002300D" w:rsidRDefault="00262051" w:rsidP="008E116E">
      <w:pPr>
        <w:pStyle w:val="numberedparagraph"/>
        <w:rPr>
          <w:rFonts w:ascii="Times New Roman" w:hAnsi="Times New Roman" w:cs="Times New Roman"/>
          <w:sz w:val="20"/>
        </w:rPr>
      </w:pPr>
      <w:r>
        <w:rPr>
          <w:rFonts w:ascii="Times New Roman" w:hAnsi="Times New Roman"/>
          <w:sz w:val="20"/>
        </w:rPr>
        <w:t>Tyto vzory se vyplňují za celou skupinu.</w:t>
      </w:r>
    </w:p>
    <w:p w14:paraId="70CC17BA" w14:textId="77777777" w:rsidR="00AD4B22" w:rsidRPr="00BB4805"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Klíčové informační systémy (všeobecné informace) (CIS 1): Pokyny týkající se konkrétních pozic</w:t>
      </w:r>
    </w:p>
    <w:p w14:paraId="70F1C8B1" w14:textId="77777777" w:rsidR="000B75A6" w:rsidRPr="00D92B3C" w:rsidRDefault="000B75A6" w:rsidP="001843F4">
      <w:pPr>
        <w:pStyle w:val="numberedparagraph"/>
        <w:rPr>
          <w:rFonts w:ascii="Times New Roman" w:hAnsi="Times New Roman" w:cs="Times New Roman"/>
          <w:sz w:val="20"/>
          <w:szCs w:val="20"/>
        </w:rPr>
      </w:pPr>
      <w:r>
        <w:rPr>
          <w:rFonts w:ascii="Times New Roman" w:hAnsi="Times New Roman"/>
          <w:sz w:val="20"/>
          <w:szCs w:val="20"/>
        </w:rPr>
        <w:t xml:space="preserve">Hodnota vykázaná ve sloupci 0010 tohoto vzoru tvoří hlavní klíč, který musí být jedinečný pro každý řádek vzoru. </w:t>
      </w:r>
    </w:p>
    <w:p w14:paraId="06AD164E" w14:textId="77777777" w:rsidR="000B75A6" w:rsidRPr="00BB4805"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Klíčový informační systém</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Identifikační kód systému</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Identifikační kód systému je akronym stanovený institucí, který jednoznačně identifikuje klíčový informační systém.</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 to identifikátor řádku a musí být jedinečný pro každý řádek vzoru.</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 systému</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Obchodní nebo interní název systému.</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Druh systému</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Uveďte jednu z těchto hodnot:</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„Software na míru pro obchodní podporu“</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Aplikace, které byly vyvinuty podle podrobných obchodních specifikací. Mohly být vyvinuty interně nebo externími dodavateli, ale vždy za účelem obchodní podpory.</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„Software zakoupený v hotovém stavu“</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Aplikace nebo licence na aplikace zakoupené na trhu, obvykle prodávané prodejcem, které nebyly upraveny z hlediska specifických potřeb podnikatelské činnosti organizace. Do této kategorie spadají aplikace, u nichž byla provedena normální konfigurace,</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„Software zakoupený s úpravami na míru“</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Aplikace zakoupené na trhu, u nichž však prodejce (nebo jeho zástupce) vytvořil zvláštní verzi v souvislosti s touto instalací. Tato konkrétní verze je charakterizována změnami v chování aplikace, novými funkcemi nebo zařazením nestandardních komponent typu plug-in vyvinutých podle podnikatelské činnosti organizace,</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„Aplikace / externí portál“</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Externí portály nebo aplikace poskytované třetími stranami, obvykle partnery, za účelem hodnocení služeb, které nabízejí. Obvykle nespadají do správy informačních systémů organizace a jsou instalovány, udržovány a řízeny samotným partnerem. Tyto aplikace jsou často ve formě portálů (přístupných přes internet nebo soukromé sítě), a přestože nespadají do služeb správy informačních systémů organizace, jsou důležité (nebo klíčové) pro některé obchodní funkce.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Popis</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Popis hlavního účelu informačního systému v obchodním prostředí.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 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Subjekt skupiny odpovědný za systém</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 subjektu</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Název právního subjektu odpovědného za systém ve skupině.</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Je to subjekt odpovědný obecně za pořízení, vývoj, integraci, úpravy, provoz, údržbu a vyřazení informačního systému, který má klíčovou roli při vypracování specifikací návrhu systému, aby byla zjištěna bezpečnost a aby byly zadokumentovány, otestovány a implementovány provozní potřeby uživatelů.</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Kód právního subjektu odpovědného za systém ve skupině, vykázaný v Z 01.00 – Organizační struktura (ORG).</w:t>
            </w:r>
          </w:p>
        </w:tc>
      </w:tr>
    </w:tbl>
    <w:p w14:paraId="70CC4DE4" w14:textId="77777777" w:rsidR="00AD4B22" w:rsidRPr="00BB4805"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Zmapování informačních systémů (CIS 2): Pokyny týkající se konkrétních pozic</w:t>
      </w:r>
    </w:p>
    <w:p w14:paraId="4FA9A88F" w14:textId="03FA494D" w:rsidR="00720344" w:rsidRPr="00D92B3C" w:rsidRDefault="00720344" w:rsidP="001843F4">
      <w:pPr>
        <w:pStyle w:val="numberedparagraph"/>
        <w:rPr>
          <w:rFonts w:ascii="Times New Roman" w:hAnsi="Times New Roman" w:cs="Times New Roman"/>
          <w:sz w:val="20"/>
          <w:szCs w:val="20"/>
        </w:rPr>
      </w:pPr>
      <w:r>
        <w:rPr>
          <w:rFonts w:ascii="Times New Roman" w:hAnsi="Times New Roman"/>
          <w:sz w:val="20"/>
          <w:szCs w:val="20"/>
        </w:rPr>
        <w:t xml:space="preserve">Kombinace hodnot vykázaných ve sloupcích 0010, 0030, 0040, 0050 a 0060 tohoto vzoru tvoří hlavní klíč, který musí být jedinečný pro každý řádek vzoru. </w:t>
      </w:r>
    </w:p>
    <w:p w14:paraId="3AB449B8" w14:textId="77777777" w:rsidR="00720344" w:rsidRPr="00BB4805"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Sloupce</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Pokyny</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Identifikační kód systému</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Identifikační kód informačního systému vykázaný ve sloupci 010 vzoru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Subjekt skupiny užívající systém</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Subjekt, který užívá systém ve skupině („uživatel“). V případě několika uživatelů se uvede samostatný řádek pro každého uživatele téhož informačního systému.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Název subjektu</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Název uživatelského subjektu vykázaný v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Kód</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Kód uživatelského subjektu vykázaný v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Klíčová služba</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Identifikátor klíčové služby vykázaný v Z 08.00 (sloupec 0005), kterou systém podporuje. Klíčová služba může být sama o sobě IT služba nebo jiný druh služby, kterou informační systém podporuje (například zpracování transakcí).</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Zásadní funkce</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Zásadní funkce, která by byla vážně narušena nebo zcela znemožněna přerušením služeb podporovaných informačním systémem. Zásadních funkcí může být několik, v takovém případě se pro stejný informační systém vykáže několik řádků.</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Stát</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Stát, pro nějž je funkce zásadní, jak je vykázáno ve vzoru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ID</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Identifikace zásadních funkcí podle definice uvedené výše v kapitole II.7.1 a ve vzoru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A7F0951" w14:textId="77777777" w:rsidR="00411195" w:rsidRDefault="00411195" w:rsidP="001E5EDF">
      <w:r>
        <w:separator/>
      </w:r>
    </w:p>
  </w:endnote>
  <w:endnote w:type="continuationSeparator" w:id="0">
    <w:p w14:paraId="392CE494" w14:textId="77777777" w:rsidR="00411195" w:rsidRDefault="00411195"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Unicode MS">
    <w:altName w:val="Arial"/>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1FFDFE64" w:rsidR="0075382A" w:rsidRDefault="0075382A" w:rsidP="000E60D6">
        <w:pPr>
          <w:pStyle w:val="Footer"/>
          <w:jc w:val="center"/>
        </w:pPr>
        <w:r>
          <w:fldChar w:fldCharType="begin"/>
        </w:r>
        <w:r>
          <w:instrText xml:space="preserve"> PAGE   \* MERGEFORMAT </w:instrText>
        </w:r>
        <w:r>
          <w:fldChar w:fldCharType="separate"/>
        </w:r>
        <w:r w:rsidR="00D55993">
          <w:rPr>
            <w:noProof/>
          </w:rPr>
          <w:t>1</w:t>
        </w:r>
        <w: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1EB0CCB" w14:textId="77777777" w:rsidR="00411195" w:rsidRDefault="00411195" w:rsidP="001E5EDF">
      <w:r>
        <w:separator/>
      </w:r>
    </w:p>
  </w:footnote>
  <w:footnote w:type="continuationSeparator" w:id="0">
    <w:p w14:paraId="259B50FB" w14:textId="77777777" w:rsidR="00411195" w:rsidRDefault="00411195" w:rsidP="001E5EDF">
      <w:r>
        <w:continuationSeparator/>
      </w:r>
    </w:p>
  </w:footnote>
  <w:footnote w:id="1">
    <w:p w14:paraId="56760551" w14:textId="08561B46" w:rsidR="0075382A" w:rsidRPr="008E5458" w:rsidRDefault="0075382A" w:rsidP="0090323D">
      <w:pPr>
        <w:pStyle w:val="FootnoteText"/>
      </w:pPr>
      <w:r>
        <w:rPr>
          <w:rStyle w:val="FootnoteReference"/>
          <w:rFonts w:ascii="Times New Roman" w:hAnsi="Times New Roman"/>
        </w:rPr>
        <w:footnoteRef/>
      </w:r>
      <w:r>
        <w:t xml:space="preserve"> Prováděcí nařízení Komise (EU) 2021/451 ze dne 17. prosince 2020, kterým se stanoví prováděcí technické normy pro uplatňování nařízení Evropského parlamentu a Rady (EU) č. 575/2013, pokud jde o podávání zpráv institucí pro účely dohledu, a kterým se zrušuje prováděcí nařízení (EU) č. 680/2014 (Úř. věst. L 97, 19.3.2021, s. 1).</w:t>
      </w:r>
    </w:p>
  </w:footnote>
  <w:footnote w:id="2">
    <w:p w14:paraId="733D3558" w14:textId="77777777" w:rsidR="0075382A" w:rsidRPr="00E17940" w:rsidRDefault="0075382A">
      <w:pPr>
        <w:pStyle w:val="FootnoteText"/>
      </w:pPr>
      <w:r>
        <w:rPr>
          <w:rStyle w:val="FootnoteReference"/>
          <w:rFonts w:ascii="Times New Roman" w:hAnsi="Times New Roman"/>
        </w:rPr>
        <w:footnoteRef/>
      </w:r>
      <w:r>
        <w:t xml:space="preserve"> Nařízení Evropského parlamentu a Rady (ES) č. 1606/2002 ze dne 19. července 2002 o uplatňování mezinárodních účetních standardů (Úř. věst. L 243, 11.9.2002, s. 1).</w:t>
      </w:r>
    </w:p>
  </w:footnote>
  <w:footnote w:id="3">
    <w:p w14:paraId="3BD45C59" w14:textId="6A60F93C" w:rsidR="0075382A" w:rsidRPr="0090323D" w:rsidRDefault="0075382A">
      <w:pPr>
        <w:pStyle w:val="FootnoteText"/>
      </w:pPr>
      <w:r>
        <w:rPr>
          <w:rStyle w:val="FootnoteReference"/>
        </w:rPr>
        <w:footnoteRef/>
      </w:r>
      <w:r>
        <w:t xml:space="preserve"> Podrobné informace lze nalézt na těchto internetových stránkách: </w:t>
      </w:r>
      <w:hyperlink r:id="rId1" w:history="1">
        <w:r>
          <w:t>www.leiroc.org</w:t>
        </w:r>
      </w:hyperlink>
      <w:r>
        <w:t>.</w:t>
      </w:r>
    </w:p>
  </w:footnote>
  <w:footnote w:id="4">
    <w:p w14:paraId="0A6B3364" w14:textId="77777777" w:rsidR="0075382A" w:rsidRPr="00BB34DC" w:rsidRDefault="0075382A">
      <w:pPr>
        <w:pStyle w:val="FootnoteText"/>
      </w:pPr>
      <w:r>
        <w:rPr>
          <w:rStyle w:val="FootnoteReference"/>
          <w:rFonts w:ascii="Times New Roman" w:hAnsi="Times New Roman"/>
        </w:rPr>
        <w:footnoteRef/>
      </w:r>
      <w:r>
        <w:t xml:space="preserve"> Směrnice Rady 86/635/EHS ze dne 8. prosince 1986 o ročních účetních závěrkách a konsolidovaných účetních závěrkách bank a ostatních finančních institucí (Úř. věst. L 372, 31.12.1986, s. 1).</w:t>
      </w:r>
    </w:p>
  </w:footnote>
  <w:footnote w:id="5">
    <w:p w14:paraId="4D9F3A53" w14:textId="77777777" w:rsidR="0075382A" w:rsidRPr="00E17940" w:rsidRDefault="0075382A">
      <w:pPr>
        <w:pStyle w:val="FootnoteText"/>
      </w:pPr>
      <w:r>
        <w:rPr>
          <w:rStyle w:val="FootnoteReference"/>
          <w:rFonts w:ascii="Times New Roman" w:hAnsi="Times New Roman"/>
        </w:rPr>
        <w:footnoteRef/>
      </w:r>
      <w:r>
        <w:t xml:space="preserve"> Nařízení Evropského parlamentu a Rady (EU) č. 575/2013 ze dne 26. června 2013 o obezřetnostních požadavcích na úvěrové instituce a o změně nařízení (EU) č. 648/2012 (Úř. věst. L 176, 27.6.2013, s. 1).</w:t>
      </w:r>
    </w:p>
  </w:footnote>
  <w:footnote w:id="6">
    <w:p w14:paraId="708D686D" w14:textId="77777777" w:rsidR="0075382A" w:rsidRPr="00E17940" w:rsidRDefault="0075382A">
      <w:pPr>
        <w:pStyle w:val="FootnoteText"/>
      </w:pPr>
      <w:r>
        <w:rPr>
          <w:rStyle w:val="FootnoteReference"/>
        </w:rPr>
        <w:footnoteRef/>
      </w:r>
      <w:r>
        <w:t xml:space="preserve"> Směrnice Evropského parlamentu a Rady 2013/36/EU ze dne 26. června 2013 o přístupu k činnosti úvěrových institucí a o obezřetnostním dohledu nad úvěrovými institucemi a investičními podniky, o změně směrnice 2002/87/ES a zrušení směrnic 2006/48/ES a 2006/49/ES (Úř. věst. L 176, 27.6.2013, s. 338).</w:t>
      </w:r>
    </w:p>
  </w:footnote>
  <w:footnote w:id="7">
    <w:p w14:paraId="7BEC1B79" w14:textId="49B4DD17" w:rsidR="0075382A" w:rsidRPr="00CF3EBF" w:rsidRDefault="0075382A">
      <w:pPr>
        <w:pStyle w:val="FootnoteText"/>
      </w:pPr>
      <w:r>
        <w:rPr>
          <w:rStyle w:val="FootnoteReference"/>
          <w:rFonts w:ascii="Times New Roman" w:hAnsi="Times New Roman"/>
        </w:rPr>
        <w:footnoteRef/>
      </w:r>
      <w:r>
        <w:t xml:space="preserve"> Směrnice Evropského parlamentu a Rady 2009/138/ES ze dne 25. listopadu 2009 o přístupu k pojišťovací a zajišťovací činnosti a jejím výkonu (Solventnost II) (Úř. věst. L 335, 17.12.2009, s. 1).</w:t>
      </w:r>
    </w:p>
  </w:footnote>
  <w:footnote w:id="8">
    <w:p w14:paraId="2BE6F728" w14:textId="3AB24581" w:rsidR="0075382A" w:rsidRPr="00113543" w:rsidRDefault="0075382A">
      <w:pPr>
        <w:pStyle w:val="FootnoteText"/>
      </w:pPr>
      <w:r>
        <w:rPr>
          <w:rStyle w:val="FootnoteReference"/>
          <w:rFonts w:ascii="Times New Roman" w:hAnsi="Times New Roman"/>
        </w:rPr>
        <w:footnoteRef/>
      </w:r>
      <w:r>
        <w:t xml:space="preserve"> Doporučení Komise ze dne 6. května 2003 o definici mikropodniků a malých a středních podniků (Úř. věst. L 124, 20.5.2003, s. 36).</w:t>
      </w:r>
    </w:p>
  </w:footnote>
  <w:footnote w:id="9">
    <w:p w14:paraId="56A4794B" w14:textId="1D36E5BD" w:rsidR="0075382A" w:rsidRDefault="0075382A">
      <w:pPr>
        <w:pStyle w:val="FootnoteText"/>
      </w:pPr>
      <w:r>
        <w:rPr>
          <w:rStyle w:val="FootnoteReference"/>
          <w:rFonts w:ascii="Times New Roman" w:hAnsi="Times New Roman"/>
        </w:rPr>
        <w:footnoteRef/>
      </w:r>
      <w:r>
        <w:t xml:space="preserve"> Nařízení Evropské centrální banky (EU) 2021/379 ze dne 22. ledna 2021 o rozvahových položkách úvěrových institucí a sektoru měnových finančních institucí (ECB/2021/2) (Úř. věst. L 73, 3.3.2021, s. -85.).</w:t>
      </w:r>
    </w:p>
  </w:footnote>
  <w:footnote w:id="10">
    <w:p w14:paraId="33320726" w14:textId="397F1E31" w:rsidR="0075382A" w:rsidRPr="00433423" w:rsidRDefault="0075382A">
      <w:pPr>
        <w:pStyle w:val="FootnoteText"/>
      </w:pPr>
      <w:r>
        <w:rPr>
          <w:rStyle w:val="FootnoteReference"/>
        </w:rPr>
        <w:footnoteRef/>
      </w:r>
      <w:r>
        <w:t>Směrnice Evropského parlamentu a Rady 2014/65/EU ze dne 15. května 2014 o trzích finančních nástrojů a o změně směrnic 2002/92/ES a 2011/61/EU (Úř. věst. L 173, 12.6.2014, s. 349).</w:t>
      </w:r>
    </w:p>
  </w:footnote>
  <w:footnote w:id="11">
    <w:p w14:paraId="7ECE222F" w14:textId="77777777" w:rsidR="0075382A" w:rsidRPr="00B77FC7" w:rsidRDefault="0075382A">
      <w:pPr>
        <w:pStyle w:val="FootnoteText"/>
      </w:pPr>
      <w:r>
        <w:rPr>
          <w:rStyle w:val="FootnoteReference"/>
        </w:rPr>
        <w:footnoteRef/>
      </w:r>
      <w:r>
        <w:t xml:space="preserve"> Směrnice Evropského parlamentu a Rady 2014/59/EU ze dne 15. května 2014, kterou se stanoví rámec pro ozdravné postupy a řešení krize úvěrových institucí a kterou se mění směrnice Rady 82/891/EHS, směrnice Evropského parlamentu a Rady 2001/24/ES, 2002/47/ES, 2004/25/ES, 2005/56/ES, 2007/36/ES, 2011/35/EU, 2012/30/EU a 2013/36/EU a nařízení Evropského parlamentu a Rady (EU) č. 1093/2010 a (EU) č. 648/2012 (Úř. věst. L 173, 12.6.2014, s. 190).</w:t>
      </w:r>
    </w:p>
  </w:footnote>
  <w:footnote w:id="12">
    <w:p w14:paraId="45027383" w14:textId="7473EDB5" w:rsidR="0075382A" w:rsidRPr="001D3665" w:rsidRDefault="0075382A">
      <w:pPr>
        <w:pStyle w:val="FootnoteText"/>
      </w:pPr>
      <w:r>
        <w:rPr>
          <w:rStyle w:val="FootnoteReference"/>
        </w:rPr>
        <w:footnoteRef/>
      </w:r>
      <w:r>
        <w:t xml:space="preserve"> Směrnice Evropského parlamentu a Rady 2014/49/EU ze dne 16. dubna 2014 o systémech pojištění vkladů (Úř. věst. L 173, 12.6.2014, s. 149).</w:t>
      </w:r>
    </w:p>
  </w:footnote>
  <w:footnote w:id="13">
    <w:p w14:paraId="0A164DF9" w14:textId="77777777" w:rsidR="0075382A" w:rsidRPr="00EB1AD3" w:rsidRDefault="0075382A">
      <w:pPr>
        <w:pStyle w:val="FootnoteText"/>
      </w:pPr>
      <w:r>
        <w:rPr>
          <w:rStyle w:val="FootnoteReference"/>
        </w:rPr>
        <w:footnoteRef/>
      </w:r>
      <w:r>
        <w:t xml:space="preserve"> Směrnice Evropského parlamentu a Rady 2009/65/ES ze dne 13. července 2009 o koordinaci právních a správních předpisů týkajících se subjektů kolektivního investování do převoditelných cenných papírů (SKIPCP) (Úř. věst. L 302, 17.11.2009, s. 32).</w:t>
      </w:r>
    </w:p>
  </w:footnote>
  <w:footnote w:id="14">
    <w:p w14:paraId="14B9F3B8" w14:textId="59942C0A" w:rsidR="0075382A" w:rsidRPr="00EB1AD3" w:rsidRDefault="0075382A">
      <w:pPr>
        <w:pStyle w:val="FootnoteText"/>
      </w:pPr>
      <w:r>
        <w:rPr>
          <w:rStyle w:val="FootnoteReference"/>
        </w:rPr>
        <w:footnoteRef/>
      </w:r>
      <w:r>
        <w:t xml:space="preserve"> Směrnice Evropského parlamentu a Rady 2011/61/EU ze dne 8. června 2011 o správcích alternativních investičních fondů a o změně směrnic 2003/41/ES a 2009/65/ES a nařízení (ES) č. 1060/2009 a (EU) č. 1095/2010 (Úř. věst. L 174, 1.7.2011, s. 1).</w:t>
      </w:r>
    </w:p>
  </w:footnote>
  <w:footnote w:id="15">
    <w:p w14:paraId="7EA8BC4D" w14:textId="4A625A59" w:rsidR="0075382A" w:rsidRPr="002B0D5A" w:rsidRDefault="0075382A">
      <w:pPr>
        <w:pStyle w:val="FootnoteText"/>
      </w:pPr>
      <w:r>
        <w:rPr>
          <w:rStyle w:val="FootnoteReference"/>
        </w:rPr>
        <w:footnoteRef/>
      </w:r>
      <w:r>
        <w:t xml:space="preserve"> Směrnice Evropského parlamentu a Rady 98/26/ES ze dne 19. května 1998 o neodvolatelnosti zúčtování v platebních systémech a v systémech vypořádání obchodů s cennými papíry (Úř. věst. L 166, 11.6.1998, s. 45)</w:t>
      </w:r>
      <w:r>
        <w:rPr>
          <w:i/>
          <w:iCs/>
        </w:rPr>
        <w:t>.</w:t>
      </w:r>
    </w:p>
  </w:footnote>
  <w:footnote w:id="16">
    <w:p w14:paraId="55D8C4D7" w14:textId="234F6046" w:rsidR="0075382A" w:rsidRPr="00D90DF8" w:rsidRDefault="0075382A">
      <w:pPr>
        <w:pStyle w:val="FootnoteText"/>
      </w:pPr>
      <w:r>
        <w:rPr>
          <w:rStyle w:val="FootnoteReference"/>
        </w:rPr>
        <w:footnoteRef/>
      </w:r>
      <w:r>
        <w:t xml:space="preserve"> Nařízení Evropského parlamentu a Rady (EU) č. 648/2012 ze dne 4. července 2012 o OTC derivátech, ústředních protistranách a registrech obchodních údajů (Úř. věst. L 201, 27.7.2012, s. 1).</w:t>
      </w:r>
    </w:p>
  </w:footnote>
  <w:footnote w:id="17">
    <w:p w14:paraId="5114B6F9" w14:textId="77777777" w:rsidR="0075382A" w:rsidRPr="00CD04C7" w:rsidRDefault="0075382A">
      <w:pPr>
        <w:pStyle w:val="FootnoteText"/>
      </w:pPr>
      <w:r>
        <w:rPr>
          <w:rStyle w:val="FootnoteReference"/>
          <w:rFonts w:ascii="Times New Roman" w:hAnsi="Times New Roman"/>
        </w:rPr>
        <w:footnoteRef/>
      </w:r>
      <w:r>
        <w:t xml:space="preserve"> Nařízení Komise v přenesené pravomoci (EU) 2016/1401 ze dne 23. května 2016, kterým se doplňuje směrnice Evropského parlamentu a Rady 2014/59/EU, kterou se stanoví rámec pro ozdravné postupy a řešení krize úvěrových institucí a investičních podniků, pokud jde o regulační technické normy pro metodiky a zásady týkající se ocenění závazků vzniklých z derivátů (Úř. věst. L 228, 23.8.2016, s. 7).</w:t>
      </w:r>
    </w:p>
  </w:footnote>
  <w:footnote w:id="18">
    <w:p w14:paraId="22BC5B54" w14:textId="77777777" w:rsidR="0075382A" w:rsidRPr="00CF2751" w:rsidRDefault="0075382A">
      <w:pPr>
        <w:pStyle w:val="FootnoteText"/>
      </w:pPr>
      <w:r>
        <w:rPr>
          <w:rStyle w:val="FootnoteReference"/>
          <w:rFonts w:ascii="Times New Roman" w:hAnsi="Times New Roman"/>
          <w:sz w:val="18"/>
        </w:rPr>
        <w:footnoteRef/>
      </w:r>
      <w:r>
        <w:rPr>
          <w:sz w:val="14"/>
        </w:rPr>
        <w:t xml:space="preserve"> </w:t>
      </w:r>
      <w:r>
        <w:t>Nařízení Komise v přenesené pravomoci (EU) 2016/778 ze dne 2. února 2016, kterým se doplňuje směrnice Evropského parlamentu a Rady 2014/59/EU, pokud jde o okolnosti a podmínky, za nichž lze úplně nebo částečně odložit úhradu mimořádných následných příspěvků, o kritéria pro určení činností, služeb a operací v souvislosti se zásadními funkcemi a o kritéria pro určení linií podnikání a souvisejících služeb v souvislosti s hlavními liniemi podnikání (Úř. věst. L 131, 20.5.2016, s. 41).</w:t>
      </w:r>
    </w:p>
  </w:footnote>
  <w:footnote w:id="19">
    <w:p w14:paraId="2F087C6F" w14:textId="77777777" w:rsidR="0075382A" w:rsidRPr="00D66550" w:rsidRDefault="0075382A">
      <w:pPr>
        <w:pStyle w:val="FootnoteText"/>
      </w:pPr>
      <w:r>
        <w:rPr>
          <w:rStyle w:val="FootnoteReference"/>
          <w:rFonts w:ascii="Times New Roman" w:hAnsi="Times New Roman"/>
          <w:sz w:val="18"/>
        </w:rPr>
        <w:footnoteRef/>
      </w:r>
      <w:r>
        <w:rPr>
          <w:sz w:val="14"/>
        </w:rPr>
        <w:t xml:space="preserve"> </w:t>
      </w:r>
      <w:r>
        <w:t>Směrnice Evropského parlamentu a Rady (EU) 2015/2366 ze dne 25. listopadu 2015 o platebních službách na vnitřním trhu, o změně směrnice 2002/65/ES, 2009/110/ES, 2013/36/EU a nařízení (EU) č. 1093/2010 a o zrušení směrnice 2007/64/ES (Úř. věst. L 337, 23.12.2015, s. 35).</w:t>
      </w:r>
    </w:p>
  </w:footnote>
  <w:footnote w:id="20">
    <w:p w14:paraId="17404B79" w14:textId="34E49F40" w:rsidR="0075382A" w:rsidRPr="00CF3B41" w:rsidRDefault="0075382A">
      <w:pPr>
        <w:pStyle w:val="FootnoteText"/>
      </w:pPr>
      <w:r>
        <w:rPr>
          <w:rStyle w:val="FootnoteReference"/>
        </w:rPr>
        <w:footnoteRef/>
      </w:r>
      <w:r>
        <w:t xml:space="preserve"> Nařízení Komise (ES) č. 1287/2006 ze dne 10. srpna 2006, kterým se provádí směrnice Evropského parlamentu a Rady 2004/39/ES, pokud jde o evidenční povinnosti investičních podniků, hlášení obchodů, transparentnost trhu, přijímání finančních nástrojů k obchodování a o vymezení pojmů pro účely zmíněné směrnice (Úř. věst. L 241, 2.9.2006, s. 1).</w:t>
      </w:r>
    </w:p>
  </w:footnote>
  <w:footnote w:id="21">
    <w:p w14:paraId="1556A3CF" w14:textId="00EE3CBB" w:rsidR="0075382A" w:rsidRPr="00264CA3" w:rsidRDefault="0075382A">
      <w:pPr>
        <w:pStyle w:val="FootnoteText"/>
      </w:pPr>
      <w:r>
        <w:rPr>
          <w:rStyle w:val="FootnoteReference"/>
        </w:rPr>
        <w:footnoteRef/>
      </w:r>
      <w:r>
        <w:t xml:space="preserve"> Nařízení Evropské centrální banky (EU) č. 1409/2013 ze dne 28. listopadu 2013 o statistice platebního styku (Úř. věst. L 352, 24.12.2013, s. 18).</w:t>
      </w:r>
    </w:p>
  </w:footnote>
  <w:footnote w:id="22">
    <w:p w14:paraId="19BD785A" w14:textId="266D260C" w:rsidR="0075382A" w:rsidRPr="00264CA3" w:rsidRDefault="0075382A" w:rsidP="00575F7D">
      <w:pPr>
        <w:pStyle w:val="FootnoteText"/>
      </w:pPr>
      <w:r>
        <w:t>Obecné zásady Evropské centrální banky ze dne 4. dubna 2014 o měnové a finanční statistice (ECB/2014/15) (Úř. věst. L 340, 26.11.2014, s.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CS</w:t>
    </w:r>
  </w:p>
  <w:p w14:paraId="0BBD0984"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PŘÍLOHA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A314A1E8"/>
    <w:lvl w:ilvl="0" w:tplc="BF3CD4B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D88025B6"/>
    <w:lvl w:ilvl="0" w:tplc="3D5447DE">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ECC3D9B"/>
    <w:multiLevelType w:val="hybridMultilevel"/>
    <w:tmpl w:val="431CFFF0"/>
    <w:lvl w:ilvl="0" w:tplc="62EA4118">
      <w:start w:val="1"/>
      <w:numFmt w:val="lowerLetter"/>
      <w:lvlText w:val="%1)"/>
      <w:lvlJc w:val="left"/>
      <w:pPr>
        <w:ind w:left="720" w:hanging="360"/>
      </w:pPr>
      <w:rPr>
        <w:rFonts w:ascii="Times New Roman" w:eastAsiaTheme="minorEastAsia" w:hAnsi="Times New Roman" w:cs="Times New Roman"/>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D503FA"/>
    <w:multiLevelType w:val="hybridMultilevel"/>
    <w:tmpl w:val="CED670FA"/>
    <w:lvl w:ilvl="0" w:tplc="04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5" w15:restartNumberingAfterBreak="0">
    <w:nsid w:val="26084AF9"/>
    <w:multiLevelType w:val="hybridMultilevel"/>
    <w:tmpl w:val="1E3C47B0"/>
    <w:lvl w:ilvl="0" w:tplc="04090011">
      <w:start w:val="1"/>
      <w:numFmt w:val="decimal"/>
      <w:lvlText w:val="%1)"/>
      <w:lvlJc w:val="lef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6"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7"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8"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19" w15:restartNumberingAfterBreak="0">
    <w:nsid w:val="34EC077E"/>
    <w:multiLevelType w:val="hybridMultilevel"/>
    <w:tmpl w:val="C1FC6470"/>
    <w:lvl w:ilvl="0" w:tplc="04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0"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3"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5" w15:restartNumberingAfterBreak="0">
    <w:nsid w:val="46F32E4A"/>
    <w:multiLevelType w:val="hybridMultilevel"/>
    <w:tmpl w:val="35962D5C"/>
    <w:lvl w:ilvl="0" w:tplc="75FE0E26">
      <w:start w:val="1"/>
      <w:numFmt w:val="decimal"/>
      <w:pStyle w:val="numberedparagraph"/>
      <w:lvlText w:val="%1."/>
      <w:lvlJc w:val="left"/>
      <w:pPr>
        <w:ind w:left="360" w:hanging="360"/>
      </w:pPr>
      <w:rPr>
        <w:rFonts w:hint="default"/>
        <w:spacing w:val="0"/>
      </w:rPr>
    </w:lvl>
    <w:lvl w:ilvl="1" w:tplc="08090017">
      <w:start w:val="1"/>
      <w:numFmt w:val="lowerLetter"/>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6"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7"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8"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9" w15:restartNumberingAfterBreak="0">
    <w:nsid w:val="5A10544D"/>
    <w:multiLevelType w:val="hybridMultilevel"/>
    <w:tmpl w:val="238E792E"/>
    <w:lvl w:ilvl="0" w:tplc="04090017">
      <w:start w:val="1"/>
      <w:numFmt w:val="lowerLetter"/>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0"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1"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2" w15:restartNumberingAfterBreak="0">
    <w:nsid w:val="67045AA4"/>
    <w:multiLevelType w:val="hybridMultilevel"/>
    <w:tmpl w:val="FE326594"/>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4"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5" w15:restartNumberingAfterBreak="0">
    <w:nsid w:val="6DB451DC"/>
    <w:multiLevelType w:val="multilevel"/>
    <w:tmpl w:val="D52A4CFC"/>
    <w:lvl w:ilvl="0">
      <w:start w:val="1"/>
      <w:numFmt w:val="lowerLetter"/>
      <w:lvlText w:val="%1)"/>
      <w:lvlJc w:val="left"/>
      <w:pPr>
        <w:ind w:left="720" w:hanging="360"/>
      </w:pPr>
      <w:rPr>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6"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7" w15:restartNumberingAfterBreak="0">
    <w:nsid w:val="7C257D43"/>
    <w:multiLevelType w:val="hybridMultilevel"/>
    <w:tmpl w:val="5C8A7378"/>
    <w:lvl w:ilvl="0" w:tplc="FF82B3FC">
      <w:start w:val="1"/>
      <w:numFmt w:val="lowerLetter"/>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3"/>
  </w:num>
  <w:num w:numId="2">
    <w:abstractNumId w:val="2"/>
  </w:num>
  <w:num w:numId="3">
    <w:abstractNumId w:val="17"/>
  </w:num>
  <w:num w:numId="4">
    <w:abstractNumId w:val="21"/>
  </w:num>
  <w:num w:numId="5">
    <w:abstractNumId w:val="1"/>
  </w:num>
  <w:num w:numId="6">
    <w:abstractNumId w:val="34"/>
  </w:num>
  <w:num w:numId="7">
    <w:abstractNumId w:val="0"/>
  </w:num>
  <w:num w:numId="8">
    <w:abstractNumId w:val="16"/>
  </w:num>
  <w:num w:numId="9">
    <w:abstractNumId w:val="8"/>
  </w:num>
  <w:num w:numId="10">
    <w:abstractNumId w:val="10"/>
  </w:num>
  <w:num w:numId="11">
    <w:abstractNumId w:val="36"/>
  </w:num>
  <w:num w:numId="12">
    <w:abstractNumId w:val="20"/>
  </w:num>
  <w:num w:numId="13">
    <w:abstractNumId w:val="35"/>
  </w:num>
  <w:num w:numId="14">
    <w:abstractNumId w:val="6"/>
  </w:num>
  <w:num w:numId="15">
    <w:abstractNumId w:val="32"/>
  </w:num>
  <w:num w:numId="16">
    <w:abstractNumId w:val="15"/>
  </w:num>
  <w:num w:numId="17">
    <w:abstractNumId w:val="29"/>
  </w:num>
  <w:num w:numId="18">
    <w:abstractNumId w:val="4"/>
  </w:num>
  <w:num w:numId="19">
    <w:abstractNumId w:val="27"/>
  </w:num>
  <w:num w:numId="20">
    <w:abstractNumId w:val="31"/>
  </w:num>
  <w:num w:numId="21">
    <w:abstractNumId w:val="12"/>
  </w:num>
  <w:num w:numId="22">
    <w:abstractNumId w:val="37"/>
  </w:num>
  <w:num w:numId="23">
    <w:abstractNumId w:val="3"/>
  </w:num>
  <w:num w:numId="24">
    <w:abstractNumId w:val="26"/>
  </w:num>
  <w:num w:numId="25">
    <w:abstractNumId w:val="18"/>
  </w:num>
  <w:num w:numId="26">
    <w:abstractNumId w:val="25"/>
  </w:num>
  <w:num w:numId="27">
    <w:abstractNumId w:val="9"/>
  </w:num>
  <w:num w:numId="28">
    <w:abstractNumId w:val="24"/>
  </w:num>
  <w:num w:numId="29">
    <w:abstractNumId w:val="30"/>
  </w:num>
  <w:num w:numId="30">
    <w:abstractNumId w:val="33"/>
  </w:num>
  <w:num w:numId="31">
    <w:abstractNumId w:val="11"/>
  </w:num>
  <w:num w:numId="32">
    <w:abstractNumId w:val="22"/>
  </w:num>
  <w:num w:numId="33">
    <w:abstractNumId w:val="28"/>
  </w:num>
  <w:num w:numId="34">
    <w:abstractNumId w:val="7"/>
  </w:num>
  <w:num w:numId="35">
    <w:abstractNumId w:val="13"/>
  </w:num>
  <w:num w:numId="36">
    <w:abstractNumId w:val="19"/>
  </w:num>
  <w:num w:numId="37">
    <w:abstractNumId w:val="14"/>
  </w:num>
  <w:num w:numId="38">
    <w:abstractNumId w:val="5"/>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1195"/>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4805"/>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01"/>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993"/>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cs-CZ"/>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cs-CZ"/>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cs-CZ"/>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cs-CZ"/>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cs-CZ"/>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cs-CZ"/>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cs-CZ"/>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cs-CZ"/>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cs-CZ"/>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cs-CZ"/>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cs-CZ"/>
    </w:rPr>
  </w:style>
  <w:style w:type="table" w:styleId="TableGrid">
    <w:name w:val="Table Grid"/>
    <w:basedOn w:val="TableProfessional"/>
    <w:uiPriority w:val="59"/>
    <w:rsid w:val="00E13CE3"/>
    <w:rPr>
      <w:sz w:val="20"/>
      <w:szCs w:val="20"/>
      <w:lang w:val="en-US"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cs-CZ"/>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cs-CZ"/>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cs-CZ"/>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8E116E"/>
    <w:pPr>
      <w:numPr>
        <w:numId w:val="26"/>
      </w:numPr>
    </w:pPr>
    <w:rPr>
      <w:rFonts w:asciiTheme="majorHAnsi" w:hAnsiTheme="majorHAnsi"/>
      <w:color w:val="000000" w:themeColor="text1"/>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cs-CZ"/>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cs-CZ"/>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cs-CZ"/>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cs-CZ"/>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73582D"/>
    <w:pPr>
      <w:numPr>
        <w:numId w:val="27"/>
      </w:numPr>
      <w:spacing w:before="108"/>
      <w:ind w:left="0" w:firstLine="221"/>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73582D"/>
    <w:rPr>
      <w:rFonts w:asciiTheme="majorHAnsi" w:eastAsia="Times New Roman" w:hAnsiTheme="majorHAnsi" w:cs="Arial"/>
      <w:lang w:val="cs-CZ"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89C04DE-63CB-43B8-9EEA-BDD5D5D331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17</Pages>
  <Words>14074</Words>
  <Characters>82476</Characters>
  <Application>Microsoft Office Word</Application>
  <DocSecurity>0</DocSecurity>
  <Lines>1918</Lines>
  <Paragraphs>1532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95018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2022-03-08T15:31:00Z</dcterms:created>
  <dcterms:modified xsi:type="dcterms:W3CDTF">2022-03-08T15:31:00Z</dcterms:modified>
</cp:coreProperties>
</file>