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„ANEXA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Instrucțiuni</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BAF3E7E" w14:textId="3FC117F2" w:rsidR="00D1040F" w:rsidRDefault="001D258F">
      <w:pPr>
        <w:pStyle w:val="TOC2"/>
        <w:rPr>
          <w:lang w:eastAsia="ro-RO"/>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005848" w:history="1">
        <w:r w:rsidR="00D1040F" w:rsidRPr="00D92235">
          <w:rPr>
            <w:rStyle w:val="Hyperlink"/>
            <w:rFonts w:ascii="Times New Roman" w:hAnsi="Times New Roman" w:cs="Times New Roman"/>
          </w:rPr>
          <w:t>I.</w:t>
        </w:r>
        <w:r w:rsidR="00D1040F">
          <w:rPr>
            <w:lang w:eastAsia="ro-RO"/>
          </w:rPr>
          <w:tab/>
        </w:r>
        <w:r w:rsidR="00D1040F" w:rsidRPr="00D92235">
          <w:rPr>
            <w:rStyle w:val="Hyperlink"/>
            <w:rFonts w:ascii="Times New Roman" w:hAnsi="Times New Roman"/>
          </w:rPr>
          <w:t>Instrucțiuni generale</w:t>
        </w:r>
        <w:r w:rsidR="00D1040F">
          <w:rPr>
            <w:webHidden/>
          </w:rPr>
          <w:tab/>
        </w:r>
        <w:r w:rsidR="00D1040F">
          <w:rPr>
            <w:webHidden/>
          </w:rPr>
          <w:fldChar w:fldCharType="begin"/>
        </w:r>
        <w:r w:rsidR="00D1040F">
          <w:rPr>
            <w:webHidden/>
          </w:rPr>
          <w:instrText xml:space="preserve"> PAGEREF _Toc96005848 \h </w:instrText>
        </w:r>
        <w:r w:rsidR="00D1040F">
          <w:rPr>
            <w:webHidden/>
          </w:rPr>
        </w:r>
        <w:r w:rsidR="00D1040F">
          <w:rPr>
            <w:webHidden/>
          </w:rPr>
          <w:fldChar w:fldCharType="separate"/>
        </w:r>
        <w:r w:rsidR="00D1040F" w:rsidRPr="002A58D3">
          <w:rPr>
            <w:webHidden/>
          </w:rPr>
          <w:t>2</w:t>
        </w:r>
        <w:r w:rsidR="00D1040F">
          <w:rPr>
            <w:webHidden/>
          </w:rPr>
          <w:fldChar w:fldCharType="end"/>
        </w:r>
      </w:hyperlink>
    </w:p>
    <w:p w14:paraId="0CFD5AA4" w14:textId="2013AC9D" w:rsidR="00D1040F" w:rsidRDefault="00986AD8">
      <w:pPr>
        <w:pStyle w:val="TOC2"/>
        <w:rPr>
          <w:lang w:eastAsia="ro-RO"/>
        </w:rPr>
      </w:pPr>
      <w:hyperlink w:anchor="_Toc96005849" w:history="1">
        <w:r w:rsidR="00D1040F" w:rsidRPr="00D92235">
          <w:rPr>
            <w:rStyle w:val="Hyperlink"/>
            <w:rFonts w:ascii="Times New Roman" w:hAnsi="Times New Roman" w:cs="Times New Roman"/>
          </w:rPr>
          <w:t>I.</w:t>
        </w:r>
        <w:r w:rsidR="00D1040F" w:rsidRPr="002A58D3">
          <w:rPr>
            <w:rStyle w:val="Hyperlink"/>
            <w:rFonts w:ascii="Times New Roman" w:hAnsi="Times New Roman" w:cs="Times New Roman"/>
          </w:rPr>
          <w:t>1</w:t>
        </w:r>
        <w:r w:rsidR="00D1040F">
          <w:rPr>
            <w:lang w:eastAsia="ro-RO"/>
          </w:rPr>
          <w:tab/>
        </w:r>
        <w:r w:rsidR="00D1040F" w:rsidRPr="00D92235">
          <w:rPr>
            <w:rStyle w:val="Hyperlink"/>
            <w:rFonts w:ascii="Times New Roman" w:hAnsi="Times New Roman"/>
          </w:rPr>
          <w:t>Structură</w:t>
        </w:r>
        <w:r w:rsidR="00D1040F">
          <w:rPr>
            <w:webHidden/>
          </w:rPr>
          <w:tab/>
        </w:r>
        <w:r w:rsidR="00D1040F">
          <w:rPr>
            <w:webHidden/>
          </w:rPr>
          <w:fldChar w:fldCharType="begin"/>
        </w:r>
        <w:r w:rsidR="00D1040F">
          <w:rPr>
            <w:webHidden/>
          </w:rPr>
          <w:instrText xml:space="preserve"> PAGEREF _Toc96005849 \h </w:instrText>
        </w:r>
        <w:r w:rsidR="00D1040F">
          <w:rPr>
            <w:webHidden/>
          </w:rPr>
        </w:r>
        <w:r w:rsidR="00D1040F">
          <w:rPr>
            <w:webHidden/>
          </w:rPr>
          <w:fldChar w:fldCharType="separate"/>
        </w:r>
        <w:r w:rsidR="00D1040F" w:rsidRPr="002A58D3">
          <w:rPr>
            <w:webHidden/>
          </w:rPr>
          <w:t>2</w:t>
        </w:r>
        <w:r w:rsidR="00D1040F">
          <w:rPr>
            <w:webHidden/>
          </w:rPr>
          <w:fldChar w:fldCharType="end"/>
        </w:r>
      </w:hyperlink>
    </w:p>
    <w:p w14:paraId="6E8B0A96" w14:textId="0043C494" w:rsidR="00D1040F" w:rsidRDefault="00986AD8">
      <w:pPr>
        <w:pStyle w:val="TOC2"/>
        <w:rPr>
          <w:lang w:eastAsia="ro-RO"/>
        </w:rPr>
      </w:pPr>
      <w:hyperlink w:anchor="_Toc96005850" w:history="1">
        <w:r w:rsidR="00D1040F" w:rsidRPr="00D92235">
          <w:rPr>
            <w:rStyle w:val="Hyperlink"/>
            <w:rFonts w:ascii="Times New Roman" w:hAnsi="Times New Roman" w:cs="Times New Roman"/>
          </w:rPr>
          <w:t>I.</w:t>
        </w:r>
        <w:r w:rsidR="00D1040F" w:rsidRPr="002A58D3">
          <w:rPr>
            <w:rStyle w:val="Hyperlink"/>
            <w:rFonts w:ascii="Times New Roman" w:hAnsi="Times New Roman" w:cs="Times New Roman"/>
          </w:rPr>
          <w:t>2</w:t>
        </w:r>
        <w:r w:rsidR="00D1040F">
          <w:rPr>
            <w:lang w:eastAsia="ro-RO"/>
          </w:rPr>
          <w:tab/>
        </w:r>
        <w:r w:rsidR="00D1040F" w:rsidRPr="00D92235">
          <w:rPr>
            <w:rStyle w:val="Hyperlink"/>
            <w:rFonts w:ascii="Times New Roman" w:hAnsi="Times New Roman"/>
          </w:rPr>
          <w:t>Referințe</w:t>
        </w:r>
        <w:r w:rsidR="00D1040F">
          <w:rPr>
            <w:webHidden/>
          </w:rPr>
          <w:tab/>
        </w:r>
        <w:r w:rsidR="00D1040F">
          <w:rPr>
            <w:webHidden/>
          </w:rPr>
          <w:fldChar w:fldCharType="begin"/>
        </w:r>
        <w:r w:rsidR="00D1040F">
          <w:rPr>
            <w:webHidden/>
          </w:rPr>
          <w:instrText xml:space="preserve"> PAGEREF _Toc96005850 \h </w:instrText>
        </w:r>
        <w:r w:rsidR="00D1040F">
          <w:rPr>
            <w:webHidden/>
          </w:rPr>
        </w:r>
        <w:r w:rsidR="00D1040F">
          <w:rPr>
            <w:webHidden/>
          </w:rPr>
          <w:fldChar w:fldCharType="separate"/>
        </w:r>
        <w:r w:rsidR="00D1040F" w:rsidRPr="002A58D3">
          <w:rPr>
            <w:webHidden/>
          </w:rPr>
          <w:t>2</w:t>
        </w:r>
        <w:r w:rsidR="00D1040F">
          <w:rPr>
            <w:webHidden/>
          </w:rPr>
          <w:fldChar w:fldCharType="end"/>
        </w:r>
      </w:hyperlink>
    </w:p>
    <w:p w14:paraId="6722017E" w14:textId="6D7E2438" w:rsidR="00D1040F" w:rsidRDefault="00986AD8">
      <w:pPr>
        <w:pStyle w:val="TOC2"/>
        <w:rPr>
          <w:lang w:eastAsia="ro-RO"/>
        </w:rPr>
      </w:pPr>
      <w:hyperlink w:anchor="_Toc96005851" w:history="1">
        <w:r w:rsidR="00D1040F" w:rsidRPr="00D92235">
          <w:rPr>
            <w:rStyle w:val="Hyperlink"/>
            <w:rFonts w:ascii="Times New Roman" w:hAnsi="Times New Roman" w:cs="Times New Roman"/>
          </w:rPr>
          <w:t>I.</w:t>
        </w:r>
        <w:r w:rsidR="00D1040F" w:rsidRPr="002A58D3">
          <w:rPr>
            <w:rStyle w:val="Hyperlink"/>
            <w:rFonts w:ascii="Times New Roman" w:hAnsi="Times New Roman" w:cs="Times New Roman"/>
          </w:rPr>
          <w:t>3</w:t>
        </w:r>
        <w:r w:rsidR="00D1040F">
          <w:rPr>
            <w:lang w:eastAsia="ro-RO"/>
          </w:rPr>
          <w:tab/>
        </w:r>
        <w:r w:rsidR="00D1040F" w:rsidRPr="00D92235">
          <w:rPr>
            <w:rStyle w:val="Hyperlink"/>
            <w:rFonts w:ascii="Times New Roman" w:hAnsi="Times New Roman"/>
          </w:rPr>
          <w:t>Standarde de contabilitate</w:t>
        </w:r>
        <w:r w:rsidR="00D1040F">
          <w:rPr>
            <w:webHidden/>
          </w:rPr>
          <w:tab/>
        </w:r>
        <w:r w:rsidR="00D1040F">
          <w:rPr>
            <w:webHidden/>
          </w:rPr>
          <w:fldChar w:fldCharType="begin"/>
        </w:r>
        <w:r w:rsidR="00D1040F">
          <w:rPr>
            <w:webHidden/>
          </w:rPr>
          <w:instrText xml:space="preserve"> PAGEREF _Toc96005851 \h </w:instrText>
        </w:r>
        <w:r w:rsidR="00D1040F">
          <w:rPr>
            <w:webHidden/>
          </w:rPr>
        </w:r>
        <w:r w:rsidR="00D1040F">
          <w:rPr>
            <w:webHidden/>
          </w:rPr>
          <w:fldChar w:fldCharType="separate"/>
        </w:r>
        <w:r w:rsidR="00D1040F" w:rsidRPr="002A58D3">
          <w:rPr>
            <w:webHidden/>
          </w:rPr>
          <w:t>3</w:t>
        </w:r>
        <w:r w:rsidR="00D1040F">
          <w:rPr>
            <w:webHidden/>
          </w:rPr>
          <w:fldChar w:fldCharType="end"/>
        </w:r>
      </w:hyperlink>
    </w:p>
    <w:p w14:paraId="1EA03949" w14:textId="346F3C60" w:rsidR="00D1040F" w:rsidRDefault="00986AD8">
      <w:pPr>
        <w:pStyle w:val="TOC2"/>
        <w:rPr>
          <w:lang w:eastAsia="ro-RO"/>
        </w:rPr>
      </w:pPr>
      <w:hyperlink w:anchor="_Toc96005852" w:history="1">
        <w:r w:rsidR="00D1040F" w:rsidRPr="00D92235">
          <w:rPr>
            <w:rStyle w:val="Hyperlink"/>
            <w:rFonts w:ascii="Times New Roman" w:hAnsi="Times New Roman" w:cs="Times New Roman"/>
          </w:rPr>
          <w:t>I.</w:t>
        </w:r>
        <w:r w:rsidR="00D1040F" w:rsidRPr="002A58D3">
          <w:rPr>
            <w:rStyle w:val="Hyperlink"/>
            <w:rFonts w:ascii="Times New Roman" w:hAnsi="Times New Roman" w:cs="Times New Roman"/>
          </w:rPr>
          <w:t>4</w:t>
        </w:r>
        <w:r w:rsidR="00D1040F">
          <w:rPr>
            <w:lang w:eastAsia="ro-RO"/>
          </w:rPr>
          <w:tab/>
        </w:r>
        <w:r w:rsidR="00D1040F" w:rsidRPr="00D92235">
          <w:rPr>
            <w:rStyle w:val="Hyperlink"/>
            <w:rFonts w:ascii="Times New Roman" w:hAnsi="Times New Roman"/>
          </w:rPr>
          <w:t>Perimetrul de consolidare</w:t>
        </w:r>
        <w:r w:rsidR="00D1040F">
          <w:rPr>
            <w:webHidden/>
          </w:rPr>
          <w:tab/>
        </w:r>
        <w:r w:rsidR="00D1040F">
          <w:rPr>
            <w:webHidden/>
          </w:rPr>
          <w:fldChar w:fldCharType="begin"/>
        </w:r>
        <w:r w:rsidR="00D1040F">
          <w:rPr>
            <w:webHidden/>
          </w:rPr>
          <w:instrText xml:space="preserve"> PAGEREF _Toc96005852 \h </w:instrText>
        </w:r>
        <w:r w:rsidR="00D1040F">
          <w:rPr>
            <w:webHidden/>
          </w:rPr>
        </w:r>
        <w:r w:rsidR="00D1040F">
          <w:rPr>
            <w:webHidden/>
          </w:rPr>
          <w:fldChar w:fldCharType="separate"/>
        </w:r>
        <w:r w:rsidR="00D1040F" w:rsidRPr="002A58D3">
          <w:rPr>
            <w:webHidden/>
          </w:rPr>
          <w:t>3</w:t>
        </w:r>
        <w:r w:rsidR="00D1040F">
          <w:rPr>
            <w:webHidden/>
          </w:rPr>
          <w:fldChar w:fldCharType="end"/>
        </w:r>
      </w:hyperlink>
    </w:p>
    <w:p w14:paraId="03C25853" w14:textId="66179A32" w:rsidR="00D1040F" w:rsidRDefault="00986AD8">
      <w:pPr>
        <w:pStyle w:val="TOC2"/>
        <w:rPr>
          <w:lang w:eastAsia="ro-RO"/>
        </w:rPr>
      </w:pPr>
      <w:hyperlink w:anchor="_Toc96005853" w:history="1">
        <w:r w:rsidR="00D1040F" w:rsidRPr="00D92235">
          <w:rPr>
            <w:rStyle w:val="Hyperlink"/>
            <w:rFonts w:ascii="Times New Roman" w:hAnsi="Times New Roman" w:cs="Times New Roman"/>
          </w:rPr>
          <w:t>I.</w:t>
        </w:r>
        <w:r w:rsidR="00D1040F" w:rsidRPr="002A58D3">
          <w:rPr>
            <w:rStyle w:val="Hyperlink"/>
            <w:rFonts w:ascii="Times New Roman" w:hAnsi="Times New Roman" w:cs="Times New Roman"/>
          </w:rPr>
          <w:t>5</w:t>
        </w:r>
        <w:r w:rsidR="00D1040F">
          <w:rPr>
            <w:lang w:eastAsia="ro-RO"/>
          </w:rPr>
          <w:tab/>
        </w:r>
        <w:r w:rsidR="00D1040F" w:rsidRPr="00D92235">
          <w:rPr>
            <w:rStyle w:val="Hyperlink"/>
            <w:rFonts w:ascii="Times New Roman" w:hAnsi="Times New Roman"/>
          </w:rPr>
          <w:t>Numerotare și alte convenții</w:t>
        </w:r>
        <w:r w:rsidR="00D1040F">
          <w:rPr>
            <w:webHidden/>
          </w:rPr>
          <w:tab/>
        </w:r>
        <w:r w:rsidR="00D1040F">
          <w:rPr>
            <w:webHidden/>
          </w:rPr>
          <w:fldChar w:fldCharType="begin"/>
        </w:r>
        <w:r w:rsidR="00D1040F">
          <w:rPr>
            <w:webHidden/>
          </w:rPr>
          <w:instrText xml:space="preserve"> PAGEREF _Toc96005853 \h </w:instrText>
        </w:r>
        <w:r w:rsidR="00D1040F">
          <w:rPr>
            <w:webHidden/>
          </w:rPr>
        </w:r>
        <w:r w:rsidR="00D1040F">
          <w:rPr>
            <w:webHidden/>
          </w:rPr>
          <w:fldChar w:fldCharType="separate"/>
        </w:r>
        <w:r w:rsidR="00D1040F" w:rsidRPr="002A58D3">
          <w:rPr>
            <w:webHidden/>
          </w:rPr>
          <w:t>4</w:t>
        </w:r>
        <w:r w:rsidR="00D1040F">
          <w:rPr>
            <w:webHidden/>
          </w:rPr>
          <w:fldChar w:fldCharType="end"/>
        </w:r>
      </w:hyperlink>
    </w:p>
    <w:p w14:paraId="51C32179" w14:textId="7EC0E175" w:rsidR="00D1040F" w:rsidRDefault="00986AD8">
      <w:pPr>
        <w:pStyle w:val="TOC2"/>
        <w:rPr>
          <w:lang w:eastAsia="ro-RO"/>
        </w:rPr>
      </w:pPr>
      <w:hyperlink w:anchor="_Toc96005854" w:history="1">
        <w:r w:rsidR="00D1040F" w:rsidRPr="00D92235">
          <w:rPr>
            <w:rStyle w:val="Hyperlink"/>
            <w:rFonts w:ascii="Times New Roman" w:hAnsi="Times New Roman" w:cs="Times New Roman"/>
          </w:rPr>
          <w:t>II.</w:t>
        </w:r>
        <w:r w:rsidR="00D1040F">
          <w:rPr>
            <w:lang w:eastAsia="ro-RO"/>
          </w:rPr>
          <w:tab/>
        </w:r>
        <w:r w:rsidR="00D1040F" w:rsidRPr="00D92235">
          <w:rPr>
            <w:rStyle w:val="Hyperlink"/>
            <w:rFonts w:ascii="Times New Roman" w:hAnsi="Times New Roman"/>
          </w:rPr>
          <w:t>Instrucțiuni aferente machetelor</w:t>
        </w:r>
        <w:r w:rsidR="00D1040F">
          <w:rPr>
            <w:webHidden/>
          </w:rPr>
          <w:tab/>
        </w:r>
        <w:r w:rsidR="00D1040F">
          <w:rPr>
            <w:webHidden/>
          </w:rPr>
          <w:fldChar w:fldCharType="begin"/>
        </w:r>
        <w:r w:rsidR="00D1040F">
          <w:rPr>
            <w:webHidden/>
          </w:rPr>
          <w:instrText xml:space="preserve"> PAGEREF _Toc96005854 \h </w:instrText>
        </w:r>
        <w:r w:rsidR="00D1040F">
          <w:rPr>
            <w:webHidden/>
          </w:rPr>
        </w:r>
        <w:r w:rsidR="00D1040F">
          <w:rPr>
            <w:webHidden/>
          </w:rPr>
          <w:fldChar w:fldCharType="separate"/>
        </w:r>
        <w:r w:rsidR="00D1040F" w:rsidRPr="002A58D3">
          <w:rPr>
            <w:webHidden/>
          </w:rPr>
          <w:t>4</w:t>
        </w:r>
        <w:r w:rsidR="00D1040F">
          <w:rPr>
            <w:webHidden/>
          </w:rPr>
          <w:fldChar w:fldCharType="end"/>
        </w:r>
      </w:hyperlink>
    </w:p>
    <w:p w14:paraId="45E7F713" w14:textId="4934CF96" w:rsidR="00D1040F" w:rsidRDefault="00986AD8">
      <w:pPr>
        <w:pStyle w:val="TOC2"/>
        <w:rPr>
          <w:lang w:eastAsia="ro-RO"/>
        </w:rPr>
      </w:pPr>
      <w:hyperlink w:anchor="_Toc96005855"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1</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01</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Structura organizatorică (ORG)</w:t>
        </w:r>
        <w:r w:rsidR="00D1040F">
          <w:rPr>
            <w:webHidden/>
          </w:rPr>
          <w:tab/>
        </w:r>
        <w:r w:rsidR="00D1040F">
          <w:rPr>
            <w:webHidden/>
          </w:rPr>
          <w:fldChar w:fldCharType="begin"/>
        </w:r>
        <w:r w:rsidR="00D1040F">
          <w:rPr>
            <w:webHidden/>
          </w:rPr>
          <w:instrText xml:space="preserve"> PAGEREF _Toc96005855 \h </w:instrText>
        </w:r>
        <w:r w:rsidR="00D1040F">
          <w:rPr>
            <w:webHidden/>
          </w:rPr>
        </w:r>
        <w:r w:rsidR="00D1040F">
          <w:rPr>
            <w:webHidden/>
          </w:rPr>
          <w:fldChar w:fldCharType="separate"/>
        </w:r>
        <w:r w:rsidR="00D1040F" w:rsidRPr="002A58D3">
          <w:rPr>
            <w:webHidden/>
          </w:rPr>
          <w:t>4</w:t>
        </w:r>
        <w:r w:rsidR="00D1040F">
          <w:rPr>
            <w:webHidden/>
          </w:rPr>
          <w:fldChar w:fldCharType="end"/>
        </w:r>
      </w:hyperlink>
    </w:p>
    <w:p w14:paraId="6EFE5EC1" w14:textId="76253BA7" w:rsidR="00D1040F" w:rsidRDefault="00986AD8">
      <w:pPr>
        <w:pStyle w:val="TOC2"/>
        <w:rPr>
          <w:lang w:eastAsia="ro-RO"/>
        </w:rPr>
      </w:pPr>
      <w:hyperlink w:anchor="_Toc96005856"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2</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02</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Structura datoriilor (LIAB)</w:t>
        </w:r>
        <w:r w:rsidR="00D1040F">
          <w:rPr>
            <w:webHidden/>
          </w:rPr>
          <w:tab/>
        </w:r>
        <w:r w:rsidR="00D1040F">
          <w:rPr>
            <w:webHidden/>
          </w:rPr>
          <w:fldChar w:fldCharType="begin"/>
        </w:r>
        <w:r w:rsidR="00D1040F">
          <w:rPr>
            <w:webHidden/>
          </w:rPr>
          <w:instrText xml:space="preserve"> PAGEREF _Toc96005856 \h </w:instrText>
        </w:r>
        <w:r w:rsidR="00D1040F">
          <w:rPr>
            <w:webHidden/>
          </w:rPr>
        </w:r>
        <w:r w:rsidR="00D1040F">
          <w:rPr>
            <w:webHidden/>
          </w:rPr>
          <w:fldChar w:fldCharType="separate"/>
        </w:r>
        <w:r w:rsidR="00D1040F" w:rsidRPr="002A58D3">
          <w:rPr>
            <w:webHidden/>
          </w:rPr>
          <w:t>7</w:t>
        </w:r>
        <w:r w:rsidR="00D1040F">
          <w:rPr>
            <w:webHidden/>
          </w:rPr>
          <w:fldChar w:fldCharType="end"/>
        </w:r>
      </w:hyperlink>
    </w:p>
    <w:p w14:paraId="2F85FD90" w14:textId="24871BC0" w:rsidR="00D1040F" w:rsidRDefault="00986AD8">
      <w:pPr>
        <w:pStyle w:val="TOC2"/>
        <w:rPr>
          <w:lang w:eastAsia="ro-RO"/>
        </w:rPr>
      </w:pPr>
      <w:hyperlink w:anchor="_Toc96005857"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3</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03</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Cerințe de fonduri proprii (OWN)</w:t>
        </w:r>
        <w:r w:rsidR="00D1040F">
          <w:rPr>
            <w:webHidden/>
          </w:rPr>
          <w:tab/>
        </w:r>
        <w:r w:rsidR="00D1040F">
          <w:rPr>
            <w:webHidden/>
          </w:rPr>
          <w:fldChar w:fldCharType="begin"/>
        </w:r>
        <w:r w:rsidR="00D1040F">
          <w:rPr>
            <w:webHidden/>
          </w:rPr>
          <w:instrText xml:space="preserve"> PAGEREF _Toc96005857 \h </w:instrText>
        </w:r>
        <w:r w:rsidR="00D1040F">
          <w:rPr>
            <w:webHidden/>
          </w:rPr>
        </w:r>
        <w:r w:rsidR="00D1040F">
          <w:rPr>
            <w:webHidden/>
          </w:rPr>
          <w:fldChar w:fldCharType="separate"/>
        </w:r>
        <w:r w:rsidR="00D1040F" w:rsidRPr="002A58D3">
          <w:rPr>
            <w:webHidden/>
          </w:rPr>
          <w:t>15</w:t>
        </w:r>
        <w:r w:rsidR="00D1040F">
          <w:rPr>
            <w:webHidden/>
          </w:rPr>
          <w:fldChar w:fldCharType="end"/>
        </w:r>
      </w:hyperlink>
    </w:p>
    <w:p w14:paraId="425D4312" w14:textId="36096955" w:rsidR="00D1040F" w:rsidRDefault="00986AD8">
      <w:pPr>
        <w:pStyle w:val="TOC2"/>
        <w:rPr>
          <w:lang w:eastAsia="ro-RO"/>
        </w:rPr>
      </w:pPr>
      <w:hyperlink w:anchor="_Toc96005858"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4</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04</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Interconexiuni financiare în interiorul unui grup (IFC)</w:t>
        </w:r>
        <w:r w:rsidR="00D1040F">
          <w:rPr>
            <w:webHidden/>
          </w:rPr>
          <w:tab/>
        </w:r>
        <w:r w:rsidR="00D1040F">
          <w:rPr>
            <w:webHidden/>
          </w:rPr>
          <w:fldChar w:fldCharType="begin"/>
        </w:r>
        <w:r w:rsidR="00D1040F">
          <w:rPr>
            <w:webHidden/>
          </w:rPr>
          <w:instrText xml:space="preserve"> PAGEREF _Toc96005858 \h </w:instrText>
        </w:r>
        <w:r w:rsidR="00D1040F">
          <w:rPr>
            <w:webHidden/>
          </w:rPr>
        </w:r>
        <w:r w:rsidR="00D1040F">
          <w:rPr>
            <w:webHidden/>
          </w:rPr>
          <w:fldChar w:fldCharType="separate"/>
        </w:r>
        <w:r w:rsidR="00D1040F" w:rsidRPr="002A58D3">
          <w:rPr>
            <w:webHidden/>
          </w:rPr>
          <w:t>19</w:t>
        </w:r>
        <w:r w:rsidR="00D1040F">
          <w:rPr>
            <w:webHidden/>
          </w:rPr>
          <w:fldChar w:fldCharType="end"/>
        </w:r>
      </w:hyperlink>
    </w:p>
    <w:p w14:paraId="0EE2E781" w14:textId="39B3685B" w:rsidR="00D1040F" w:rsidRDefault="00986AD8">
      <w:pPr>
        <w:pStyle w:val="TOC2"/>
        <w:rPr>
          <w:lang w:eastAsia="ro-RO"/>
        </w:rPr>
      </w:pPr>
      <w:hyperlink w:anchor="_Toc96005859"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5</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05</w:t>
        </w:r>
        <w:r w:rsidR="00D1040F" w:rsidRPr="00D92235">
          <w:rPr>
            <w:rStyle w:val="Hyperlink"/>
            <w:rFonts w:ascii="Times New Roman" w:hAnsi="Times New Roman"/>
          </w:rPr>
          <w:t>.</w:t>
        </w:r>
        <w:r w:rsidR="00D1040F" w:rsidRPr="002A58D3">
          <w:rPr>
            <w:rStyle w:val="Hyperlink"/>
            <w:rFonts w:ascii="Times New Roman" w:hAnsi="Times New Roman"/>
          </w:rPr>
          <w:t>01</w:t>
        </w:r>
        <w:r w:rsidR="00D1040F" w:rsidRPr="00D92235">
          <w:rPr>
            <w:rStyle w:val="Hyperlink"/>
            <w:rFonts w:ascii="Times New Roman" w:hAnsi="Times New Roman"/>
          </w:rPr>
          <w:t xml:space="preserve"> și Z </w:t>
        </w:r>
        <w:r w:rsidR="00D1040F" w:rsidRPr="002A58D3">
          <w:rPr>
            <w:rStyle w:val="Hyperlink"/>
            <w:rFonts w:ascii="Times New Roman" w:hAnsi="Times New Roman"/>
          </w:rPr>
          <w:t>05</w:t>
        </w:r>
        <w:r w:rsidR="00D1040F" w:rsidRPr="00D92235">
          <w:rPr>
            <w:rStyle w:val="Hyperlink"/>
            <w:rFonts w:ascii="Times New Roman" w:hAnsi="Times New Roman"/>
          </w:rPr>
          <w:t>.</w:t>
        </w:r>
        <w:r w:rsidR="00D1040F" w:rsidRPr="002A58D3">
          <w:rPr>
            <w:rStyle w:val="Hyperlink"/>
            <w:rFonts w:ascii="Times New Roman" w:hAnsi="Times New Roman"/>
          </w:rPr>
          <w:t>02</w:t>
        </w:r>
        <w:r w:rsidR="00D1040F" w:rsidRPr="00D92235">
          <w:rPr>
            <w:rStyle w:val="Hyperlink"/>
            <w:rFonts w:ascii="Times New Roman" w:hAnsi="Times New Roman"/>
          </w:rPr>
          <w:t xml:space="preserve"> – Contrapărțile principale (MCP)</w:t>
        </w:r>
        <w:r w:rsidR="00D1040F">
          <w:rPr>
            <w:webHidden/>
          </w:rPr>
          <w:tab/>
        </w:r>
        <w:r w:rsidR="00D1040F">
          <w:rPr>
            <w:webHidden/>
          </w:rPr>
          <w:fldChar w:fldCharType="begin"/>
        </w:r>
        <w:r w:rsidR="00D1040F">
          <w:rPr>
            <w:webHidden/>
          </w:rPr>
          <w:instrText xml:space="preserve"> PAGEREF _Toc96005859 \h </w:instrText>
        </w:r>
        <w:r w:rsidR="00D1040F">
          <w:rPr>
            <w:webHidden/>
          </w:rPr>
        </w:r>
        <w:r w:rsidR="00D1040F">
          <w:rPr>
            <w:webHidden/>
          </w:rPr>
          <w:fldChar w:fldCharType="separate"/>
        </w:r>
        <w:r w:rsidR="00D1040F" w:rsidRPr="002A58D3">
          <w:rPr>
            <w:webHidden/>
          </w:rPr>
          <w:t>21</w:t>
        </w:r>
        <w:r w:rsidR="00D1040F">
          <w:rPr>
            <w:webHidden/>
          </w:rPr>
          <w:fldChar w:fldCharType="end"/>
        </w:r>
      </w:hyperlink>
    </w:p>
    <w:p w14:paraId="31D7EACC" w14:textId="51B7FF8D" w:rsidR="00D1040F" w:rsidRDefault="00986AD8">
      <w:pPr>
        <w:pStyle w:val="TOC2"/>
        <w:rPr>
          <w:lang w:eastAsia="ro-RO"/>
        </w:rPr>
      </w:pPr>
      <w:hyperlink w:anchor="_Toc96005860"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6</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06</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Asigurarea depozitelor (DIS)</w:t>
        </w:r>
        <w:r w:rsidR="00D1040F">
          <w:rPr>
            <w:webHidden/>
          </w:rPr>
          <w:tab/>
        </w:r>
        <w:r w:rsidR="00D1040F">
          <w:rPr>
            <w:webHidden/>
          </w:rPr>
          <w:fldChar w:fldCharType="begin"/>
        </w:r>
        <w:r w:rsidR="00D1040F">
          <w:rPr>
            <w:webHidden/>
          </w:rPr>
          <w:instrText xml:space="preserve"> PAGEREF _Toc96005860 \h </w:instrText>
        </w:r>
        <w:r w:rsidR="00D1040F">
          <w:rPr>
            <w:webHidden/>
          </w:rPr>
        </w:r>
        <w:r w:rsidR="00D1040F">
          <w:rPr>
            <w:webHidden/>
          </w:rPr>
          <w:fldChar w:fldCharType="separate"/>
        </w:r>
        <w:r w:rsidR="00D1040F" w:rsidRPr="002A58D3">
          <w:rPr>
            <w:webHidden/>
          </w:rPr>
          <w:t>23</w:t>
        </w:r>
        <w:r w:rsidR="00D1040F">
          <w:rPr>
            <w:webHidden/>
          </w:rPr>
          <w:fldChar w:fldCharType="end"/>
        </w:r>
      </w:hyperlink>
    </w:p>
    <w:p w14:paraId="43577105" w14:textId="46694F60" w:rsidR="00D1040F" w:rsidRDefault="00986AD8">
      <w:pPr>
        <w:pStyle w:val="TOC2"/>
        <w:rPr>
          <w:lang w:eastAsia="ro-RO"/>
        </w:rPr>
      </w:pPr>
      <w:hyperlink w:anchor="_Toc96005861"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7</w:t>
        </w:r>
        <w:r w:rsidR="00D1040F">
          <w:rPr>
            <w:lang w:eastAsia="ro-RO"/>
          </w:rPr>
          <w:tab/>
        </w:r>
        <w:r w:rsidR="00D1040F" w:rsidRPr="00D92235">
          <w:rPr>
            <w:rStyle w:val="Hyperlink"/>
            <w:rFonts w:ascii="Times New Roman" w:hAnsi="Times New Roman"/>
          </w:rPr>
          <w:t>Funcțiile critice și liniile de activitate esențiale</w:t>
        </w:r>
        <w:r w:rsidR="00D1040F">
          <w:rPr>
            <w:webHidden/>
          </w:rPr>
          <w:tab/>
        </w:r>
        <w:r w:rsidR="00D1040F">
          <w:rPr>
            <w:webHidden/>
          </w:rPr>
          <w:fldChar w:fldCharType="begin"/>
        </w:r>
        <w:r w:rsidR="00D1040F">
          <w:rPr>
            <w:webHidden/>
          </w:rPr>
          <w:instrText xml:space="preserve"> PAGEREF _Toc96005861 \h </w:instrText>
        </w:r>
        <w:r w:rsidR="00D1040F">
          <w:rPr>
            <w:webHidden/>
          </w:rPr>
        </w:r>
        <w:r w:rsidR="00D1040F">
          <w:rPr>
            <w:webHidden/>
          </w:rPr>
          <w:fldChar w:fldCharType="separate"/>
        </w:r>
        <w:r w:rsidR="00D1040F" w:rsidRPr="002A58D3">
          <w:rPr>
            <w:webHidden/>
          </w:rPr>
          <w:t>26</w:t>
        </w:r>
        <w:r w:rsidR="00D1040F">
          <w:rPr>
            <w:webHidden/>
          </w:rPr>
          <w:fldChar w:fldCharType="end"/>
        </w:r>
      </w:hyperlink>
    </w:p>
    <w:p w14:paraId="0C97AFA6" w14:textId="1963A3E3" w:rsidR="00D1040F" w:rsidRDefault="00986AD8">
      <w:pPr>
        <w:pStyle w:val="TOC2"/>
        <w:rPr>
          <w:lang w:eastAsia="ro-RO"/>
        </w:rPr>
      </w:pPr>
      <w:hyperlink w:anchor="_Toc96005862"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8</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08</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Servicii critice (SERV)</w:t>
        </w:r>
        <w:r w:rsidR="00D1040F">
          <w:rPr>
            <w:webHidden/>
          </w:rPr>
          <w:tab/>
        </w:r>
        <w:r w:rsidR="00D1040F">
          <w:rPr>
            <w:webHidden/>
          </w:rPr>
          <w:fldChar w:fldCharType="begin"/>
        </w:r>
        <w:r w:rsidR="00D1040F">
          <w:rPr>
            <w:webHidden/>
          </w:rPr>
          <w:instrText xml:space="preserve"> PAGEREF _Toc96005862 \h </w:instrText>
        </w:r>
        <w:r w:rsidR="00D1040F">
          <w:rPr>
            <w:webHidden/>
          </w:rPr>
        </w:r>
        <w:r w:rsidR="00D1040F">
          <w:rPr>
            <w:webHidden/>
          </w:rPr>
          <w:fldChar w:fldCharType="separate"/>
        </w:r>
        <w:r w:rsidR="00D1040F" w:rsidRPr="002A58D3">
          <w:rPr>
            <w:webHidden/>
          </w:rPr>
          <w:t>36</w:t>
        </w:r>
        <w:r w:rsidR="00D1040F">
          <w:rPr>
            <w:webHidden/>
          </w:rPr>
          <w:fldChar w:fldCharType="end"/>
        </w:r>
      </w:hyperlink>
    </w:p>
    <w:p w14:paraId="323A3D2F" w14:textId="6A5660EC" w:rsidR="00D1040F" w:rsidRDefault="00986AD8">
      <w:pPr>
        <w:pStyle w:val="TOC2"/>
        <w:rPr>
          <w:lang w:eastAsia="ro-RO"/>
        </w:rPr>
      </w:pPr>
      <w:hyperlink w:anchor="_Toc96005863"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9</w:t>
        </w:r>
        <w:r w:rsidR="00D1040F">
          <w:rPr>
            <w:lang w:eastAsia="ro-RO"/>
          </w:rPr>
          <w:tab/>
        </w:r>
        <w:r w:rsidR="00D1040F" w:rsidRPr="00D92235">
          <w:rPr>
            <w:rStyle w:val="Hyperlink"/>
            <w:rFonts w:ascii="Times New Roman" w:hAnsi="Times New Roman"/>
          </w:rPr>
          <w:t>Z </w:t>
        </w:r>
        <w:r w:rsidR="00D1040F" w:rsidRPr="002A58D3">
          <w:rPr>
            <w:rStyle w:val="Hyperlink"/>
            <w:rFonts w:ascii="Times New Roman" w:hAnsi="Times New Roman"/>
          </w:rPr>
          <w:t>09</w:t>
        </w:r>
        <w:r w:rsidR="00D1040F" w:rsidRPr="00D92235">
          <w:rPr>
            <w:rStyle w:val="Hyperlink"/>
            <w:rFonts w:ascii="Times New Roman" w:hAnsi="Times New Roman"/>
          </w:rPr>
          <w:t>.</w:t>
        </w:r>
        <w:r w:rsidR="00D1040F" w:rsidRPr="002A58D3">
          <w:rPr>
            <w:rStyle w:val="Hyperlink"/>
            <w:rFonts w:ascii="Times New Roman" w:hAnsi="Times New Roman"/>
          </w:rPr>
          <w:t>00</w:t>
        </w:r>
        <w:r w:rsidR="00D1040F" w:rsidRPr="00D92235">
          <w:rPr>
            <w:rStyle w:val="Hyperlink"/>
            <w:rFonts w:ascii="Times New Roman" w:hAnsi="Times New Roman"/>
          </w:rPr>
          <w:t xml:space="preserve"> – Servicii IPF – Furnizori și utilizatori – Punerea în corespondență cu funcțiile critice</w:t>
        </w:r>
        <w:r w:rsidR="00D1040F">
          <w:rPr>
            <w:webHidden/>
          </w:rPr>
          <w:tab/>
        </w:r>
        <w:r w:rsidR="00D1040F">
          <w:rPr>
            <w:webHidden/>
          </w:rPr>
          <w:fldChar w:fldCharType="begin"/>
        </w:r>
        <w:r w:rsidR="00D1040F">
          <w:rPr>
            <w:webHidden/>
          </w:rPr>
          <w:instrText xml:space="preserve"> PAGEREF _Toc96005863 \h </w:instrText>
        </w:r>
        <w:r w:rsidR="00D1040F">
          <w:rPr>
            <w:webHidden/>
          </w:rPr>
        </w:r>
        <w:r w:rsidR="00D1040F">
          <w:rPr>
            <w:webHidden/>
          </w:rPr>
          <w:fldChar w:fldCharType="separate"/>
        </w:r>
        <w:r w:rsidR="00D1040F" w:rsidRPr="002A58D3">
          <w:rPr>
            <w:webHidden/>
          </w:rPr>
          <w:t>39</w:t>
        </w:r>
        <w:r w:rsidR="00D1040F">
          <w:rPr>
            <w:webHidden/>
          </w:rPr>
          <w:fldChar w:fldCharType="end"/>
        </w:r>
      </w:hyperlink>
    </w:p>
    <w:p w14:paraId="7F4A11A8" w14:textId="4F656230" w:rsidR="00D1040F" w:rsidRDefault="00986AD8">
      <w:pPr>
        <w:pStyle w:val="TOC2"/>
        <w:rPr>
          <w:lang w:eastAsia="ro-RO"/>
        </w:rPr>
      </w:pPr>
      <w:hyperlink w:anchor="_Toc96005864" w:history="1">
        <w:r w:rsidR="00D1040F" w:rsidRPr="00D92235">
          <w:rPr>
            <w:rStyle w:val="Hyperlink"/>
            <w:rFonts w:ascii="Times New Roman" w:hAnsi="Times New Roman" w:cs="Times New Roman"/>
          </w:rPr>
          <w:t>II.</w:t>
        </w:r>
        <w:r w:rsidR="00D1040F" w:rsidRPr="002A58D3">
          <w:rPr>
            <w:rStyle w:val="Hyperlink"/>
            <w:rFonts w:ascii="Times New Roman" w:hAnsi="Times New Roman" w:cs="Times New Roman"/>
          </w:rPr>
          <w:t>10</w:t>
        </w:r>
        <w:r w:rsidR="00D1040F">
          <w:rPr>
            <w:lang w:eastAsia="ro-RO"/>
          </w:rPr>
          <w:tab/>
        </w:r>
        <w:r w:rsidR="00D1040F" w:rsidRPr="00D92235">
          <w:rPr>
            <w:rStyle w:val="Hyperlink"/>
            <w:rFonts w:ascii="Times New Roman" w:hAnsi="Times New Roman"/>
          </w:rPr>
          <w:t>Sistemele informatice critice</w:t>
        </w:r>
        <w:r w:rsidR="00D1040F">
          <w:rPr>
            <w:webHidden/>
          </w:rPr>
          <w:tab/>
        </w:r>
        <w:r w:rsidR="00D1040F">
          <w:rPr>
            <w:webHidden/>
          </w:rPr>
          <w:fldChar w:fldCharType="begin"/>
        </w:r>
        <w:r w:rsidR="00D1040F">
          <w:rPr>
            <w:webHidden/>
          </w:rPr>
          <w:instrText xml:space="preserve"> PAGEREF _Toc96005864 \h </w:instrText>
        </w:r>
        <w:r w:rsidR="00D1040F">
          <w:rPr>
            <w:webHidden/>
          </w:rPr>
        </w:r>
        <w:r w:rsidR="00D1040F">
          <w:rPr>
            <w:webHidden/>
          </w:rPr>
          <w:fldChar w:fldCharType="separate"/>
        </w:r>
        <w:r w:rsidR="00D1040F" w:rsidRPr="002A58D3">
          <w:rPr>
            <w:webHidden/>
          </w:rPr>
          <w:t>42</w:t>
        </w:r>
        <w:r w:rsidR="00D1040F">
          <w:rPr>
            <w:webHidden/>
          </w:rPr>
          <w:fldChar w:fldCharType="end"/>
        </w:r>
      </w:hyperlink>
    </w:p>
    <w:p w14:paraId="04631A3A" w14:textId="7E7F7B6F"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005848"/>
      <w:r>
        <w:rPr>
          <w:rFonts w:ascii="Times New Roman" w:hAnsi="Times New Roman"/>
          <w:szCs w:val="20"/>
        </w:rPr>
        <w:lastRenderedPageBreak/>
        <w:t>Instrucțiuni generale</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005849"/>
      <w:r>
        <w:rPr>
          <w:rFonts w:ascii="Times New Roman" w:hAnsi="Times New Roman"/>
          <w:szCs w:val="20"/>
        </w:rPr>
        <w:t>Structură</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Cadrul este compus din </w:t>
      </w:r>
      <w:r w:rsidRPr="002A58D3">
        <w:rPr>
          <w:rFonts w:ascii="Times New Roman" w:hAnsi="Times New Roman"/>
          <w:sz w:val="20"/>
          <w:szCs w:val="20"/>
        </w:rPr>
        <w:t>15</w:t>
      </w:r>
      <w:r>
        <w:rPr>
          <w:rFonts w:ascii="Times New Roman" w:hAnsi="Times New Roman"/>
          <w:sz w:val="20"/>
          <w:szCs w:val="20"/>
        </w:rPr>
        <w:t xml:space="preserve"> machete, organizate în </w:t>
      </w:r>
      <w:r w:rsidRPr="002A58D3">
        <w:rPr>
          <w:rFonts w:ascii="Times New Roman" w:hAnsi="Times New Roman"/>
          <w:sz w:val="20"/>
          <w:szCs w:val="20"/>
        </w:rPr>
        <w:t>3</w:t>
      </w:r>
      <w:r>
        <w:rPr>
          <w:rFonts w:ascii="Times New Roman" w:hAnsi="Times New Roman"/>
          <w:sz w:val="20"/>
          <w:szCs w:val="20"/>
        </w:rPr>
        <w:t> părți:</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«Informații generale», care oferă o imagine de ansamblu asupra structurii organizatorice a unui grup și a entităților sale, asupra distribuției activelor și asupra cuantumurilor expunerii la risc. Această parte cuprinde macheta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«Informații despre elementele bilanțiere și elementele extrabilanțiere», care furnizează informații financiare privind datoriile, fondurile proprii, conexiunile financiare dintre entitățile unui grup, datoriile față de contrapărțile principale și elementele extrabilanțiere primite de la contrapărțile principale, precum și asigurarea depozitelor. Această parte este compusă din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machete:</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datoriilor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Cerințe de fonduri proprii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Interconexiuni financiare în interiorul unui grup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două machete privind contrapărțile principale: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 Contrapărțile principale în cazul datoriilor (Z-MCP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și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 xml:space="preserve"> – Contrapărțile principale în cazul elementelor extrabilanțiere (Z-MCP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2A58D3">
        <w:rPr>
          <w:rFonts w:ascii="Times New Roman" w:hAnsi="Times New Roman"/>
          <w:color w:val="000000" w:themeColor="text1"/>
          <w:sz w:val="20"/>
          <w:szCs w:val="20"/>
        </w:rPr>
        <w:t>06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Asigurarea depozitelor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«Funcții critice», care oferă o imagine de ansamblu asupra funcțiilor critice și le pune în corespondență cu entitățile juridice, liniile de activitate esențiale, serviciile critice, infrastructurile pieței financiare și sistemele informatice. Această parte este compusă din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machete:</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machete privind identificarea funcțiilor critice și punerea în corespondență a acestora cu liniile de activitate esențiale și cu entitățile unui grup: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 Evaluarea caracterului critic al funcțiilor economice (Z-FUNC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 xml:space="preserve"> – Punerea în corespondență a funcțiilor critice per entitate juridică (Z-FUNC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 xml:space="preserve"> – Punerea în corespondență a liniilor de activitate esențiale cu entitățile juridice (Z-FUNC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și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 xml:space="preserve"> – Punerea în corespondență a funcțiilor critice cu liniile de activitate esențiale (Z-FUNC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2A58D3">
        <w:rPr>
          <w:rFonts w:ascii="Times New Roman" w:hAnsi="Times New Roman"/>
          <w:color w:val="000000" w:themeColor="text1"/>
          <w:sz w:val="20"/>
          <w:szCs w:val="20"/>
        </w:rPr>
        <w:t>08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Servicii critice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w:t>
      </w:r>
      <w:r w:rsidRPr="002A58D3">
        <w:rPr>
          <w:rFonts w:ascii="Times New Roman" w:hAnsi="Times New Roman"/>
          <w:color w:val="000000" w:themeColor="text1"/>
          <w:sz w:val="20"/>
          <w:szCs w:val="20"/>
        </w:rPr>
        <w:t>09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Servicii IPF – Furnizori și utilizatori – Punerea în corespondență cu funcțiile critice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 machete privind sistemele informatice critice: «Z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 Sistemele informatice critice (informații generale) (Z-CIS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și «Z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 xml:space="preserve"> – Punerea în corespondență a sistemelor informatice (Z-CIS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005850"/>
      <w:r>
        <w:rPr>
          <w:rFonts w:ascii="Times New Roman" w:hAnsi="Times New Roman"/>
          <w:szCs w:val="20"/>
        </w:rPr>
        <w:t>Referințe</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În sensul prezentei anexe se aplică următoarele abrevieri:</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înseamnă Comitetul de la Basel pentru supraveghere bancară al Băncii Reglementelor Internaționale;</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înseamnă Comitetul pentru plăți și infrastructuri de piață al Băncii Reglementelor Internaționale;</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«FINREP» înseamnă formularele privind informațiile financiare incluse în anexele III și IV la Regulamentul de punere în aplicare (UE) </w:t>
      </w:r>
      <w:r w:rsidRPr="002A58D3">
        <w:rPr>
          <w:rFonts w:ascii="Times New Roman" w:hAnsi="Times New Roman"/>
          <w:color w:val="000000" w:themeColor="text1"/>
          <w:sz w:val="20"/>
          <w:szCs w:val="20"/>
        </w:rPr>
        <w:t>2021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451</w:t>
      </w:r>
      <w:r>
        <w:rPr>
          <w:rFonts w:ascii="Times New Roman" w:hAnsi="Times New Roman"/>
          <w:color w:val="000000" w:themeColor="text1"/>
          <w:sz w:val="20"/>
          <w:szCs w:val="20"/>
        </w:rPr>
        <w:t xml:space="preserve"> al Comisiei</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și instrucțiunile complementare incluse în anexa V la regulamentul de punere în aplicare respectiv;</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înseamnă anexele I (formulare) și II (instrucțiuni) la Regulamentul de punere în aplicare (UE) </w:t>
      </w:r>
      <w:r w:rsidRPr="002A58D3">
        <w:rPr>
          <w:rFonts w:ascii="Times New Roman" w:hAnsi="Times New Roman"/>
          <w:color w:val="000000" w:themeColor="text1"/>
          <w:sz w:val="20"/>
          <w:szCs w:val="20"/>
        </w:rPr>
        <w:t>2021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451</w:t>
      </w:r>
      <w:r>
        <w:rPr>
          <w:rFonts w:ascii="Times New Roman" w:hAnsi="Times New Roman"/>
          <w:color w:val="000000" w:themeColor="text1"/>
          <w:sz w:val="20"/>
          <w:szCs w:val="20"/>
        </w:rPr>
        <w:t xml:space="preserve"> al Comisiei;</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înseamnă anexele X (formulare) și XI (instrucțiuni) la Regulamentul de punere în aplicare (UE) </w:t>
      </w:r>
      <w:r w:rsidRPr="002A58D3">
        <w:rPr>
          <w:rFonts w:ascii="Times New Roman" w:hAnsi="Times New Roman"/>
          <w:color w:val="000000" w:themeColor="text1"/>
          <w:sz w:val="20"/>
          <w:szCs w:val="20"/>
        </w:rPr>
        <w:t>2021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451</w:t>
      </w:r>
      <w:r>
        <w:rPr>
          <w:rFonts w:ascii="Times New Roman" w:hAnsi="Times New Roman"/>
          <w:color w:val="000000" w:themeColor="text1"/>
          <w:sz w:val="20"/>
          <w:szCs w:val="20"/>
        </w:rPr>
        <w:t xml:space="preserve"> al Comisiei;</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«CSF» înseamnă Consiliul pentru Stabilitate Financiară;</w:t>
      </w:r>
    </w:p>
    <w:p w14:paraId="7082B005" w14:textId="567BF072"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înseamnă standardele internaționale de contabilitate, astfel cum sunt menționate la articolul</w:t>
      </w:r>
      <w:r w:rsidR="00107862">
        <w:rPr>
          <w:rFonts w:ascii="Times New Roman" w:hAnsi="Times New Roman"/>
          <w:color w:val="000000" w:themeColor="text1"/>
          <w:sz w:val="20"/>
          <w:szCs w:val="20"/>
        </w:rPr>
        <w:t>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Regulamentul (CE) nr. </w:t>
      </w:r>
      <w:r w:rsidRPr="002A58D3">
        <w:rPr>
          <w:rFonts w:ascii="Times New Roman" w:hAnsi="Times New Roman"/>
          <w:color w:val="000000" w:themeColor="text1"/>
          <w:sz w:val="20"/>
          <w:szCs w:val="20"/>
        </w:rPr>
        <w:t>1606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2002</w:t>
      </w:r>
      <w:r>
        <w:rPr>
          <w:rFonts w:ascii="Times New Roman" w:hAnsi="Times New Roman"/>
          <w:color w:val="000000" w:themeColor="text1"/>
          <w:sz w:val="20"/>
          <w:szCs w:val="20"/>
        </w:rPr>
        <w:t xml:space="preserve"> al Parlamentului European și al Consiliului</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înseamnă standardele internaționale de raportare financiară, astfel cum sunt menționate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Regulamentul (CE) nr. </w:t>
      </w:r>
      <w:r w:rsidRPr="002A58D3">
        <w:rPr>
          <w:rFonts w:ascii="Times New Roman" w:hAnsi="Times New Roman"/>
          <w:color w:val="000000" w:themeColor="text1"/>
          <w:sz w:val="20"/>
          <w:szCs w:val="20"/>
        </w:rPr>
        <w:t>1606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2002</w:t>
      </w:r>
      <w:r>
        <w:rPr>
          <w:rFonts w:ascii="Times New Roman" w:hAnsi="Times New Roman"/>
          <w:color w:val="000000" w:themeColor="text1"/>
          <w:sz w:val="20"/>
          <w:szCs w:val="20"/>
        </w:rPr>
        <w:t>;</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«Codul LEI» înseamnă codul de identificare a entității juridice</w:t>
      </w:r>
      <w:r>
        <w:rPr>
          <w:rStyle w:val="FootnoteReference"/>
          <w:color w:val="000000" w:themeColor="text1"/>
          <w:lang w:eastAsia="en-GB"/>
        </w:rPr>
        <w:footnoteReference w:id="3"/>
      </w:r>
      <w:r>
        <w:rPr>
          <w:rFonts w:ascii="Times New Roman" w:hAnsi="Times New Roman"/>
          <w:color w:val="000000" w:themeColor="text1"/>
          <w:sz w:val="20"/>
          <w:szCs w:val="20"/>
        </w:rPr>
        <w:t>. Dacă pentru o anumită contraparte există un identificator al entității juridice (cod LEI), acesta este utilizat pentru identificarea contrapărții respective;</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«nGAAP» sau «principiile contabile general acceptate la nivel național» înseamnă cadrele contabile naționale elaborate în temeiul Directivei </w:t>
      </w:r>
      <w:r w:rsidRPr="002A58D3">
        <w:rPr>
          <w:rFonts w:ascii="Times New Roman" w:hAnsi="Times New Roman"/>
          <w:color w:val="000000" w:themeColor="text1"/>
          <w:sz w:val="20"/>
          <w:szCs w:val="20"/>
        </w:rPr>
        <w:t>86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635</w:t>
      </w:r>
      <w:r>
        <w:rPr>
          <w:rFonts w:ascii="Times New Roman" w:hAnsi="Times New Roman"/>
          <w:color w:val="000000" w:themeColor="text1"/>
          <w:sz w:val="20"/>
          <w:szCs w:val="20"/>
        </w:rPr>
        <w:t>/CEE a Consiliului</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005851"/>
      <w:r>
        <w:rPr>
          <w:rFonts w:ascii="Times New Roman" w:hAnsi="Times New Roman"/>
          <w:szCs w:val="20"/>
        </w:rPr>
        <w:t>Standarde de contabilitate</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Cu excepția cazului în care se prevede altfel în prezenta anexă, instituțiile raportează toate sumele pe baza cadrului contabil pe care îl utilizează pentru raportarea informațiilor financiare în conformitate cu articolele </w:t>
      </w:r>
      <w:r w:rsidRPr="002A58D3">
        <w:rPr>
          <w:rFonts w:ascii="Times New Roman" w:hAnsi="Times New Roman"/>
          <w:sz w:val="20"/>
          <w:szCs w:val="20"/>
        </w:rPr>
        <w:t>9</w:t>
      </w:r>
      <w:r>
        <w:rPr>
          <w:rFonts w:ascii="Times New Roman" w:hAnsi="Times New Roman"/>
          <w:sz w:val="20"/>
          <w:szCs w:val="20"/>
        </w:rPr>
        <w:t>-</w:t>
      </w:r>
      <w:r w:rsidRPr="002A58D3">
        <w:rPr>
          <w:rFonts w:ascii="Times New Roman" w:hAnsi="Times New Roman"/>
          <w:sz w:val="20"/>
          <w:szCs w:val="20"/>
        </w:rPr>
        <w:t>11</w:t>
      </w:r>
      <w:r>
        <w:rPr>
          <w:rFonts w:ascii="Times New Roman" w:hAnsi="Times New Roman"/>
          <w:sz w:val="20"/>
          <w:szCs w:val="20"/>
        </w:rPr>
        <w:t xml:space="preserve"> din Regulamentul de punere în aplicare (UE) </w:t>
      </w:r>
      <w:r w:rsidRPr="002A58D3">
        <w:rPr>
          <w:rFonts w:ascii="Times New Roman" w:hAnsi="Times New Roman"/>
          <w:sz w:val="20"/>
          <w:szCs w:val="20"/>
        </w:rPr>
        <w:t>2021</w:t>
      </w:r>
      <w:r>
        <w:rPr>
          <w:rFonts w:ascii="Times New Roman" w:hAnsi="Times New Roman"/>
          <w:sz w:val="20"/>
          <w:szCs w:val="20"/>
        </w:rPr>
        <w:t>/</w:t>
      </w:r>
      <w:r w:rsidRPr="002A58D3">
        <w:rPr>
          <w:rFonts w:ascii="Times New Roman" w:hAnsi="Times New Roman"/>
          <w:sz w:val="20"/>
          <w:szCs w:val="20"/>
        </w:rPr>
        <w:t>451</w:t>
      </w:r>
      <w:r>
        <w:rPr>
          <w:rFonts w:ascii="Times New Roman" w:hAnsi="Times New Roman"/>
          <w:sz w:val="20"/>
          <w:szCs w:val="20"/>
        </w:rPr>
        <w:t xml:space="preserve">. Instituțiile care nu au obligația de a raporta informații financiare în conformitate cu regulamentul respectiv aplică normele prevăzute în propriul cadru contabil.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Pentru instituțiile care raportează în temeiul IFRS, au fost introduse trimiteri la standardele IFRS relevante.</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005852"/>
      <w:r>
        <w:rPr>
          <w:rFonts w:ascii="Times New Roman" w:hAnsi="Times New Roman"/>
          <w:szCs w:val="20"/>
        </w:rPr>
        <w:t>Perimetrul de consolidare</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Prezentul cadru se referă, în funcție de machetă, la:</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consolidarea pe baza consolidării contabile (entități incluse în situațiile financiare consolidate în funcție de cadrul contabil aplicabil);</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 xml:space="preserve">consolidarea prudențială [entități aflate în perimetrul de consolidare în conformitate cu partea întâi titlul II capitolul </w:t>
      </w:r>
      <w:r w:rsidRPr="002A58D3">
        <w:rPr>
          <w:rFonts w:ascii="Times New Roman" w:hAnsi="Times New Roman"/>
          <w:sz w:val="20"/>
          <w:szCs w:val="20"/>
        </w:rPr>
        <w:t>2</w:t>
      </w:r>
      <w:r>
        <w:rPr>
          <w:rFonts w:ascii="Times New Roman" w:hAnsi="Times New Roman"/>
          <w:sz w:val="20"/>
          <w:szCs w:val="20"/>
        </w:rPr>
        <w:t xml:space="preserve"> din Regulamentul (UE) nr. </w:t>
      </w:r>
      <w:r w:rsidRPr="002A58D3">
        <w:rPr>
          <w:rFonts w:ascii="Times New Roman" w:hAnsi="Times New Roman"/>
          <w:sz w:val="20"/>
          <w:szCs w:val="20"/>
        </w:rPr>
        <w:t>575</w:t>
      </w:r>
      <w:r>
        <w:rPr>
          <w:rFonts w:ascii="Times New Roman" w:hAnsi="Times New Roman"/>
          <w:sz w:val="20"/>
          <w:szCs w:val="20"/>
        </w:rPr>
        <w:t>/</w:t>
      </w:r>
      <w:r w:rsidRPr="002A58D3">
        <w:rPr>
          <w:rFonts w:ascii="Times New Roman" w:hAnsi="Times New Roman"/>
          <w:sz w:val="20"/>
          <w:szCs w:val="20"/>
        </w:rPr>
        <w:t>2013</w:t>
      </w:r>
      <w:r>
        <w:rPr>
          <w:rFonts w:ascii="Times New Roman" w:hAnsi="Times New Roman"/>
          <w:sz w:val="20"/>
          <w:szCs w:val="20"/>
        </w:rPr>
        <w:t xml:space="preserve"> al Parlamentului European și al Consiliului</w:t>
      </w:r>
      <w:r>
        <w:rPr>
          <w:rStyle w:val="FootnoteReference"/>
          <w:rFonts w:ascii="Times New Roman" w:hAnsi="Times New Roman"/>
          <w:sz w:val="20"/>
          <w:szCs w:val="20"/>
        </w:rPr>
        <w:footnoteReference w:id="5"/>
      </w:r>
      <w:r>
        <w:rPr>
          <w:rFonts w:ascii="Times New Roman" w:hAnsi="Times New Roman"/>
          <w:sz w:val="20"/>
          <w:szCs w:val="20"/>
        </w:rPr>
        <w:t xml:space="preserve">] la nivelul întreprinderii-mamă din Uniune;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consolidarea la nivelul entității de rezoluție pentru grupul de rezoluție.</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Pentru fiecare machetă, instituțiile urmează baza sau bazele de consolidare aplicabilă/aplicabile în temeiul articolului </w:t>
      </w:r>
      <w:r w:rsidRPr="002A58D3">
        <w:rPr>
          <w:rFonts w:ascii="Times New Roman" w:hAnsi="Times New Roman"/>
          <w:sz w:val="20"/>
          <w:szCs w:val="20"/>
        </w:rPr>
        <w:t>4</w:t>
      </w:r>
      <w:r>
        <w:rPr>
          <w:rFonts w:ascii="Times New Roman" w:hAnsi="Times New Roman"/>
          <w:sz w:val="20"/>
          <w:szCs w:val="20"/>
        </w:rPr>
        <w:t xml:space="preserve"> din prezentul regulament.</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005853"/>
      <w:r>
        <w:rPr>
          <w:rFonts w:ascii="Times New Roman" w:hAnsi="Times New Roman"/>
          <w:szCs w:val="20"/>
        </w:rPr>
        <w:t>Numerotare și alte convenții</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Instrucțiunile din prezenta anexă urmează convenția de denumire definită mai jos, care folosește coduri numerice în ceea ce privește trimiterile la coloanele, rândurile și celulele machetelor. Aceste coduri numerice sunt utilizate pe scară largă în normele de validare.</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Se utilizează următoarele notații generale:</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{Machetă;Rând;Coloană} pentru a face trimitere la coloanele, rândurile și celulele unei machete;</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{Rând;Coloană} în cazul validărilor din cadrul unei machete, în care sunt utilizate doar punctele de date din macheta respectivă, fără a face trimitere la o anumită machetă;</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{Machetă;Rând} în cazul machetelor cu o singură coloană, se face trimitere numai la rânduri;</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pentru a indica efectuarea validării pentru rândurile sau coloanele menționate anterior, se utilizează un asterisc.</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Atunci când un element de informație nu se aplică în cazul entităților pentru care se transmite raportul, câmpul corespunzător nu se completează.</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Atunci când instrucțiunile din prezenta anexă se referă la o cheie primară, acest lucru înseamnă o coloană sau o combinație de coloane desemnată să identifice în mod unic toate rândurile machetei. O cheie primară conține o valoare unică pentru fiecare rând al machetei. Aceasta nu conține o valoare nulă.</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005854"/>
      <w:r>
        <w:rPr>
          <w:rFonts w:ascii="Times New Roman" w:hAnsi="Times New Roman"/>
          <w:szCs w:val="20"/>
        </w:rPr>
        <w:t>Instrucțiuni aferente machetelor</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005855"/>
      <w:bookmarkEnd w:id="10"/>
      <w:r>
        <w:rPr>
          <w:rFonts w:ascii="Times New Roman" w:hAnsi="Times New Roman"/>
          <w:szCs w:val="20"/>
        </w:rPr>
        <w:t>Z </w:t>
      </w:r>
      <w:r w:rsidRPr="002A58D3">
        <w:rPr>
          <w:rFonts w:ascii="Times New Roman" w:hAnsi="Times New Roman"/>
          <w:szCs w:val="20"/>
        </w:rPr>
        <w:t>01</w:t>
      </w:r>
      <w:r>
        <w:rPr>
          <w:rFonts w:ascii="Times New Roman" w:hAnsi="Times New Roman"/>
          <w:szCs w:val="20"/>
        </w:rPr>
        <w:t>.</w:t>
      </w:r>
      <w:r w:rsidRPr="002A58D3">
        <w:rPr>
          <w:rFonts w:ascii="Times New Roman" w:hAnsi="Times New Roman"/>
          <w:szCs w:val="20"/>
        </w:rPr>
        <w:t>00</w:t>
      </w:r>
      <w:r>
        <w:rPr>
          <w:rFonts w:ascii="Times New Roman" w:hAnsi="Times New Roman"/>
          <w:szCs w:val="20"/>
        </w:rPr>
        <w:t xml:space="preserve"> – Structura organizatorică (ORG)</w:t>
      </w:r>
      <w:bookmarkEnd w:id="11"/>
    </w:p>
    <w:p w14:paraId="677C5E01" w14:textId="77777777" w:rsidR="00E13CE3" w:rsidRPr="00D92B3C" w:rsidRDefault="00E13CE3" w:rsidP="00EC261B">
      <w:pPr>
        <w:pStyle w:val="Instructionsberschrift3"/>
      </w:pPr>
      <w:r>
        <w:t>Observații generale</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Această machetă oferă o imagine de ansamblu asupra structurii juridice și a structurii de proprietate a grupului. Se transmite o singură machetă pentru toate entitățile grupului care îndeplinesc pragul minim prevăzut la articolul </w:t>
      </w:r>
      <w:r w:rsidRPr="002A58D3">
        <w:rPr>
          <w:rFonts w:ascii="Times New Roman" w:hAnsi="Times New Roman"/>
          <w:sz w:val="20"/>
          <w:szCs w:val="20"/>
        </w:rPr>
        <w:t>4</w:t>
      </w:r>
      <w:r>
        <w:rPr>
          <w:rFonts w:ascii="Times New Roman" w:hAnsi="Times New Roman"/>
          <w:sz w:val="20"/>
          <w:szCs w:val="20"/>
        </w:rPr>
        <w:t xml:space="preserve"> alineatul (</w:t>
      </w:r>
      <w:r w:rsidRPr="002A58D3">
        <w:rPr>
          <w:rFonts w:ascii="Times New Roman" w:hAnsi="Times New Roman"/>
          <w:sz w:val="20"/>
          <w:szCs w:val="20"/>
        </w:rPr>
        <w:t>2</w:t>
      </w:r>
      <w:r>
        <w:rPr>
          <w:rFonts w:ascii="Times New Roman" w:hAnsi="Times New Roman"/>
          <w:sz w:val="20"/>
          <w:szCs w:val="20"/>
        </w:rPr>
        <w:t xml:space="preserve">) litera (a) din prezentul regulament. Numai entitățile juridice sunt identificate în această machetă. </w:t>
      </w:r>
    </w:p>
    <w:p w14:paraId="14ECDB9F" w14:textId="77777777" w:rsidR="00E13CE3" w:rsidRPr="00D92B3C" w:rsidRDefault="00AF189E" w:rsidP="00EC261B">
      <w:pPr>
        <w:pStyle w:val="Instructionsberschrift3"/>
      </w:pPr>
      <w:r>
        <w:t>Instrucțiuni privind anumite poziții</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89"/>
        <w:gridCol w:w="8237"/>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Coloane</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Instrucțiuni</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2A58D3">
              <w:rPr>
                <w:rFonts w:ascii="Times New Roman" w:hAnsi="Times New Roman"/>
                <w:b/>
                <w:color w:val="000000" w:themeColor="text1"/>
                <w:sz w:val="20"/>
                <w:szCs w:val="20"/>
              </w:rPr>
              <w:t>0010</w:t>
            </w:r>
            <w:r>
              <w:rPr>
                <w:rFonts w:ascii="Times New Roman" w:hAnsi="Times New Roman"/>
                <w:b/>
                <w:color w:val="000000" w:themeColor="text1"/>
                <w:sz w:val="20"/>
                <w:szCs w:val="20"/>
              </w:rPr>
              <w:t>-</w:t>
            </w:r>
            <w:r w:rsidRPr="002A58D3">
              <w:rPr>
                <w:rFonts w:ascii="Times New Roman" w:hAnsi="Times New Roman"/>
                <w:b/>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Entitate</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2A58D3">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Denumire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Denumirea entității. Denumirea oficială, astfel cum figurează în actele statutare, indicându-se forma juridică.</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Cod</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entității. Pentru instituții,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Pentru alte entități,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sau, în cazul în care acesta nu este disponibil, un cod conform unei codificări uniforme aplicabile în Uniune sau, în cazul în care un astfel de cod nu este disponibil, un cod național.</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Acest cod este unic și este utilizat în mod consecvent în toate machetele. Valoarea codului nu poate fi nulă.</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2A58D3">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Codul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 xml:space="preserve">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al entității, atunci când acesta este disponibil.</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Tipul de entitate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Tipul de entitate, în ordinea secvențială a priorității, este unul dintre următoarele tipuri:</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«Instituție de credit»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Această categorie include instituțiile de credit astfel cum sunt definite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cu excepția entităților menționate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 a Parlamentului European și a Consiliului</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«Firmă de investiții care face obiectul cerinței privind capitalul inițial prevăzute la articolul </w:t>
            </w:r>
            <w:r w:rsidRPr="002A58D3">
              <w:rPr>
                <w:rFonts w:ascii="Times New Roman" w:hAnsi="Times New Roman"/>
                <w:color w:val="000000" w:themeColor="text1"/>
                <w:sz w:val="20"/>
                <w:szCs w:val="20"/>
              </w:rPr>
              <w:t>28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Această categorie include firmele de investiții astfel cum sunt definite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care fac obiectul cerinței privind capitalul inițial prevăzute la articolul </w:t>
            </w:r>
            <w:r w:rsidRPr="002A58D3">
              <w:rPr>
                <w:rFonts w:ascii="Times New Roman" w:hAnsi="Times New Roman"/>
                <w:color w:val="000000" w:themeColor="text1"/>
                <w:sz w:val="20"/>
                <w:szCs w:val="20"/>
              </w:rPr>
              <w:t>28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«Firmă de investiții care nu face obiectul cerinței privind capitalul inițial prevăzute la articolul </w:t>
            </w:r>
            <w:r w:rsidRPr="002A58D3">
              <w:rPr>
                <w:rFonts w:ascii="Times New Roman" w:hAnsi="Times New Roman"/>
                <w:color w:val="000000" w:themeColor="text1"/>
                <w:sz w:val="20"/>
                <w:szCs w:val="20"/>
              </w:rPr>
              <w:t>28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«Instituție financiară»</w:t>
            </w:r>
          </w:p>
          <w:p w14:paraId="7E91043B" w14:textId="3E8CF8B3"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Această categorie include instituțiile financiare astfel cum sunt definite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w:t>
            </w:r>
            <w:r w:rsidR="00107862">
              <w:rPr>
                <w:rFonts w:ascii="Times New Roman" w:hAnsi="Times New Roman"/>
                <w:color w:val="000000" w:themeColor="text1"/>
                <w:sz w:val="20"/>
                <w:szCs w:val="20"/>
              </w:rPr>
              <w:t> </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26</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altele decât cele clasificate ca «societate holding», astfel cum este descris la litera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«Societate holding»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Această categorie se referă la oricare dintre următoarele:</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societate financiară holding, astfel cum este definită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punctul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societate financiară holding mixtă, astfel cum este definită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punctul </w:t>
            </w:r>
            <w:r w:rsidRPr="002A58D3">
              <w:rPr>
                <w:rFonts w:ascii="Times New Roman" w:hAnsi="Times New Roman"/>
                <w:color w:val="000000" w:themeColor="text1"/>
                <w:sz w:val="20"/>
                <w:szCs w:val="20"/>
              </w:rPr>
              <w:t>21</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societate holding cu activitate mixtă, astfel cum este definită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punctul </w:t>
            </w:r>
            <w:r w:rsidRPr="002A58D3">
              <w:rPr>
                <w:rFonts w:ascii="Times New Roman" w:hAnsi="Times New Roman"/>
                <w:color w:val="000000" w:themeColor="text1"/>
                <w:sz w:val="20"/>
                <w:szCs w:val="20"/>
              </w:rPr>
              <w:t>22</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societate financiară holding-mamă dintr-un stat membru, astfel cum este definită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30</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671D80C0" w14:textId="6A6A8DD0"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societate financiară holding-mamă din UE, astfel cum este definită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w:t>
            </w:r>
            <w:r w:rsidR="001B4859">
              <w:rPr>
                <w:rFonts w:ascii="Times New Roman" w:hAnsi="Times New Roman"/>
                <w:color w:val="000000" w:themeColor="text1"/>
                <w:sz w:val="20"/>
                <w:szCs w:val="20"/>
              </w:rPr>
              <w:t> </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punctul </w:t>
            </w:r>
            <w:r w:rsidRPr="002A58D3">
              <w:rPr>
                <w:rFonts w:ascii="Times New Roman" w:hAnsi="Times New Roman"/>
                <w:color w:val="000000" w:themeColor="text1"/>
                <w:sz w:val="20"/>
                <w:szCs w:val="20"/>
              </w:rPr>
              <w:t>31</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societate financiară holding mixtă-mamă dintr-un stat membru, astfel cum este definită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32</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societăți financiare holding mixte-mamă din UE, astfel cum sunt definite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punctul </w:t>
            </w:r>
            <w:r w:rsidRPr="002A58D3">
              <w:rPr>
                <w:rFonts w:ascii="Times New Roman" w:hAnsi="Times New Roman"/>
                <w:color w:val="000000" w:themeColor="text1"/>
                <w:sz w:val="20"/>
                <w:szCs w:val="20"/>
              </w:rPr>
              <w:t>33</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«Întreprindere de asigurare»</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Această categorie include întreprinderile de asigurare astfel cum sunt definite la articolul </w:t>
            </w:r>
            <w:r w:rsidRPr="002A58D3">
              <w:rPr>
                <w:rFonts w:ascii="Times New Roman" w:hAnsi="Times New Roman"/>
                <w:color w:val="000000" w:themeColor="text1"/>
                <w:sz w:val="20"/>
                <w:szCs w:val="20"/>
              </w:rPr>
              <w:t>13</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2009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138</w:t>
            </w:r>
            <w:r>
              <w:rPr>
                <w:rFonts w:ascii="Times New Roman" w:hAnsi="Times New Roman"/>
                <w:color w:val="000000" w:themeColor="text1"/>
                <w:sz w:val="20"/>
                <w:szCs w:val="20"/>
              </w:rPr>
              <w:t>/CE</w:t>
            </w:r>
            <w:r>
              <w:rPr>
                <w:rFonts w:ascii="Times New Roman" w:hAnsi="Times New Roman"/>
                <w:sz w:val="20"/>
                <w:szCs w:val="20"/>
              </w:rPr>
              <w:t xml:space="preserve"> </w:t>
            </w:r>
            <w:r>
              <w:rPr>
                <w:rFonts w:ascii="Times New Roman" w:hAnsi="Times New Roman"/>
                <w:color w:val="19161B"/>
                <w:sz w:val="20"/>
                <w:szCs w:val="20"/>
              </w:rPr>
              <w:t>a Parlamentului European și a Consiliului</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«Alt tip de entitate», în cazul în care entitatea nu se încadrează în niciuna dintre categoriile enumerate mai sus.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1B4859">
            <w:pPr>
              <w:pStyle w:val="TableParagraph"/>
              <w:keepNext/>
              <w:spacing w:before="106"/>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Țara</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ISO </w:t>
            </w:r>
            <w:r w:rsidRPr="002A58D3">
              <w:rPr>
                <w:rFonts w:ascii="Times New Roman" w:hAnsi="Times New Roman"/>
                <w:color w:val="000000" w:themeColor="text1"/>
                <w:sz w:val="20"/>
                <w:szCs w:val="20"/>
              </w:rPr>
              <w:t>3166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-alfa-</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 țării de înregistrare a entității, care poate fi un stat membru sau o țară terță.</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Inclusă în perimetrul prudențial</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raportează următoarele abrevieri:</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Da;</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Nu.</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Derogare conform articolului </w:t>
            </w:r>
            <w:r w:rsidRPr="002A58D3">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din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raportează următoarele abrevieri:</w:t>
            </w:r>
          </w:p>
          <w:p w14:paraId="49B17DE5" w14:textId="66235100"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 – în cazul în care autoritatea competentă a acordat o derogare de la aplicarea articolului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alineatul</w:t>
            </w:r>
            <w:r w:rsidR="001B4859">
              <w:rPr>
                <w:rFonts w:ascii="Times New Roman" w:hAnsi="Times New Roman"/>
                <w:color w:val="000000" w:themeColor="text1"/>
                <w:sz w:val="20"/>
                <w:szCs w:val="20"/>
              </w:rPr>
              <w:t> </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în conformitate cu articolul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în celelalte cazuri.</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Derogare conform articolului </w:t>
            </w:r>
            <w:r w:rsidRPr="002A58D3">
              <w:rPr>
                <w:rFonts w:ascii="Times New Roman" w:hAnsi="Times New Roman"/>
                <w:b/>
                <w:color w:val="000000" w:themeColor="text1"/>
                <w:sz w:val="20"/>
                <w:szCs w:val="20"/>
              </w:rPr>
              <w:t>10</w:t>
            </w:r>
            <w:r>
              <w:rPr>
                <w:rFonts w:ascii="Times New Roman" w:hAnsi="Times New Roman"/>
                <w:b/>
                <w:color w:val="000000" w:themeColor="text1"/>
                <w:sz w:val="20"/>
                <w:szCs w:val="20"/>
              </w:rPr>
              <w:t xml:space="preserve"> din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raportează următoarele abrevieri:</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în cazul în care autoritatea competentă a aplicat o derogare în temeiul articolului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în celelalte cazuri.</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Totalul activelor</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Totalul activelor, astfel cum este definit pentru FINREP: {F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380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Cuantumul total al expunerii la risc</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Cuantumul total al expunerii la risc, astfel cum este definit pentru COREP (OF): {C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Acest element nu se raportează pentru entitățile care nu sunt instituții și nici pentru entitățile care beneficiază de o derogare în conformitate cu articolul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sau cu articolul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Expunerea pentru calcularea indicatorului efectului de levier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Expunerea totală pentru calcularea indicatorului efectului de levier, astfel cum este definită pentru COREP (LR): {C </w:t>
            </w:r>
            <w:r w:rsidRPr="002A58D3">
              <w:rPr>
                <w:rFonts w:ascii="Times New Roman" w:hAnsi="Times New Roman"/>
                <w:color w:val="000000" w:themeColor="text1"/>
                <w:sz w:val="20"/>
                <w:szCs w:val="20"/>
              </w:rPr>
              <w:t>47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0290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Acest element nu se raportează pentru entitățile care nu sunt instituții și nici pentru entitățile care beneficiază de o derogare în conformitate cu articolul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sau cu articolul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Standard de contabilitate</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Standardele contabile aplicate de entitate. Se raportează următoarele abrevieri:</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Contribuția la totalul activelor consolidate</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Cuantumul cu care entitatea contribuie la totalul activelor consolidate ale grupului la care se referă raportul.</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Contribuția la cuantumul total consolidat al expunerii la risc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Cuantumul cu care entitatea contribuie la cuantumul total consolidat al expunerii la risc al grupului la care se referă raportul.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Contribuția la expunerea consolidată pentru calcularea indicatorului efectului de levier</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Cuantumul cu care entitatea contribuie la expunerea totală consolidată pentru calcularea indicatorului efectului de levier a grupului la care se referă raportul.</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Entitatea juridică relevantă</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Dacă entitatea constituie o entitate juridică relevantă în conformitate cu definiția de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prezentul regulament.</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sidRPr="002A58D3">
              <w:rPr>
                <w:rFonts w:ascii="Times New Roman" w:hAnsi="Times New Roman"/>
                <w:b/>
                <w:color w:val="000000" w:themeColor="text1"/>
                <w:sz w:val="20"/>
                <w:szCs w:val="20"/>
              </w:rPr>
              <w:t>0170</w:t>
            </w:r>
            <w:r>
              <w:rPr>
                <w:rFonts w:ascii="Times New Roman" w:hAnsi="Times New Roman"/>
                <w:b/>
                <w:color w:val="000000" w:themeColor="text1"/>
                <w:sz w:val="20"/>
                <w:szCs w:val="20"/>
              </w:rPr>
              <w:t>-</w:t>
            </w:r>
            <w:r w:rsidRPr="002A58D3">
              <w:rPr>
                <w:rFonts w:ascii="Times New Roman" w:hAnsi="Times New Roman"/>
                <w:b/>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Întreprindere-mamă directă</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Întreprinderea-mamă directă a entității. Se raportează numai o întreprindere-mamă directă care deține mai mult de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 din drepturile de vot în cadrul entității.</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o entitate are mai mult de o întreprindere-mamă directă, se raportează numai întreprinderea-mamă directă care deține cea mai mare cotă de capital – sau cota cea mai mare de drepturi de vot, dacă este cazul.</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Denumire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Denumirea întreprinderii-mamă directe a entității.</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Cod</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întreprinderii-mamă directe. Pentru instituții,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Pentru alte entități,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sau, în cazul în care acesta nu este disponibil, un cod conform unei codificări uniforme aplicabile în Uniune sau, în cazul în care un astfel de cod nu este disponibil, un cod național.</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Acest cod este unic și este utilizat în mod consecvent în toate machetele. Valoarea codului nu poate fi nulă.</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Codul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al entității, atunci când acesta este disponibil.</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Capital social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Cuantumul capitalului social deținut de întreprinderea-mamă directă în cadrul entității, cu excepția rezervelor.</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Drepturi de vot în cadrul entității</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Procentul din drepturile de vot deținut de întreprinderea-mamă directă în cadrul entității.</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Aceste informații sunt necesare numai în cazul în care o acțiune nu este egală cu un vot (și, prin urmare, drepturile de vot nu sunt egale cu capitalul social).</w:t>
            </w:r>
          </w:p>
        </w:tc>
      </w:tr>
    </w:tbl>
    <w:p w14:paraId="7D57015D" w14:textId="77777777" w:rsidR="00E13CE3" w:rsidRPr="00D1040F"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005856"/>
      <w:r>
        <w:rPr>
          <w:rFonts w:ascii="Times New Roman" w:hAnsi="Times New Roman"/>
          <w:szCs w:val="20"/>
        </w:rPr>
        <w:t>Z </w:t>
      </w:r>
      <w:r w:rsidRPr="002A58D3">
        <w:rPr>
          <w:rFonts w:ascii="Times New Roman" w:hAnsi="Times New Roman"/>
          <w:szCs w:val="20"/>
        </w:rPr>
        <w:t>02</w:t>
      </w:r>
      <w:r>
        <w:rPr>
          <w:rFonts w:ascii="Times New Roman" w:hAnsi="Times New Roman"/>
          <w:szCs w:val="20"/>
        </w:rPr>
        <w:t>.</w:t>
      </w:r>
      <w:r w:rsidRPr="002A58D3">
        <w:rPr>
          <w:rFonts w:ascii="Times New Roman" w:hAnsi="Times New Roman"/>
          <w:szCs w:val="20"/>
        </w:rPr>
        <w:t>00</w:t>
      </w:r>
      <w:r>
        <w:rPr>
          <w:rFonts w:ascii="Times New Roman" w:hAnsi="Times New Roman"/>
          <w:szCs w:val="20"/>
        </w:rPr>
        <w:t xml:space="preserve"> – Structura datoriilor (LIAB)</w:t>
      </w:r>
      <w:bookmarkEnd w:id="12"/>
      <w:bookmarkEnd w:id="13"/>
    </w:p>
    <w:p w14:paraId="5599ADA4" w14:textId="77777777" w:rsidR="005B4526" w:rsidRPr="00D92B3C" w:rsidRDefault="005B4526" w:rsidP="00EC261B">
      <w:pPr>
        <w:pStyle w:val="Instructionsberschrift3"/>
      </w:pPr>
      <w:r>
        <w:t>Observații generale</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În această machetă se solicită informații detaliate privind structura datoriilor entității sau grupului. Datoriile sunt defalcate în funcție de datoriile care sunt excluse de la recapitalizarea internă și de datoriile care nu sunt excluse de la recapitalizarea internă. Sunt prevăzute și defalcări mai detaliate în funcție de categoriile de datorii, categoriile de contrapărți și scadență.</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În cazul în care defalcarea în funcție de scadență este prevăzută în această machetă, scadența reziduală este intervalul de timp până la scadența contractuală. Prin derogare de la această dispoziție:</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în cazul în care un instrument de pasive include o opțiune de răscumpărare de către titular care poate fi exercitată înainte de scadența stabilită inițial a instrumentului, scadența instrumentului este cea mai apropiată dată posibilă la care titularul poate exercita opțiunea de răscumpărare și poate solicita răscumpărarea sau rambursarea instrumentului;</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în cazul în care un instrument de pasive include un stimulent pentru emitent de a exercita opțiunea call sau de a rambursa, restitui sau răscumpăra instrumentul înainte de scadența stabilită inițial a acestuia, scadența instrumentului este cea mai apropiată dată posibilă la care emitentul poate exercita opțiunea respectivă și poate solicita răscumpărarea sau rambursarea în cazul instrumentului respectiv;</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în cazul în care instrumentul include o astfel de opțiune call pentru emitent cu o dată de exercitare nedeterminată sau în cazul în care exercitarea opțiunii este declanșată de evenimente specifice, se raportează data de exercitare probabilă estimată în mod prudent; opțiunile call în scopuri de reglementare sau fiscale nu sunt luate în considerare în acest scop.</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În cazul plăților intermediare ale principalului, principalul se împarte și se alocă în tranșele de scadență corespunzătoare. Acolo unde este cazul, scadența este considerată separat atât pentru principal, cât și pentru dobânda acumulată</w:t>
      </w:r>
      <w:r>
        <w:t>.</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Cuantumurile raportate în această machetă sunt sume restante. Suma restantă a unei creanțe sau a unui instrument este suma dintre principalul creanței sau instrumentului și dobânda acumulată pentru creanța sau instrumentul respectiv. Suma restantă datorată este egală cu valoarea creanței pe care creditorul ar putea să o declare în cadrul unei proceduri de insolvență.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Cu toate acestea, datoriile înscrise în bilanț care provin din instrumente financiare derivate (raportate în rândul </w:t>
      </w:r>
      <w:r w:rsidRPr="002A58D3">
        <w:rPr>
          <w:rFonts w:ascii="Times New Roman" w:hAnsi="Times New Roman"/>
          <w:sz w:val="20"/>
          <w:szCs w:val="20"/>
        </w:rPr>
        <w:t>0330</w:t>
      </w:r>
      <w:r>
        <w:rPr>
          <w:rFonts w:ascii="Times New Roman" w:hAnsi="Times New Roman"/>
          <w:sz w:val="20"/>
          <w:szCs w:val="20"/>
        </w:rPr>
        <w:t xml:space="preserve">) se raportează sub formă de valori contabile. Valoarea contabilă este valoarea contabilă astfel cum este definită în sensul FINREP, fie în conformitate cu IFRS, fie în conformitate cu nGAAP, după caz. În celelalte cazuri se utilizează cifrele în conformitate cu sistemele de raportare nGAAP. </w:t>
      </w:r>
    </w:p>
    <w:p w14:paraId="2CF3C59A" w14:textId="77777777" w:rsidR="00E13CE3" w:rsidRPr="00D92B3C" w:rsidRDefault="00E13CE3" w:rsidP="00EC261B">
      <w:pPr>
        <w:pStyle w:val="Instructionsberschrift3"/>
      </w:pPr>
      <w:r>
        <w:t>Instrucțiuni privind anumite poziții</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Coloane</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Instrucțiuni</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Gospodării</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42</w:t>
            </w:r>
            <w:r>
              <w:rPr>
                <w:rFonts w:ascii="Times New Roman" w:hAnsi="Times New Roman"/>
                <w:color w:val="000000" w:themeColor="text1"/>
                <w:sz w:val="20"/>
                <w:szCs w:val="20"/>
              </w:rPr>
              <w:t xml:space="preserve"> litera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Persoane sau grupuri de persoane, cum ar fi consumatorii și producătorii de bunuri și de servicii nefinanciare exclusiv pentru consumul final al acestora și producătorii de bunuri de piață și servicii nefinanciare și financiare, cu condiția ca activitățile acestora să nu fie cele ale cvasisocietăților. Sunt, de asemenea, incluse instituțiile fără scop lucrativ în serviciul gospodăriilor populației și a căror activitate principală constă în producția de bunuri și prestarea de servicii fără caracter comercial pentru grupuri specifice de gospodării ale populației.</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sidRPr="002A58D3">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Societăți nefinanciare (IMM-uri)</w:t>
            </w:r>
          </w:p>
          <w:p w14:paraId="658CF614" w14:textId="0875E459"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Titlul I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din anexa la Recomandarea Comisiei din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mai </w:t>
            </w:r>
            <w:r w:rsidRPr="002A58D3">
              <w:rPr>
                <w:rFonts w:ascii="Times New Roman" w:hAnsi="Times New Roman"/>
                <w:color w:val="000000" w:themeColor="text1"/>
                <w:sz w:val="20"/>
                <w:szCs w:val="20"/>
              </w:rPr>
              <w:t>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anexa</w:t>
            </w:r>
            <w:r w:rsidR="001B4859">
              <w:rPr>
                <w:rFonts w:ascii="Times New Roman" w:hAnsi="Times New Roman"/>
                <w:color w:val="000000" w:themeColor="text1"/>
                <w:sz w:val="20"/>
                <w:szCs w:val="20"/>
              </w:rPr>
              <w:t> </w:t>
            </w:r>
            <w:r>
              <w:rPr>
                <w:rFonts w:ascii="Times New Roman" w:hAnsi="Times New Roman"/>
                <w:color w:val="000000" w:themeColor="text1"/>
                <w:sz w:val="20"/>
                <w:szCs w:val="20"/>
              </w:rPr>
              <w:t xml:space="preserve">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litera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 xml:space="preserve">Întreprinderile care au sub </w:t>
            </w:r>
            <w:r w:rsidRPr="002A58D3">
              <w:rPr>
                <w:rFonts w:ascii="Times New Roman" w:hAnsi="Times New Roman"/>
                <w:color w:val="000000" w:themeColor="text1"/>
                <w:sz w:val="20"/>
                <w:szCs w:val="20"/>
              </w:rPr>
              <w:t>250</w:t>
            </w:r>
            <w:r>
              <w:rPr>
                <w:rFonts w:ascii="Times New Roman" w:hAnsi="Times New Roman"/>
                <w:color w:val="000000" w:themeColor="text1"/>
                <w:sz w:val="20"/>
                <w:szCs w:val="20"/>
              </w:rPr>
              <w:t xml:space="preserve"> de angajați și o cifră anuală de afaceri care nu depășește </w:t>
            </w:r>
            <w:r w:rsidRPr="002A58D3">
              <w:rPr>
                <w:rFonts w:ascii="Times New Roman" w:hAnsi="Times New Roman"/>
                <w:color w:val="000000" w:themeColor="text1"/>
                <w:sz w:val="20"/>
                <w:szCs w:val="20"/>
              </w:rPr>
              <w:t>50</w:t>
            </w:r>
            <w:r>
              <w:rPr>
                <w:rFonts w:ascii="Times New Roman" w:hAnsi="Times New Roman"/>
                <w:color w:val="000000" w:themeColor="text1"/>
                <w:sz w:val="20"/>
                <w:szCs w:val="20"/>
              </w:rPr>
              <w:t xml:space="preserve"> de milioane EUR și/sau un bilanț anual total care nu depășește </w:t>
            </w:r>
            <w:r w:rsidRPr="002A58D3">
              <w:rPr>
                <w:rFonts w:ascii="Times New Roman" w:hAnsi="Times New Roman"/>
                <w:color w:val="000000" w:themeColor="text1"/>
                <w:sz w:val="20"/>
                <w:szCs w:val="20"/>
              </w:rPr>
              <w:t>43</w:t>
            </w:r>
            <w:r>
              <w:rPr>
                <w:rFonts w:ascii="Times New Roman" w:hAnsi="Times New Roman"/>
                <w:color w:val="000000" w:themeColor="text1"/>
                <w:sz w:val="20"/>
                <w:szCs w:val="20"/>
              </w:rPr>
              <w:t xml:space="preserve"> de milioane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Societăți nefinanciare (altele decât IMM-uri)</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42</w:t>
            </w:r>
            <w:r>
              <w:rPr>
                <w:rFonts w:ascii="Times New Roman" w:hAnsi="Times New Roman"/>
                <w:color w:val="000000" w:themeColor="text1"/>
                <w:sz w:val="20"/>
                <w:szCs w:val="20"/>
              </w:rPr>
              <w:t xml:space="preserve"> litera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Societăți și cvasisocietăți a căror activitate nu constă în intermedierea financiară, ci, în principal, în producția de bunuri de piață și prestarea de servicii nefinanciare conform Regulamentului (UE) </w:t>
            </w:r>
            <w:r w:rsidRPr="002A58D3">
              <w:rPr>
                <w:rFonts w:ascii="Times New Roman" w:hAnsi="Times New Roman"/>
                <w:color w:val="000000" w:themeColor="text1"/>
                <w:sz w:val="20"/>
                <w:szCs w:val="20"/>
              </w:rPr>
              <w:t>2021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379</w:t>
            </w:r>
            <w:r>
              <w:rPr>
                <w:rFonts w:ascii="Times New Roman" w:hAnsi="Times New Roman"/>
                <w:color w:val="000000" w:themeColor="text1"/>
                <w:sz w:val="20"/>
                <w:szCs w:val="20"/>
              </w:rPr>
              <w:t xml:space="preserve"> al Băncii Centrale Europene</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Se exclud «IMM-urile» raportate în coloana </w:t>
            </w: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Instituții de credit</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42</w:t>
            </w:r>
            <w:r>
              <w:rPr>
                <w:rFonts w:ascii="Times New Roman" w:hAnsi="Times New Roman"/>
                <w:color w:val="000000" w:themeColor="text1"/>
                <w:sz w:val="20"/>
                <w:szCs w:val="20"/>
              </w:rPr>
              <w:t xml:space="preserve"> litera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Instituțiile de credit în sensul articolului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și băncile multilaterale de dezvoltare.</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Alte societăți financiare</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42</w:t>
            </w:r>
            <w:r>
              <w:rPr>
                <w:rFonts w:ascii="Times New Roman" w:hAnsi="Times New Roman"/>
                <w:color w:val="000000" w:themeColor="text1"/>
                <w:sz w:val="20"/>
                <w:szCs w:val="20"/>
              </w:rPr>
              <w:t xml:space="preserve"> litera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Toate societățile financiare și cvasisocietățile, altele decât instituțiile de credit, cum ar fi firmele de investiții, fondurile de investiții, societățile de asigurări, fondurile de pensii, organismele de plasament colectiv și casele de compensare, precum și alți intermediari financiari, auxiliari financiari și alte instituții financiare captive și entități creditoare.</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Administrații publice și bănci centrale</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42</w:t>
            </w:r>
            <w:r>
              <w:rPr>
                <w:rFonts w:ascii="Times New Roman" w:hAnsi="Times New Roman"/>
                <w:color w:val="000000" w:themeColor="text1"/>
                <w:sz w:val="20"/>
                <w:szCs w:val="20"/>
              </w:rPr>
              <w:t xml:space="preserve"> literele (a) și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Bănci centrale și administrații centrale, administrații de stat sau regionale și administrații locale, inclusiv organe administrative și întreprinderi cu scop necomercial, dar excluzând companiile publice și private care sunt deținute de administrațiile respective și desfășoară o activitate comercială (care sunt raportate la «instituții de credit», «alte societăți financiare» sau «societăți nefinanciare», în funcție de activitatea pe care o desfășoară); fonduri de asigurări sociale și organizații internaționale, precum Uniunea Europeană, Fondul Monetar Internațional și Banca Reglementelor Internaționale.</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Neidentificat, cotat într-un loc de tranzacționare</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În cazul în care identitatea deținătorului unui titlu nu este cunoscută din cauză că instrumentele sunt cotate într-un loc de tranzacționare, astfel cum este prevăzut în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65</w:t>
            </w:r>
            <w:r>
              <w:rPr>
                <w:rFonts w:ascii="Times New Roman" w:hAnsi="Times New Roman"/>
                <w:color w:val="000000" w:themeColor="text1"/>
                <w:sz w:val="20"/>
                <w:szCs w:val="20"/>
              </w:rPr>
              <w:t>/UE a Parlamentului European și a Consiliului, cuantumurile se înscriu în această coloană</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Neidentificat, necotat într-un loc de tranzacționare</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identitatea deținătorului unui titlu nu este cunoscută, fără ca instrumentele să fie cotate într-un loc de tranzacționare, cuantumurile se înscriu în această coloană și nu este necesară nicio defalcare suplimentară în funcție de contraparte. Entitățile își consacră toate eforturile pentru a identifica contrapărțile și a menține la nivelul minim recurgerea la această coloană.</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Din care: în interiorul grupului</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Datoriile față de entitățile incluse în situațiile financiare consolidate ale întreprinderii-mamă finale (în opoziție cu perimetrul de consolidare regulamentar).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Din care: datorii care intră sub incidența legislației unei țări terțe, exclusiv în interiorul unui grup</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Acestea includ cuantumurile brute ale datoriilor reglementate de dreptul unei țări terțe și/sau emise de entități din grup cu sediul în țări terțe. Se exclud datoriile intragrup.</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În cazul în care autoritatea de rezoluție s-a declarat satisfăcută, în temeiul articolului </w:t>
            </w:r>
            <w:r w:rsidRPr="002A58D3">
              <w:rPr>
                <w:rFonts w:ascii="Times New Roman" w:hAnsi="Times New Roman"/>
                <w:color w:val="000000" w:themeColor="text1"/>
                <w:sz w:val="20"/>
                <w:szCs w:val="20"/>
              </w:rPr>
              <w:t>55</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 treilea paragraf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 a Parlamentului European și a Consiliului</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în ceea ce privește faptul că orice decizie a unei autorități de rezoluție de a reduce valoarea contabilă a unei datorii sau de a o converti ar fi eficientă în contextul dreptului țării terțe respective, datoria în cauză nu se raportează în această coloană.</w:t>
            </w:r>
          </w:p>
        </w:tc>
      </w:tr>
    </w:tbl>
    <w:p w14:paraId="784CE850" w14:textId="77777777" w:rsidR="0081175C" w:rsidRPr="00D1040F"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Rânduri</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Instrucțiuni</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2A58D3">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excluse de la recapitalizarea internă</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 prevede că autoritățile de rezoluție nu exercită competențele de reducere a valorii contabile sau de conversie în cazul datoriilor excluse de la recapitalizarea internă, fie că sunt reglementate de dreptul unui stat membru, fie de dreptul unui stat terț.</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2A58D3">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Depozite acoperite</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 xml:space="preserve">Cuantumul depozitelor acoperite, astfel cum sunt definite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 a Parlamentului European și a Consiliului</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cu excepția soldurilor temporar ridicate astfel cum sunt definite la articolul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din directiva respectivă.</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2A58D3">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Obligații garantate – partea acoperită de garanții reale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(b)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Obligațiile garantate, inclusiv acordurile repo, obligațiunile garantate și pasivele sub formă de instrumente financiare, care constituie parte integrantă a portofoliului de acoperire și care, în temeiul dreptului intern, sunt garantate în mod asemănător cu obligațiunile garantate.</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Nici cerința de a asigura că toate activele garantate asociate unui portofoliu de acoperire constituit din obligațiuni garantate sunt neafectate, rămân separate și dispun de fonduri suficiente, nici excluderea prevăzută la 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(b)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nu împiedică autoritățile de rezoluție să își exercite, după caz, competențele respective în legătură cu orice parte a unei obligații garantate sau a unei obligații acoperite de o garanție reală, care depășește valoarea activelor, a gajului, a dreptului de retenție sau a garanției reale oferite drept garanție. Un astfel de cuantum neacoperit al acestor obligații garantate nu se raportează în acest rând, ci în rândul </w:t>
            </w:r>
            <w:r w:rsidRPr="002A58D3">
              <w:rPr>
                <w:rFonts w:ascii="Times New Roman" w:hAnsi="Times New Roman"/>
                <w:color w:val="000000" w:themeColor="text1"/>
                <w:sz w:val="20"/>
                <w:szCs w:val="20"/>
              </w:rPr>
              <w:t>0340</w:t>
            </w:r>
            <w:r>
              <w:rPr>
                <w:rFonts w:ascii="Times New Roman" w:hAnsi="Times New Roman"/>
                <w:color w:val="000000" w:themeColor="text1"/>
                <w:sz w:val="20"/>
                <w:szCs w:val="20"/>
              </w:rPr>
              <w:t>, sub rezerva unei defalcări suplimentare.</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Datoriile unei bănci centrale care sunt acoperite de un portofoliu de garanții reale (</w:t>
            </w:r>
            <w:r>
              <w:rPr>
                <w:rFonts w:ascii="Times New Roman" w:hAnsi="Times New Roman"/>
                <w:color w:val="1A171C"/>
                <w:sz w:val="20"/>
                <w:szCs w:val="20"/>
              </w:rPr>
              <w:t>de exemplu, operațiunile principale de refinanțare, operațiunile de refinanțare pe termen lung, operațiunile țintite de refinanțare pe termen mai lung etc.</w:t>
            </w:r>
            <w:r>
              <w:rPr>
                <w:rFonts w:ascii="Times New Roman" w:hAnsi="Times New Roman"/>
                <w:color w:val="000000" w:themeColor="text1"/>
                <w:sz w:val="20"/>
                <w:szCs w:val="20"/>
              </w:rPr>
              <w:t xml:space="preserve">) sunt considerate obligații garantate.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O categorie specifică de datorii o reprezintă pozițiile corespunzătoare garanțiilor reale primite și înregistrate în bilanț. În cazul în care aceste poziții corespunzătoare garanțiilor reale sunt legate din punct de vedere juridic de o poziție de activ, acestea sunt tratate ca obligații garantate în scopul prezentului raport.</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clienți, dacă aceștia sunt protejați în caz de insolvență</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(c)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31E36332" w14:textId="24F2F2C2" w:rsidR="0081175C" w:rsidRPr="00D92B3C" w:rsidRDefault="0081175C" w:rsidP="001B485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Orice datorie care rezultă în virtutea deținerii de către instituția sau entitatea menționată la articolul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litera (b), (c) sau (d)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a unor active sau lichidități aparținând clienților, inclusiv active sau lichidități aparținând clienților deținute în numele unui OPCVM, în conformitate cu definiția de la articolul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2009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65</w:t>
            </w:r>
            <w:r>
              <w:rPr>
                <w:rFonts w:ascii="Times New Roman" w:hAnsi="Times New Roman"/>
                <w:color w:val="000000" w:themeColor="text1"/>
                <w:sz w:val="20"/>
                <w:szCs w:val="20"/>
              </w:rPr>
              <w:t>/CE a Parlamentului</w:t>
            </w:r>
            <w:r w:rsidR="001B4859">
              <w:rPr>
                <w:rFonts w:ascii="Times New Roman" w:hAnsi="Times New Roman"/>
                <w:color w:val="000000" w:themeColor="text1"/>
                <w:sz w:val="20"/>
                <w:szCs w:val="20"/>
              </w:rPr>
              <w:t> </w:t>
            </w:r>
            <w:r>
              <w:rPr>
                <w:rFonts w:ascii="Times New Roman" w:hAnsi="Times New Roman"/>
                <w:color w:val="000000" w:themeColor="text1"/>
                <w:sz w:val="20"/>
                <w:szCs w:val="20"/>
              </w:rPr>
              <w:t>European și a Consiliului</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sau al unor FIA, în conformitate cu definiția de la articolul</w:t>
            </w:r>
            <w:r w:rsidR="001B4859">
              <w:rPr>
                <w:rFonts w:ascii="Times New Roman" w:hAnsi="Times New Roman"/>
                <w:color w:val="000000" w:themeColor="text1"/>
                <w:sz w:val="20"/>
                <w:szCs w:val="20"/>
              </w:rPr>
              <w:t>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litera (a) din Directiva </w:t>
            </w:r>
            <w:r w:rsidRPr="002A58D3">
              <w:rPr>
                <w:rFonts w:ascii="Times New Roman" w:hAnsi="Times New Roman"/>
                <w:color w:val="000000" w:themeColor="text1"/>
                <w:sz w:val="20"/>
                <w:szCs w:val="20"/>
              </w:rPr>
              <w:t>2011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61</w:t>
            </w:r>
            <w:r>
              <w:rPr>
                <w:rFonts w:ascii="Times New Roman" w:hAnsi="Times New Roman"/>
                <w:color w:val="000000" w:themeColor="text1"/>
                <w:sz w:val="20"/>
                <w:szCs w:val="20"/>
              </w:rPr>
              <w:t>/UE a Parlamentului European și a Consiliului</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cu condiția ca respectivul client să fie protejat în baza legislației aplicabile privind insolvența.</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5794FCC1" w:rsidR="0081175C" w:rsidRPr="00D92B3C" w:rsidRDefault="001B4859"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highlight w:val="yellow"/>
              </w:rPr>
              <w:t> </w:t>
            </w:r>
            <w:r w:rsidR="00903E0D" w:rsidRPr="002A58D3">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fiduciari, dacă aceștia sunt protejați în caz de insolvență</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(d)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Orice datorie care rezultă în virtutea existenței unei relații fiduciare între instituție sau entitatea menționată la articolul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litera (b), (c) sau (d)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 (în calitate de fiduciar) și o altă persoană (în calitate de beneficiar), cu condiția ca respectivul beneficiar să fie protejat în baza legislației aplicabile privind insolvența sau în baza dreptului civil.</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Datorii față de instituții &lt; </w:t>
            </w:r>
            <w:r w:rsidRPr="002A58D3">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zile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Datoriile față de instituții, excluzând entitățile care fac parte din același grup contabil, cu o scadență inițială mai mică de șapte zile.</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(operatorii de) sisteme și față de CCP-uri &lt; </w:t>
            </w:r>
            <w:r w:rsidRPr="002A58D3">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zile</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(f)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 xml:space="preserve">Datoriile cu o scadență reziduală mai mică de șapte zile față de sisteme sau operatori de sisteme desemnați în conformitate cu Directiva </w:t>
            </w:r>
            <w:r w:rsidRPr="002A58D3">
              <w:rPr>
                <w:rFonts w:ascii="Times New Roman" w:hAnsi="Times New Roman"/>
                <w:color w:val="000000" w:themeColor="text1"/>
                <w:sz w:val="20"/>
                <w:szCs w:val="20"/>
              </w:rPr>
              <w:t>98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26</w:t>
            </w:r>
            <w:r>
              <w:rPr>
                <w:rFonts w:ascii="Times New Roman" w:hAnsi="Times New Roman"/>
                <w:color w:val="000000" w:themeColor="text1"/>
                <w:sz w:val="20"/>
                <w:szCs w:val="20"/>
              </w:rPr>
              <w:t>/CE</w:t>
            </w:r>
            <w:r>
              <w:t xml:space="preserve"> </w:t>
            </w:r>
            <w:r>
              <w:rPr>
                <w:rFonts w:ascii="Times New Roman" w:hAnsi="Times New Roman"/>
                <w:color w:val="000000" w:themeColor="text1"/>
                <w:sz w:val="20"/>
                <w:szCs w:val="20"/>
              </w:rPr>
              <w:t>a Parlamentului European și a Consiliului</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xml:space="preserve"> sau față de participanții la astfel de sisteme, care rezultă din participarea la un astfel de sistem, sau față de CPC-uri autorizate în Uniune în temeiul articolului </w:t>
            </w:r>
            <w:r w:rsidRPr="002A58D3">
              <w:rPr>
                <w:rFonts w:ascii="Times New Roman" w:hAnsi="Times New Roman"/>
                <w:color w:val="000000" w:themeColor="text1"/>
                <w:sz w:val="20"/>
                <w:szCs w:val="20"/>
              </w:rPr>
              <w:t>14</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648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2012</w:t>
            </w:r>
            <w:r>
              <w:rPr>
                <w:rFonts w:ascii="Times New Roman" w:hAnsi="Times New Roman"/>
                <w:color w:val="000000" w:themeColor="text1"/>
                <w:sz w:val="20"/>
                <w:szCs w:val="20"/>
              </w:rPr>
              <w:t xml:space="preserve"> al Parlamentului European și al Consiliului</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și față de CPC-uri din țări terțe recunoscute de ESMA în temeiul articolului </w:t>
            </w:r>
            <w:r w:rsidRPr="002A58D3">
              <w:rPr>
                <w:rFonts w:ascii="Times New Roman" w:hAnsi="Times New Roman"/>
                <w:color w:val="000000" w:themeColor="text1"/>
                <w:sz w:val="20"/>
                <w:szCs w:val="20"/>
              </w:rPr>
              <w:t>25</w:t>
            </w:r>
            <w:r>
              <w:rPr>
                <w:rFonts w:ascii="Times New Roman" w:hAnsi="Times New Roman"/>
                <w:color w:val="000000" w:themeColor="text1"/>
                <w:sz w:val="20"/>
                <w:szCs w:val="20"/>
              </w:rPr>
              <w:t xml:space="preserve"> din regulamentul respectiv.</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un angajat</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(g) punctul (i)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Datoriile față de un angajat, în ceea ce privește salariile, beneficiile de tipul pensiilor sau alte forme de remunerație fixă acumulate, cu excepția componentei variabile a remunerației care nu este reglementată printr-un contract colectiv de muncă. Totuși, această dispoziție nu se aplică componentei variabile a remunerației personalului cu competențe pentru asumarea de riscuri substanțiale astfel cum este definit la articolul </w:t>
            </w:r>
            <w:r w:rsidRPr="002A58D3">
              <w:rPr>
                <w:rFonts w:ascii="Times New Roman" w:hAnsi="Times New Roman"/>
                <w:color w:val="000000" w:themeColor="text1"/>
                <w:sz w:val="20"/>
                <w:szCs w:val="20"/>
              </w:rPr>
              <w:t>92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cruciale pentru desfășurarea zilnică a activităților</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(g) punctul (ii)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Datoriile față de un creditor comercial, în ceea ce privește furnizarea către instituția sau entitatea menționată la articolul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litera (b), (c) sau (d)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 de mărfuri sau servicii care sunt cruciale pentru desfășurarea zilnică a activităților sale, inclusiv servicii informatice, servicii de utilități, precum și închirierea, întreținerea și reparațiile spațiilor de lucru.</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1B4859">
            <w:pPr>
              <w:pStyle w:val="TableParagraph"/>
              <w:keepNext/>
              <w:spacing w:before="106"/>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autoritățile fiscale și autoritățile de asigurări sociale, în cazul în care sunt considerate creanțe privilegiate</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litera (g) punctul (iii)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Datoriile față de autoritățile fiscale și autoritățile de asigurări sociale, cu condiția ca datoriile respective să fie considerate creanțe privilegiate în baza legii aplicabile.</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scheme de garantare a depozitelor (SGD)</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(g) punctul (iv)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Datoriile față de scheme de garantare a depozitelor care decurg din contribuțiile datorate în conformitate cu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față de alte entități ale grupului de rezoluție</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(h)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Datoriile către instituții sau entități menționate la articolul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litera (b), (c) sau (d)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care fac parte din același grup de rezoluție fără a fi ele însele entități de rezoluție, indiferent de scadența lor, cu excepția cazului în care aceste datorii au un rang inferior datoriilor negarantate obișnuite în temeiul dreptului național relevant care reglementează procedura obișnuită de insolvență aplicabilă la data transpunerii Directivei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datoria exclusă este o datorie derivată, se raportează pozițiile nete debitoare ținând seama de normele de compensare prudențială prevăzute la articolul </w:t>
            </w:r>
            <w:r w:rsidRPr="002A58D3">
              <w:rPr>
                <w:rFonts w:ascii="Times New Roman" w:hAnsi="Times New Roman"/>
                <w:color w:val="000000" w:themeColor="text1"/>
                <w:sz w:val="20"/>
                <w:szCs w:val="20"/>
              </w:rPr>
              <w:t>429</w:t>
            </w:r>
            <w:r>
              <w:rPr>
                <w:rFonts w:ascii="Times New Roman" w:hAnsi="Times New Roman"/>
                <w:color w:val="000000" w:themeColor="text1"/>
                <w:sz w:val="20"/>
                <w:szCs w:val="20"/>
              </w:rPr>
              <w:t>c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care nu sunt excluse de la recapitalizarea internă</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Depozite neacoperite, dar preferențiale</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Depozitele astfel cum sunt definite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 xml:space="preserve">/UE, care nu se califică pentru excluderea de la recapitalizarea internă [articolul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(a)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dar pentru care se prevede un tratament preferențial în conformitate cu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Depozite neacoperite și nepreferențiale</w:t>
            </w:r>
          </w:p>
          <w:p w14:paraId="61C7A4A8" w14:textId="65C92477"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Depozitele astfel cum sunt definite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 xml:space="preserve">/UE, care nu sunt eligibile pentru excluderea de la recapitalizarea internă sau pentru tratamentul preferențial în temeiul articolului </w:t>
            </w:r>
            <w:r w:rsidRPr="002A58D3">
              <w:rPr>
                <w:rFonts w:ascii="Times New Roman" w:hAnsi="Times New Roman"/>
                <w:color w:val="000000" w:themeColor="text1"/>
                <w:sz w:val="20"/>
                <w:szCs w:val="20"/>
              </w:rPr>
              <w:t>44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litera (a) sau al articolului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din Directiva</w:t>
            </w:r>
            <w:r w:rsidR="001B4859">
              <w:rPr>
                <w:rFonts w:ascii="Times New Roman" w:hAnsi="Times New Roman"/>
                <w:color w:val="000000" w:themeColor="text1"/>
                <w:sz w:val="20"/>
                <w:szCs w:val="20"/>
              </w:rPr>
              <w:t> </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înscrise în bilanț care provin din instrumente financiare derivate</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Valoarea contabilă a datoriilor care provin din instrumente financiare derivate.</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pozițiilor nete debitoare, luând în considerare seturile de compensare contractuală, după ajustările de marcare la piață, înainte de compensarea garanțiilor reale</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În mod implicit, suma tuturor valorilor de piață nete ale pasivelor care provin din instrumente financiare derivate pentru fiecare set de compensare contractuală. Se raportează setul de compensare numai în cazul în care valoarea netă de piață a unui set de compensare este o datorie. Instrumentele financiare derivate care nu fac obiectul acordurilor de compensare sunt tratate ca un singur contract, cu alte cuvinte, ca și cum ar fi vorba de un set de compensare cu un singur instrument financiar derivat.</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pozițiilor nete debitoare, luând în considerare seturile de compensare contractuală, după ajustările de marcare la piață, ulterior compensării garanțiilor reale</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Valoarea din rândul </w:t>
            </w:r>
            <w:r w:rsidRPr="002A58D3">
              <w:rPr>
                <w:rFonts w:ascii="Times New Roman" w:hAnsi="Times New Roman"/>
                <w:color w:val="000000" w:themeColor="text1"/>
                <w:sz w:val="20"/>
                <w:szCs w:val="20"/>
              </w:rPr>
              <w:t>0331</w:t>
            </w:r>
            <w:r>
              <w:rPr>
                <w:rFonts w:ascii="Times New Roman" w:hAnsi="Times New Roman"/>
                <w:color w:val="000000" w:themeColor="text1"/>
                <w:sz w:val="20"/>
                <w:szCs w:val="20"/>
              </w:rPr>
              <w:t xml:space="preserve"> face obiectul unei ajustări pentru garanțiile reale constituite pentru a garanta această expunere, obținându-se astfel suma acestor valori de piață nete după compensarea garanțiilor reale, la valoarea de piață a acestora.</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pozițiilor nete debitoare, luând în considerare seturile de compensare contractuală, după ajustările de marcare la piață, ulterior compensării garanțiilor reale și încorporând valorile de închidere estimate</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conformitate cu Regulamentul delegat </w:t>
            </w:r>
            <w:r w:rsidRPr="002A58D3">
              <w:rPr>
                <w:rFonts w:ascii="Times New Roman" w:hAnsi="Times New Roman"/>
                <w:color w:val="000000" w:themeColor="text1"/>
                <w:sz w:val="20"/>
                <w:szCs w:val="20"/>
              </w:rPr>
              <w:t>2016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1401</w:t>
            </w:r>
            <w:r>
              <w:rPr>
                <w:rFonts w:ascii="Times New Roman" w:hAnsi="Times New Roman"/>
                <w:color w:val="000000" w:themeColor="text1"/>
                <w:sz w:val="20"/>
                <w:szCs w:val="20"/>
              </w:rPr>
              <w:t xml:space="preserve"> al Comisiei</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o valoare de închidere suplimentară care acoperă cuantumul pierderilor, al costurilor suportate de către contrapărțile la contractele derivate sau al câștigurilor realizate de acestea prin înlocuirea sau obținerea echivalentului economic al principalelor condiții ale contractelor și al drepturilor de opțiune ale părților în ceea ce privește contractele reziliate.</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Estimările necesare pentru determinarea unei valori de închidere în conformitate cu regulamentul delegat respectiv se pot dovedi a fi destul de dificile pe plan individual. Prin urmare, în locul acestora pot fi folosite valori aproximative, care se pot baza pe datele disponibile, cum ar fi cerințele prudențiale pentru riscul de piață. În cazul în care se dovedește a fi imposibil să se calculeze valoarea de închidere pentru pasivele care provin din instrumente financiare derivate, cuantumul raportat trebuie să fie egal cu cuantumul raportat în rândul </w:t>
            </w:r>
            <w:r w:rsidRPr="002A58D3">
              <w:rPr>
                <w:rFonts w:ascii="Times New Roman" w:hAnsi="Times New Roman"/>
                <w:color w:val="000000" w:themeColor="text1"/>
                <w:sz w:val="20"/>
                <w:szCs w:val="20"/>
              </w:rPr>
              <w:t>0332</w:t>
            </w:r>
            <w:r>
              <w:rPr>
                <w:rFonts w:ascii="Times New Roman" w:hAnsi="Times New Roman"/>
                <w:color w:val="000000" w:themeColor="text1"/>
                <w:sz w:val="20"/>
                <w:szCs w:val="20"/>
              </w:rPr>
              <w:t>.</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Suma pozițiilor nete debitoare, luând în considerare normele de compensare prudențială</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Se raportează pozițiile nete debitoare pentru instrumentele financiare derivate ținând seama de normele de compensare prudențială prevăzute la articolul </w:t>
            </w:r>
            <w:r w:rsidRPr="002A58D3">
              <w:rPr>
                <w:rFonts w:ascii="Times New Roman" w:hAnsi="Times New Roman"/>
                <w:color w:val="000000" w:themeColor="text1"/>
                <w:sz w:val="20"/>
                <w:szCs w:val="20"/>
              </w:rPr>
              <w:t>429</w:t>
            </w:r>
            <w:r>
              <w:rPr>
                <w:rFonts w:ascii="Times New Roman" w:hAnsi="Times New Roman"/>
                <w:color w:val="000000" w:themeColor="text1"/>
                <w:sz w:val="20"/>
                <w:szCs w:val="20"/>
              </w:rPr>
              <w:t>c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(în legătură cu calcularea indicatorului de măsurare a expunerii totale pentru calcularea indicatorului efectului de levier).</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0340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Obligații garantate</w:t>
            </w:r>
            <w:r>
              <w:rPr>
                <w:rFonts w:ascii="Times New Roman" w:hAnsi="Times New Roman"/>
                <w:b/>
                <w:color w:val="000000" w:themeColor="text1"/>
                <w:sz w:val="20"/>
                <w:szCs w:val="20"/>
              </w:rPr>
              <w:t xml:space="preserve"> neacoperite de garanții reale</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Cuantumul obligațiilor garantate sau al obligațiilor pentru care s-au constituit garanții reale, care depășește valoarea activelor, a gajului, a dreptului de retenție sau a garanției reale care o acoperă. Acest element cuprinde partea «neacoperită de garanții reale» a oricărei datorii garantate cu garanții reale, de exemplu partea neacoperită de garanții reale a </w:t>
            </w:r>
            <w:r>
              <w:rPr>
                <w:rFonts w:ascii="Times New Roman" w:hAnsi="Times New Roman"/>
                <w:bCs/>
                <w:color w:val="000000" w:themeColor="text1"/>
                <w:sz w:val="20"/>
                <w:szCs w:val="20"/>
              </w:rPr>
              <w:t>obligațiunilor garantate sau a operațiunilor repo</w:t>
            </w:r>
            <w:r>
              <w:rPr>
                <w:rFonts w:ascii="Times New Roman" w:hAnsi="Times New Roman"/>
                <w:color w:val="000000" w:themeColor="text1"/>
                <w:sz w:val="20"/>
                <w:szCs w:val="20"/>
              </w:rPr>
              <w:t>.</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Instrumente financiare</w:t>
            </w:r>
            <w:r>
              <w:rPr>
                <w:rFonts w:ascii="Times New Roman" w:hAnsi="Times New Roman"/>
                <w:b/>
                <w:color w:val="000000" w:themeColor="text1"/>
                <w:sz w:val="20"/>
                <w:szCs w:val="20"/>
              </w:rPr>
              <w:t xml:space="preserve"> structurate</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Instrumentele financiare structurate sunt specificate în acest scop ca titluri de creanță care conțin un element derivat integrat, cu randamente legate de un activ suport sau de un indice suport (public sau personalizat, cum ar fi acțiunile sau obligațiunile, ratele de venit fix sau creditele fixe, cursul de schimb, mărfurile etc.). Instrumentele financiare structurate nu includ instrumentele de datorie care conțin doar opțiuni «call» sau «put», adică valoarea instrumentului nu depinde de niciun element derivat integrat.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0360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Datorii cu rang prioritar negarantate</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Sunt incluse toate instrumentele cu rang prioritar negarantate care nu sunt incluse în categoria instrumentelor financiare structurate.</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0365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Datorii cu rang prioritar neprivilegiate</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Cuantumul oricăreia dintre următoarele datorii:</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creanțele negarantate rezultate din instrumente de datorie care îndeplinesc condițiile prevăzute la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literele (a), (b) și (c) și la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creanțele negarantate rezultate din instrumente de datorie, menționate la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primul paragraf litera (b)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w:t>
            </w:r>
          </w:p>
          <w:p w14:paraId="4F6E4EB0" w14:textId="631F6BDA" w:rsidR="000B7DC6" w:rsidRPr="00D92B3C" w:rsidRDefault="004660C7" w:rsidP="001B4859">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instrumentele de datorie cu cel mai scăzut rang de prioritate dintre creanțele negarantate obișnuite rezultate din instrumente de datorie, menționate la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pentru care un stat membru a prevăzut, în conformitate cu alineatul respectiv, să aibă același rang precum cel al creanțelor care îndeplinesc condițiile prevăzute la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literele (a), (b) și (c) și la articolul </w:t>
            </w:r>
            <w:r w:rsidRPr="002A58D3">
              <w:rPr>
                <w:rFonts w:ascii="Times New Roman" w:hAnsi="Times New Roman"/>
                <w:color w:val="000000" w:themeColor="text1"/>
                <w:sz w:val="20"/>
                <w:szCs w:val="20"/>
              </w:rPr>
              <w:t>108</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din Directiva</w:t>
            </w:r>
            <w:r w:rsidR="001B4859">
              <w:rPr>
                <w:rFonts w:ascii="Times New Roman" w:hAnsi="Times New Roman"/>
                <w:color w:val="000000" w:themeColor="text1"/>
                <w:sz w:val="20"/>
                <w:szCs w:val="20"/>
              </w:rPr>
              <w:t>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0370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Datorii </w:t>
            </w:r>
            <w:r>
              <w:rPr>
                <w:rFonts w:ascii="Times New Roman" w:hAnsi="Times New Roman"/>
                <w:b/>
                <w:color w:val="000000" w:themeColor="text1"/>
                <w:sz w:val="20"/>
                <w:szCs w:val="20"/>
              </w:rPr>
              <w:t>subordonate</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Datorii care vor fi rambursate în temeiul legislației naționale în materie de insolvență doar după rambursarea integrală a tuturor categoriilor de creditori chirografari și de creditori cu rang prioritar neprivilegiați. Acestea includ datoriile subordonate atât de natură contractuală, cât și de natură statutară. În cazul societăților holding, titlurile de creanță nesubordonate pot fi, de asemenea, raportate în această categorie (de exemplu, subordonarea structurală).</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includ în această categorie numai instrumentele subordonate care nu sunt recunoscute drept fonduri proprii.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Acest rând include, de asemenea, partea datoriilor subordonate care se califică în principiu ca fonduri proprii, dar nu este inclusă în fondurile proprii ca urmare a dispozițiilor privind eliminarea treptată, cum ar fi articolul </w:t>
            </w:r>
            <w:r w:rsidRPr="002A58D3">
              <w:rPr>
                <w:rFonts w:ascii="Times New Roman" w:hAnsi="Times New Roman"/>
                <w:color w:val="000000" w:themeColor="text1"/>
                <w:sz w:val="20"/>
                <w:szCs w:val="20"/>
              </w:rPr>
              <w:t>64</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(scadența reziduală) sau partea a zecea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(impactul păstrării drepturilor obținute).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0380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Alte datorii eligibile în ceea ce privește MREL</w:t>
            </w:r>
          </w:p>
          <w:p w14:paraId="087A3314" w14:textId="3C8C9995" w:rsidR="0081175C" w:rsidRPr="00D92B3C" w:rsidRDefault="0081175C" w:rsidP="001B485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Orice instrument care este eligibil pentru îndeplinirea cerinței prevăzute la articolul </w:t>
            </w:r>
            <w:r w:rsidRPr="002A58D3">
              <w:rPr>
                <w:rFonts w:ascii="Times New Roman" w:hAnsi="Times New Roman"/>
                <w:color w:val="000000" w:themeColor="text1"/>
                <w:sz w:val="20"/>
                <w:szCs w:val="20"/>
              </w:rPr>
              <w:t>45</w:t>
            </w:r>
            <w:r>
              <w:rPr>
                <w:rFonts w:ascii="Times New Roman" w:hAnsi="Times New Roman"/>
                <w:color w:val="000000" w:themeColor="text1"/>
                <w:sz w:val="20"/>
                <w:szCs w:val="20"/>
              </w:rPr>
              <w:t xml:space="preserve"> din Directiva</w:t>
            </w:r>
            <w:r w:rsidR="001B4859">
              <w:rPr>
                <w:rFonts w:ascii="Times New Roman" w:hAnsi="Times New Roman"/>
                <w:color w:val="000000" w:themeColor="text1"/>
                <w:sz w:val="20"/>
                <w:szCs w:val="20"/>
              </w:rPr>
              <w:t>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 xml:space="preserve">/UE, dar nu este inclus în rândurile </w:t>
            </w:r>
            <w:r w:rsidRPr="002A58D3">
              <w:rPr>
                <w:rFonts w:ascii="Times New Roman" w:hAnsi="Times New Roman"/>
                <w:color w:val="000000" w:themeColor="text1"/>
                <w:sz w:val="20"/>
                <w:szCs w:val="20"/>
              </w:rPr>
              <w:t>0320</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0340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0370</w:t>
            </w:r>
            <w:r>
              <w:rPr>
                <w:rFonts w:ascii="Times New Roman" w:hAnsi="Times New Roman"/>
                <w:color w:val="000000" w:themeColor="text1"/>
                <w:sz w:val="20"/>
                <w:szCs w:val="20"/>
              </w:rPr>
              <w:t>.</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Datorii nefinanciare</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Acest rând conține datoriile nefinanciare care nu sunt legate de instrumente de datorie ale căror titulari pot beneficia de recapitalizare internă din motive practice, cum ar fi dispoziții referitoare la litigii care vizează entitatea.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Datorii</w:t>
            </w:r>
            <w:r>
              <w:rPr>
                <w:rFonts w:ascii="Times New Roman" w:hAnsi="Times New Roman"/>
                <w:b/>
                <w:color w:val="000000" w:themeColor="text1"/>
                <w:sz w:val="20"/>
                <w:szCs w:val="20"/>
              </w:rPr>
              <w:t xml:space="preserve"> reziduale</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Toate datoriile care nu sunt raportate la rândurile </w:t>
            </w:r>
            <w:r w:rsidRPr="002A58D3">
              <w:rPr>
                <w:rFonts w:ascii="Times New Roman" w:hAnsi="Times New Roman"/>
                <w:color w:val="000000" w:themeColor="text1"/>
                <w:sz w:val="20"/>
                <w:szCs w:val="20"/>
              </w:rPr>
              <w:t>0100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0390</w:t>
            </w:r>
            <w:r>
              <w:rPr>
                <w:rFonts w:ascii="Times New Roman" w:hAnsi="Times New Roman"/>
                <w:color w:val="000000" w:themeColor="text1"/>
                <w:sz w:val="20"/>
                <w:szCs w:val="20"/>
              </w:rPr>
              <w:t xml:space="preserve">.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Fonduri </w:t>
            </w:r>
            <w:r>
              <w:rPr>
                <w:rFonts w:ascii="Times New Roman" w:hAnsi="Times New Roman"/>
                <w:b/>
                <w:bCs/>
                <w:color w:val="000000" w:themeColor="text1"/>
                <w:sz w:val="20"/>
                <w:szCs w:val="20"/>
              </w:rPr>
              <w:t>proprii</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118</w:t>
            </w:r>
            <w:r>
              <w:rPr>
                <w:rFonts w:ascii="Times New Roman" w:hAnsi="Times New Roman"/>
                <w:color w:val="000000" w:themeColor="text1"/>
                <w:sz w:val="20"/>
                <w:szCs w:val="20"/>
              </w:rPr>
              <w:t xml:space="preserve"> și articolul </w:t>
            </w:r>
            <w:r w:rsidRPr="002A58D3">
              <w:rPr>
                <w:rFonts w:ascii="Times New Roman" w:hAnsi="Times New Roman"/>
                <w:color w:val="000000" w:themeColor="text1"/>
                <w:sz w:val="20"/>
                <w:szCs w:val="20"/>
              </w:rPr>
              <w:t>72</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Aceeași definiție ca COREP (OF): {C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Fonduri proprii de nivel </w:t>
            </w:r>
            <w:r w:rsidRPr="002A58D3">
              <w:rPr>
                <w:rFonts w:ascii="Times New Roman" w:hAnsi="Times New Roman"/>
                <w:b/>
                <w:bCs/>
                <w:color w:val="000000" w:themeColor="text1"/>
                <w:sz w:val="20"/>
                <w:szCs w:val="20"/>
              </w:rPr>
              <w:t>1</w:t>
            </w:r>
            <w:r>
              <w:rPr>
                <w:rFonts w:ascii="Times New Roman" w:hAnsi="Times New Roman"/>
                <w:b/>
                <w:color w:val="000000" w:themeColor="text1"/>
                <w:sz w:val="20"/>
                <w:szCs w:val="20"/>
              </w:rPr>
              <w:t xml:space="preserve"> de bază</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50</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Aceeași definiție ca COREP (OF): {C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Din care: instrumente de capital/capital social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Instrumentele juridice care constituie (o parte din)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 sub formă de instrumente de capital/capital social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Din</w:t>
            </w:r>
            <w:r>
              <w:rPr>
                <w:rFonts w:ascii="Times New Roman" w:hAnsi="Times New Roman"/>
                <w:b/>
                <w:color w:val="000000" w:themeColor="text1"/>
                <w:sz w:val="20"/>
                <w:szCs w:val="20"/>
              </w:rPr>
              <w:t xml:space="preserve"> care</w:t>
            </w:r>
            <w:r>
              <w:rPr>
                <w:rFonts w:ascii="Times New Roman" w:hAnsi="Times New Roman"/>
                <w:b/>
                <w:bCs/>
                <w:color w:val="000000" w:themeColor="text1"/>
                <w:sz w:val="20"/>
                <w:szCs w:val="20"/>
              </w:rPr>
              <w:t>: instrumente de rang egal cu acțiunile ordinare</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Instrumentele juridice care constituie (o parte din)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 sub formă de instrumente, altele decât instrumentele de capital/capitalul social, dar de rang egal cu această categorie</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Fonduri proprii de nivel </w:t>
            </w:r>
            <w:r w:rsidRPr="002A58D3">
              <w:rPr>
                <w:rFonts w:ascii="Times New Roman" w:hAnsi="Times New Roman"/>
                <w:b/>
                <w:bCs/>
                <w:color w:val="000000" w:themeColor="text1"/>
                <w:sz w:val="20"/>
                <w:szCs w:val="20"/>
              </w:rPr>
              <w:t>1</w:t>
            </w:r>
            <w:r>
              <w:rPr>
                <w:rFonts w:ascii="Times New Roman" w:hAnsi="Times New Roman"/>
                <w:b/>
                <w:color w:val="000000" w:themeColor="text1"/>
                <w:sz w:val="20"/>
                <w:szCs w:val="20"/>
              </w:rPr>
              <w:t xml:space="preserve"> suplimentar</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61</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Aceeași definiție ca COREP (OF): {C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530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1B4859">
            <w:pPr>
              <w:pStyle w:val="TableParagraph"/>
              <w:keepNext/>
              <w:spacing w:before="106"/>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Din care: (o parte din) datorii(le) subordonate recunoscute drept fonduri proprii</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Instrumentele juridice care constituie (o parte din)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suplimentar.</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Fonduri proprii de </w:t>
            </w:r>
            <w:r>
              <w:rPr>
                <w:rFonts w:ascii="Times New Roman" w:hAnsi="Times New Roman"/>
                <w:b/>
                <w:bCs/>
                <w:color w:val="000000" w:themeColor="text1"/>
                <w:sz w:val="20"/>
                <w:szCs w:val="20"/>
              </w:rPr>
              <w:t xml:space="preserve">nivel </w:t>
            </w:r>
            <w:r w:rsidRPr="002A58D3">
              <w:rPr>
                <w:rFonts w:ascii="Times New Roman" w:hAnsi="Times New Roman"/>
                <w:b/>
                <w:bCs/>
                <w:color w:val="000000" w:themeColor="text1"/>
                <w:sz w:val="20"/>
                <w:szCs w:val="20"/>
              </w:rPr>
              <w:t>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71</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Aceeași definiție ca COREP (OF): {C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Din care: (o parte din) datorii(le) subordonate recunoscute drept fonduri proprii</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Această defalcare identifică instrumentele juridice care constituie (o parte din) fondurile proprii de nivel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Total</w:t>
            </w:r>
            <w:r>
              <w:rPr>
                <w:rFonts w:ascii="Times New Roman" w:hAnsi="Times New Roman"/>
                <w:b/>
                <w:color w:val="000000" w:themeColor="text1"/>
                <w:sz w:val="20"/>
                <w:szCs w:val="20"/>
              </w:rPr>
              <w:t xml:space="preserve"> datorii </w:t>
            </w:r>
            <w:r>
              <w:rPr>
                <w:rFonts w:ascii="Times New Roman" w:hAnsi="Times New Roman"/>
                <w:b/>
                <w:bCs/>
                <w:color w:val="000000" w:themeColor="text1"/>
                <w:sz w:val="20"/>
                <w:szCs w:val="20"/>
              </w:rPr>
              <w:t>și fonduri proprii, inclusiv datorii derivate</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Suma dintre toate datoriile raportate în prezenta machetă și cuantumul fondurilor proprii statutare. În acest scop, se adună toate cuantumurile de la liniile anterioare. În ceea ce privește instrumentele financiare derivate, valoarea care trebuie utilizată este cea din rândul </w:t>
            </w:r>
            <w:r w:rsidRPr="002A58D3">
              <w:rPr>
                <w:rFonts w:ascii="Times New Roman" w:hAnsi="Times New Roman"/>
                <w:color w:val="000000" w:themeColor="text1"/>
                <w:sz w:val="20"/>
                <w:szCs w:val="20"/>
              </w:rPr>
              <w:t>0334</w:t>
            </w:r>
            <w:r>
              <w:rPr>
                <w:rFonts w:ascii="Times New Roman" w:hAnsi="Times New Roman"/>
                <w:color w:val="000000" w:themeColor="text1"/>
                <w:sz w:val="20"/>
                <w:szCs w:val="20"/>
              </w:rPr>
              <w:t xml:space="preserve"> «Suma pozițiilor nete debitoare, luând în considerare normele de compensare prudențială».</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005857"/>
      <w:r>
        <w:rPr>
          <w:rFonts w:ascii="Times New Roman" w:hAnsi="Times New Roman"/>
          <w:szCs w:val="20"/>
        </w:rPr>
        <w:t>Z </w:t>
      </w:r>
      <w:r w:rsidRPr="002A58D3">
        <w:rPr>
          <w:rFonts w:ascii="Times New Roman" w:hAnsi="Times New Roman"/>
          <w:szCs w:val="20"/>
        </w:rPr>
        <w:t>03</w:t>
      </w:r>
      <w:r>
        <w:rPr>
          <w:rFonts w:ascii="Times New Roman" w:hAnsi="Times New Roman"/>
          <w:szCs w:val="20"/>
        </w:rPr>
        <w:t>.</w:t>
      </w:r>
      <w:r w:rsidRPr="002A58D3">
        <w:rPr>
          <w:rFonts w:ascii="Times New Roman" w:hAnsi="Times New Roman"/>
          <w:szCs w:val="20"/>
        </w:rPr>
        <w:t>00</w:t>
      </w:r>
      <w:r>
        <w:rPr>
          <w:rFonts w:ascii="Times New Roman" w:hAnsi="Times New Roman"/>
          <w:szCs w:val="20"/>
        </w:rPr>
        <w:t xml:space="preserve"> – Cerințe de fonduri proprii (OWN)</w:t>
      </w:r>
      <w:bookmarkEnd w:id="14"/>
      <w:bookmarkEnd w:id="15"/>
    </w:p>
    <w:p w14:paraId="1EB4E523" w14:textId="77777777" w:rsidR="00F73F97" w:rsidRPr="00D92B3C" w:rsidRDefault="00F73F97" w:rsidP="00EC261B">
      <w:pPr>
        <w:pStyle w:val="Instructionsberschrift3"/>
      </w:pPr>
      <w:r>
        <w:t>Observații generale</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În această machetă se colectează informații cu privire la cerințele de fonduri proprii pentru o entitate sau un grup.</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Toate informațiile raportate reflectă cerințele de fonduri proprii aplicabile la data de referință a raportării.</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Informațiile privind cerințele pilonului </w:t>
      </w:r>
      <w:r w:rsidRPr="002A58D3">
        <w:rPr>
          <w:rFonts w:ascii="Times New Roman" w:hAnsi="Times New Roman"/>
          <w:sz w:val="20"/>
          <w:szCs w:val="20"/>
        </w:rPr>
        <w:t>2</w:t>
      </w:r>
      <w:r>
        <w:rPr>
          <w:rFonts w:ascii="Times New Roman" w:hAnsi="Times New Roman"/>
          <w:sz w:val="20"/>
          <w:szCs w:val="20"/>
        </w:rPr>
        <w:t xml:space="preserve"> raportate în prezenta machetă se bazează pe cea mai recentă scrisoare SREP oficială disponibilă care a fost comunicată de către autoritatea competentă.</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cazul în care entitatea la care se referă raportul nu face obiectul cerințelor de capital pe bază individuală, aceasta completează numai rândul </w:t>
      </w:r>
      <w:r w:rsidRPr="002A58D3">
        <w:rPr>
          <w:rFonts w:ascii="Times New Roman" w:hAnsi="Times New Roman"/>
          <w:sz w:val="20"/>
          <w:szCs w:val="20"/>
        </w:rPr>
        <w:t>0110</w:t>
      </w:r>
      <w:r>
        <w:rPr>
          <w:rFonts w:ascii="Times New Roman" w:hAnsi="Times New Roman"/>
          <w:sz w:val="20"/>
          <w:szCs w:val="20"/>
        </w:rPr>
        <w:t>.</w:t>
      </w:r>
    </w:p>
    <w:p w14:paraId="4CE17C26" w14:textId="77777777" w:rsidR="00E13CE3" w:rsidRPr="00D92B3C" w:rsidRDefault="00E13CE3" w:rsidP="00EC261B">
      <w:pPr>
        <w:pStyle w:val="Instructionsberschrift3"/>
      </w:pPr>
      <w:r>
        <w:t>Instrucțiuni privind anumite poziții</w:t>
      </w:r>
    </w:p>
    <w:tbl>
      <w:tblPr>
        <w:tblW w:w="0" w:type="auto"/>
        <w:tblCellMar>
          <w:top w:w="57" w:type="dxa"/>
          <w:left w:w="57" w:type="dxa"/>
          <w:bottom w:w="57" w:type="dxa"/>
          <w:right w:w="0" w:type="dxa"/>
        </w:tblCellMar>
        <w:tblLook w:val="01E0" w:firstRow="1" w:lastRow="1" w:firstColumn="1" w:lastColumn="1" w:noHBand="0" w:noVBand="0"/>
      </w:tblPr>
      <w:tblGrid>
        <w:gridCol w:w="745"/>
        <w:gridCol w:w="8281"/>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Rânduri</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Instrucțiuni</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2A58D3">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Cuantumul total al expunerii la risc</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92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A se vedea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Cuantumul total al expunerii la risc, astfel cum este definit pentru COREP (OF): {C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sidRPr="002A58D3">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Contribuția la cuantumul total consolidat al expunerii la risc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se vedea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Acest element este raportat doar pentru entitățile care nu fac obiectul cerințelor de capital pe bază individuală.</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Indicatorul de măsurare a expunerii totale</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429</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0210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Cerințe privind capitalul inițial și indicatorul efectului de levier</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1B4859">
            <w:pPr>
              <w:pStyle w:val="TableParagraph"/>
              <w:keepNext/>
              <w:spacing w:before="106"/>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 inițial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Articolele </w:t>
            </w:r>
            <w:r w:rsidRPr="002A58D3">
              <w:rPr>
                <w:rFonts w:ascii="Times New Roman" w:hAnsi="Times New Roman"/>
                <w:color w:val="000000" w:themeColor="text1"/>
                <w:sz w:val="20"/>
                <w:szCs w:val="20"/>
              </w:rPr>
              <w:t>12</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28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31</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 xml:space="preserve">/UE și articolul </w:t>
            </w:r>
            <w:r w:rsidRPr="002A58D3">
              <w:rPr>
                <w:rFonts w:ascii="Times New Roman" w:hAnsi="Times New Roman"/>
                <w:color w:val="000000" w:themeColor="text1"/>
                <w:sz w:val="20"/>
                <w:szCs w:val="20"/>
              </w:rPr>
              <w:t>93</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Cuantumul capitalului inițial necesar ca o condiție prealabilă pentru autorizarea de începere a activității unei instituții.</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Cerința privind indicatorul efectului de levier</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Cerința privind indicatorul efectului de levier în conformitate cu articolul </w:t>
            </w:r>
            <w:r w:rsidRPr="002A58D3">
              <w:rPr>
                <w:rFonts w:ascii="Times New Roman" w:hAnsi="Times New Roman"/>
                <w:color w:val="000000" w:themeColor="text1"/>
                <w:sz w:val="20"/>
                <w:szCs w:val="20"/>
              </w:rPr>
              <w:t>92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litera (d)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astfel cum este aplicabilă în cazul entității sau grupului, exprimată ca procent din indicatorul de măsurare a expunerii totale. Entitățile raportoare care exclud expunerile față de banca centrală a instituției, astfel cum sunt menționate la articolul </w:t>
            </w:r>
            <w:r w:rsidRPr="002A58D3">
              <w:rPr>
                <w:rFonts w:ascii="Times New Roman" w:hAnsi="Times New Roman"/>
                <w:color w:val="000000" w:themeColor="text1"/>
                <w:sz w:val="20"/>
                <w:szCs w:val="20"/>
              </w:rPr>
              <w:t>429</w:t>
            </w:r>
            <w:r>
              <w:rPr>
                <w:rFonts w:ascii="Times New Roman" w:hAnsi="Times New Roman"/>
                <w:color w:val="000000" w:themeColor="text1"/>
                <w:sz w:val="20"/>
                <w:szCs w:val="20"/>
              </w:rPr>
              <w:t>a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litera (n)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raportează cerința privind indicatorul efectului de levier ajustat în conformitate cu articolul </w:t>
            </w:r>
            <w:r w:rsidRPr="002A58D3">
              <w:rPr>
                <w:rFonts w:ascii="Times New Roman" w:hAnsi="Times New Roman"/>
                <w:color w:val="000000" w:themeColor="text1"/>
                <w:sz w:val="20"/>
                <w:szCs w:val="20"/>
              </w:rPr>
              <w:t>429</w:t>
            </w:r>
            <w:r>
              <w:rPr>
                <w:rFonts w:ascii="Times New Roman" w:hAnsi="Times New Roman"/>
                <w:color w:val="000000" w:themeColor="text1"/>
                <w:sz w:val="20"/>
                <w:szCs w:val="20"/>
              </w:rPr>
              <w:t>a alineatul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din regulamentul respectiv. În cazul în care nu există nicio cerință oficială, entitățile nu completează această celulă.</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Rata cerinței totale de capital SREP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0130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rata fondurilor proprii totale (</w:t>
            </w:r>
            <w:r w:rsidRPr="002A58D3">
              <w:rPr>
                <w:rFonts w:ascii="Times New Roman" w:hAnsi="Times New Roman"/>
                <w:color w:val="000000" w:themeColor="text1"/>
                <w:sz w:val="20"/>
                <w:szCs w:val="20"/>
              </w:rPr>
              <w:t>8</w:t>
            </w:r>
            <w:r>
              <w:rPr>
                <w:rFonts w:ascii="Times New Roman" w:hAnsi="Times New Roman"/>
                <w:color w:val="000000" w:themeColor="text1"/>
                <w:sz w:val="20"/>
                <w:szCs w:val="20"/>
              </w:rPr>
              <w:t xml:space="preserve"> %), astfel cum se specifică la articolul </w:t>
            </w:r>
            <w:r w:rsidRPr="002A58D3">
              <w:rPr>
                <w:rFonts w:ascii="Times New Roman" w:hAnsi="Times New Roman"/>
                <w:color w:val="000000" w:themeColor="text1"/>
                <w:sz w:val="20"/>
                <w:szCs w:val="20"/>
              </w:rPr>
              <w:t>92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litera (c)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cerințelor de fonduri proprii suplimentare (cerințele din cadrul pilonului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R) determinată în conformitate articolul </w:t>
            </w:r>
            <w:r w:rsidRPr="002A58D3">
              <w:rPr>
                <w:rFonts w:ascii="Times New Roman" w:hAnsi="Times New Roman"/>
                <w:color w:val="000000" w:themeColor="text1"/>
                <w:sz w:val="20"/>
                <w:szCs w:val="20"/>
              </w:rPr>
              <w:t>104</w:t>
            </w:r>
            <w:r>
              <w:rPr>
                <w:rFonts w:ascii="Times New Roman" w:hAnsi="Times New Roman"/>
                <w:color w:val="000000" w:themeColor="text1"/>
                <w:sz w:val="20"/>
                <w:szCs w:val="20"/>
              </w:rPr>
              <w:t xml:space="preserve">a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 și cu Ghidul ABE privind procedurile și metodologiile comune pentru procesul de supraveghere și evaluare și pentru simulările de criză de supraveghere – versiune consolidată (EBA/GL/</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13</w:t>
            </w:r>
            <w:r>
              <w:rPr>
                <w:rFonts w:ascii="Times New Roman" w:hAnsi="Times New Roman"/>
                <w:color w:val="000000" w:themeColor="text1"/>
                <w:sz w:val="20"/>
                <w:szCs w:val="20"/>
              </w:rPr>
              <w:t>).</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Acest element reflectă rata cerinței totale de capital SREP (TSCR), astfel cum a fost comunicată instituției de către autoritatea competentă. TSCR este definită în secțiunea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 EBA SREP GL.</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În cazul în care autoritatea competentă nu a comunicat nicio cerință de fonduri proprii suplimentare, se raportează doar punctul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constituită din fonduri proprii de nivel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xml:space="preserve"> de bază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0140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Suma dintre (i) și (ii), după cum urmează:</w:t>
            </w:r>
          </w:p>
          <w:p w14:paraId="4BDE836A" w14:textId="21547283"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 xml:space="preserve">rata fondurilor proprii de nivel </w:t>
            </w:r>
            <w:r w:rsidRPr="002A58D3">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 de bază (</w:t>
            </w:r>
            <w:r w:rsidRPr="002A58D3">
              <w:rPr>
                <w:rFonts w:ascii="Times New Roman" w:hAnsi="Times New Roman"/>
                <w:bCs/>
                <w:color w:val="000000" w:themeColor="text1"/>
                <w:sz w:val="20"/>
                <w:szCs w:val="20"/>
              </w:rPr>
              <w:t>4</w:t>
            </w:r>
            <w:r>
              <w:rPr>
                <w:rFonts w:ascii="Times New Roman" w:hAnsi="Times New Roman"/>
                <w:bCs/>
                <w:color w:val="000000" w:themeColor="text1"/>
                <w:sz w:val="20"/>
                <w:szCs w:val="20"/>
              </w:rPr>
              <w:t>,</w:t>
            </w:r>
            <w:r w:rsidRPr="002A58D3">
              <w:rPr>
                <w:rFonts w:ascii="Times New Roman" w:hAnsi="Times New Roman"/>
                <w:bCs/>
                <w:color w:val="000000" w:themeColor="text1"/>
                <w:sz w:val="20"/>
                <w:szCs w:val="20"/>
              </w:rPr>
              <w:t>5</w:t>
            </w:r>
            <w:r>
              <w:rPr>
                <w:rFonts w:ascii="Times New Roman" w:hAnsi="Times New Roman"/>
                <w:bCs/>
                <w:color w:val="000000" w:themeColor="text1"/>
                <w:sz w:val="20"/>
                <w:szCs w:val="20"/>
              </w:rPr>
              <w:t xml:space="preserve"> %), astfel cum se specifică la articolul </w:t>
            </w:r>
            <w:r w:rsidRPr="002A58D3">
              <w:rPr>
                <w:rFonts w:ascii="Times New Roman" w:hAnsi="Times New Roman"/>
                <w:bCs/>
                <w:color w:val="000000" w:themeColor="text1"/>
                <w:sz w:val="20"/>
                <w:szCs w:val="20"/>
              </w:rPr>
              <w:t>92</w:t>
            </w:r>
            <w:r>
              <w:rPr>
                <w:rFonts w:ascii="Times New Roman" w:hAnsi="Times New Roman"/>
                <w:bCs/>
                <w:color w:val="000000" w:themeColor="text1"/>
                <w:sz w:val="20"/>
                <w:szCs w:val="20"/>
              </w:rPr>
              <w:t xml:space="preserve"> alineatul</w:t>
            </w:r>
            <w:r w:rsidR="001B4859">
              <w:rPr>
                <w:rFonts w:ascii="Times New Roman" w:hAnsi="Times New Roman"/>
                <w:bCs/>
                <w:color w:val="000000" w:themeColor="text1"/>
                <w:sz w:val="20"/>
                <w:szCs w:val="20"/>
              </w:rPr>
              <w:t> </w:t>
            </w:r>
            <w:r>
              <w:rPr>
                <w:rFonts w:ascii="Times New Roman" w:hAnsi="Times New Roman"/>
                <w:bCs/>
                <w:color w:val="000000" w:themeColor="text1"/>
                <w:sz w:val="20"/>
                <w:szCs w:val="20"/>
              </w:rPr>
              <w:t>(</w:t>
            </w:r>
            <w:r w:rsidRPr="002A58D3">
              <w:rPr>
                <w:rFonts w:ascii="Times New Roman" w:hAnsi="Times New Roman"/>
                <w:bCs/>
                <w:color w:val="000000" w:themeColor="text1"/>
                <w:sz w:val="20"/>
                <w:szCs w:val="20"/>
              </w:rPr>
              <w:t>1</w:t>
            </w:r>
            <w:r>
              <w:rPr>
                <w:rFonts w:ascii="Times New Roman" w:hAnsi="Times New Roman"/>
                <w:bCs/>
                <w:color w:val="000000" w:themeColor="text1"/>
                <w:sz w:val="20"/>
                <w:szCs w:val="20"/>
              </w:rPr>
              <w:t>) litera (a) din Regulamentul (UE) nr. </w:t>
            </w:r>
            <w:r w:rsidRPr="002A58D3">
              <w:rPr>
                <w:rFonts w:ascii="Times New Roman" w:hAnsi="Times New Roman"/>
                <w:bCs/>
                <w:color w:val="000000" w:themeColor="text1"/>
                <w:sz w:val="20"/>
                <w:szCs w:val="20"/>
              </w:rPr>
              <w:t>575</w:t>
            </w:r>
            <w:r>
              <w:rPr>
                <w:rFonts w:ascii="Times New Roman" w:hAnsi="Times New Roman"/>
                <w:bCs/>
                <w:color w:val="000000" w:themeColor="text1"/>
                <w:sz w:val="20"/>
                <w:szCs w:val="20"/>
              </w:rPr>
              <w:t>/</w:t>
            </w:r>
            <w:r w:rsidRPr="002A58D3">
              <w:rPr>
                <w:rFonts w:ascii="Times New Roman" w:hAnsi="Times New Roman"/>
                <w:bCs/>
                <w:color w:val="000000" w:themeColor="text1"/>
                <w:sz w:val="20"/>
                <w:szCs w:val="20"/>
              </w:rPr>
              <w:t>2013</w:t>
            </w:r>
            <w:r>
              <w:rPr>
                <w:rFonts w:ascii="Times New Roman" w:hAnsi="Times New Roman"/>
                <w:bCs/>
                <w:color w:val="000000" w:themeColor="text1"/>
                <w:sz w:val="20"/>
                <w:szCs w:val="20"/>
              </w:rPr>
              <w:t>;</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partea din rata P</w:t>
            </w:r>
            <w:r w:rsidRPr="002A58D3">
              <w:rPr>
                <w:rFonts w:ascii="Times New Roman" w:hAnsi="Times New Roman"/>
                <w:bCs/>
                <w:color w:val="000000" w:themeColor="text1"/>
                <w:sz w:val="20"/>
                <w:szCs w:val="20"/>
              </w:rPr>
              <w:t>2</w:t>
            </w:r>
            <w:r>
              <w:rPr>
                <w:rFonts w:ascii="Times New Roman" w:hAnsi="Times New Roman"/>
                <w:bCs/>
                <w:color w:val="000000" w:themeColor="text1"/>
                <w:sz w:val="20"/>
                <w:szCs w:val="20"/>
              </w:rPr>
              <w:t xml:space="preserve">R, menționată la punctul (ii) de la rândul </w:t>
            </w:r>
            <w:r w:rsidRPr="002A58D3">
              <w:rPr>
                <w:rFonts w:ascii="Times New Roman" w:hAnsi="Times New Roman"/>
                <w:bCs/>
                <w:color w:val="000000" w:themeColor="text1"/>
                <w:sz w:val="20"/>
                <w:szCs w:val="20"/>
              </w:rPr>
              <w:t>0300</w:t>
            </w:r>
            <w:r>
              <w:rPr>
                <w:rFonts w:ascii="Times New Roman" w:hAnsi="Times New Roman"/>
                <w:bCs/>
                <w:color w:val="000000" w:themeColor="text1"/>
                <w:sz w:val="20"/>
                <w:szCs w:val="20"/>
              </w:rPr>
              <w:t xml:space="preserve">, în privința căreia autoritatea competentă impune să fie deținută sub formă de fonduri proprii de nivel </w:t>
            </w:r>
            <w:r w:rsidRPr="002A58D3">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 de bază.</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 xml:space="preserve">În cazul în care autoritatea competentă nu a comunicat nicio cerință de fonduri proprii suplimentare, care să fie deținute sub formă de fonduri proprii de nivel </w:t>
            </w:r>
            <w:r w:rsidRPr="002A58D3">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 de bază, se raportează doar punctul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TSCR: constituită din fonduri proprii de nivel </w:t>
            </w:r>
            <w:r w:rsidRPr="002A58D3">
              <w:rPr>
                <w:rStyle w:val="InstructionsTabelleberschrift"/>
                <w:rFonts w:ascii="Times New Roman" w:hAnsi="Times New Roman"/>
                <w:color w:val="000000" w:themeColor="text1"/>
                <w:szCs w:val="20"/>
                <w:u w:val="none"/>
              </w:rPr>
              <w:t>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fondurilor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 astfel cum </w:t>
            </w:r>
            <w:r>
              <w:rPr>
                <w:rFonts w:ascii="Times New Roman" w:hAnsi="Times New Roman"/>
                <w:bCs/>
                <w:color w:val="000000" w:themeColor="text1"/>
                <w:sz w:val="20"/>
                <w:szCs w:val="20"/>
              </w:rPr>
              <w:t>se specifică</w:t>
            </w:r>
            <w:r>
              <w:rPr>
                <w:rFonts w:ascii="Times New Roman" w:hAnsi="Times New Roman"/>
                <w:color w:val="000000" w:themeColor="text1"/>
                <w:sz w:val="20"/>
                <w:szCs w:val="20"/>
              </w:rPr>
              <w:t xml:space="preserve"> la articolul </w:t>
            </w:r>
            <w:r w:rsidRPr="002A58D3">
              <w:rPr>
                <w:rFonts w:ascii="Times New Roman" w:hAnsi="Times New Roman"/>
                <w:color w:val="000000" w:themeColor="text1"/>
                <w:sz w:val="20"/>
                <w:szCs w:val="20"/>
              </w:rPr>
              <w:t>92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litera (b)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partea din rata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R, menționată la punctul (ii) de la rândul </w:t>
            </w:r>
            <w:r w:rsidRPr="002A58D3">
              <w:rPr>
                <w:rFonts w:ascii="Times New Roman" w:hAnsi="Times New Roman"/>
                <w:color w:val="000000" w:themeColor="text1"/>
                <w:sz w:val="20"/>
                <w:szCs w:val="20"/>
              </w:rPr>
              <w:t>0300</w:t>
            </w:r>
            <w:r>
              <w:rPr>
                <w:rFonts w:ascii="Times New Roman" w:hAnsi="Times New Roman"/>
                <w:color w:val="000000" w:themeColor="text1"/>
                <w:sz w:val="20"/>
                <w:szCs w:val="20"/>
              </w:rPr>
              <w:t xml:space="preserve">, în privința căreia autoritatea competentă impune să fie deținută sub formă de 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În cazul în care autoritatea competentă nu a comunicat nicio cerință de fonduri proprii suplimentare, care să fie deținute sub formă de 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se raportează doar punctul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Cerințe pentru amortizorul combinat</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0740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Amortizorul de conservare a capitalului</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și articolul </w:t>
            </w:r>
            <w:r w:rsidRPr="002A58D3">
              <w:rPr>
                <w:rFonts w:ascii="Times New Roman" w:hAnsi="Times New Roman"/>
                <w:color w:val="000000" w:themeColor="text1"/>
                <w:sz w:val="20"/>
                <w:szCs w:val="20"/>
              </w:rPr>
              <w:t>129</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conformitate cu articolul </w:t>
            </w:r>
            <w:r w:rsidRPr="002A58D3">
              <w:rPr>
                <w:rFonts w:ascii="Times New Roman" w:hAnsi="Times New Roman"/>
                <w:color w:val="000000" w:themeColor="text1"/>
                <w:sz w:val="20"/>
                <w:szCs w:val="20"/>
              </w:rPr>
              <w:t>129</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din directiva respectivă, amortizorul de conservare a capitalului este un cuantum suplimentar de 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 Datorită faptului că rata de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 a amortizorului de conservare a capitalului este stabilă, în această celulă trebuie raportat un cuantum.</w:t>
            </w:r>
          </w:p>
          <w:p w14:paraId="09409E4E" w14:textId="77777777" w:rsidR="00046CD0" w:rsidRPr="00D1040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fr-BE"/>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Amortizorul de conservare aferent riscului macroprudențial sau sistemic identificat la nivelul unui stat membru</w:t>
            </w:r>
          </w:p>
          <w:p w14:paraId="76B66FEC" w14:textId="77777777" w:rsidR="005337DD" w:rsidRPr="00D1040F" w:rsidRDefault="005337DD" w:rsidP="00B525EC">
            <w:pPr>
              <w:rPr>
                <w:rStyle w:val="InstructionsTabelleberschrift"/>
                <w:rFonts w:ascii="Times New Roman" w:hAnsi="Times New Roman"/>
                <w:color w:val="000000" w:themeColor="text1"/>
                <w:szCs w:val="20"/>
                <w:u w:val="none"/>
                <w:lang w:val="fr-B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 xml:space="preserve">Articolul </w:t>
            </w:r>
            <w:r w:rsidRPr="002A58D3">
              <w:rPr>
                <w:rStyle w:val="InstructionsTabelleberschrift"/>
                <w:rFonts w:ascii="Times New Roman" w:hAnsi="Times New Roman"/>
                <w:b w:val="0"/>
                <w:color w:val="000000" w:themeColor="text1"/>
                <w:szCs w:val="20"/>
                <w:u w:val="none"/>
              </w:rPr>
              <w:t>458</w:t>
            </w:r>
            <w:r>
              <w:rPr>
                <w:rStyle w:val="InstructionsTabelleberschrift"/>
                <w:rFonts w:ascii="Times New Roman" w:hAnsi="Times New Roman"/>
                <w:b w:val="0"/>
                <w:color w:val="000000" w:themeColor="text1"/>
                <w:szCs w:val="20"/>
                <w:u w:val="none"/>
              </w:rPr>
              <w:t xml:space="preserve"> alineatul (</w:t>
            </w:r>
            <w:r w:rsidRPr="002A58D3">
              <w:rPr>
                <w:rStyle w:val="InstructionsTabelleberschrift"/>
                <w:rFonts w:ascii="Times New Roman" w:hAnsi="Times New Roman"/>
                <w:b w:val="0"/>
                <w:color w:val="000000" w:themeColor="text1"/>
                <w:szCs w:val="20"/>
                <w:u w:val="none"/>
              </w:rPr>
              <w:t>2</w:t>
            </w:r>
            <w:r>
              <w:rPr>
                <w:rStyle w:val="InstructionsTabelleberschrift"/>
                <w:rFonts w:ascii="Times New Roman" w:hAnsi="Times New Roman"/>
                <w:b w:val="0"/>
                <w:color w:val="000000" w:themeColor="text1"/>
                <w:szCs w:val="20"/>
                <w:u w:val="none"/>
              </w:rPr>
              <w:t>) litera (d) punctul (iv) din Regulamentul (UE) nr. </w:t>
            </w:r>
            <w:r w:rsidRPr="002A58D3">
              <w:rPr>
                <w:rStyle w:val="InstructionsTabelleberschrift"/>
                <w:rFonts w:ascii="Times New Roman" w:hAnsi="Times New Roman"/>
                <w:b w:val="0"/>
                <w:color w:val="000000" w:themeColor="text1"/>
                <w:szCs w:val="20"/>
                <w:u w:val="none"/>
              </w:rPr>
              <w:t>575</w:t>
            </w:r>
            <w:r>
              <w:rPr>
                <w:rStyle w:val="InstructionsTabelleberschrift"/>
                <w:rFonts w:ascii="Times New Roman" w:hAnsi="Times New Roman"/>
                <w:b w:val="0"/>
                <w:color w:val="000000" w:themeColor="text1"/>
                <w:szCs w:val="20"/>
                <w:u w:val="none"/>
              </w:rPr>
              <w:t>/</w:t>
            </w:r>
            <w:r w:rsidRPr="002A58D3">
              <w:rPr>
                <w:rStyle w:val="InstructionsTabelleberschrift"/>
                <w:rFonts w:ascii="Times New Roman" w:hAnsi="Times New Roman"/>
                <w:b w:val="0"/>
                <w:color w:val="000000" w:themeColor="text1"/>
                <w:szCs w:val="20"/>
                <w:u w:val="none"/>
              </w:rPr>
              <w:t>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760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În această celulă se raportează cuantumul amortizorului de conservare aferent riscului macroprudențial sau sistemic identificat la nivelul unui stat membru, care poate fi impus în temeiul articolului </w:t>
            </w:r>
            <w:r w:rsidRPr="002A58D3">
              <w:rPr>
                <w:rFonts w:ascii="Times New Roman" w:hAnsi="Times New Roman"/>
                <w:color w:val="000000" w:themeColor="text1"/>
                <w:sz w:val="20"/>
                <w:szCs w:val="20"/>
              </w:rPr>
              <w:t>458</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în plus față de amortizorul de conservare a capitalului.</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Cuantumul raportat reprezintă cuantumul fondurilor proprii necesare pentru îndeplinirea cerințelor respective privind amortizorul de capital la data de raportare.</w:t>
            </w:r>
          </w:p>
          <w:p w14:paraId="30AC9E9B"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Amortizorul anticiclic de capital specific instituției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și articolele </w:t>
            </w:r>
            <w:r w:rsidRPr="002A58D3">
              <w:rPr>
                <w:rFonts w:ascii="Times New Roman" w:hAnsi="Times New Roman"/>
                <w:color w:val="000000" w:themeColor="text1"/>
                <w:sz w:val="20"/>
                <w:szCs w:val="20"/>
              </w:rPr>
              <w:t>130</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135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140</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770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raportat reprezintă cuantumul fondurilor proprii necesare pentru îndeplinirea cerințelor respective privind amortizorul de capital la data de raportare.</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Amortizorul de risc sistemic</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și articolele </w:t>
            </w:r>
            <w:r w:rsidRPr="002A58D3">
              <w:rPr>
                <w:rFonts w:ascii="Times New Roman" w:hAnsi="Times New Roman"/>
                <w:color w:val="000000" w:themeColor="text1"/>
                <w:sz w:val="20"/>
                <w:szCs w:val="20"/>
              </w:rPr>
              <w:t>133</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134</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780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raportat reprezintă cuantumul fondurilor proprii necesare pentru îndeplinirea cerințelor respective privind amortizorul de capital la data de raportare.</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Amortizorul instituțiilor de importanță sistemică globală</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și articolul </w:t>
            </w:r>
            <w:r w:rsidRPr="002A58D3">
              <w:rPr>
                <w:rFonts w:ascii="Times New Roman" w:hAnsi="Times New Roman"/>
                <w:color w:val="000000" w:themeColor="text1"/>
                <w:sz w:val="20"/>
                <w:szCs w:val="20"/>
              </w:rPr>
              <w:t>131</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800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raportat reprezintă cuantumul fondurilor proprii necesare pentru îndeplinirea cerințelor respective privind amortizorul de capital la data de raportare.</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Amortizorul altor instituții de importanță sistemică</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și articolul </w:t>
            </w:r>
            <w:r w:rsidRPr="002A58D3">
              <w:rPr>
                <w:rFonts w:ascii="Times New Roman" w:hAnsi="Times New Roman"/>
                <w:color w:val="000000" w:themeColor="text1"/>
                <w:sz w:val="20"/>
                <w:szCs w:val="20"/>
              </w:rPr>
              <w:t>131</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810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raportat reprezintă cuantumul fondurilor proprii necesare pentru îndeplinirea cerințelor respective privind amortizorul de capital la data de raportare.</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B4859">
            <w:pPr>
              <w:pStyle w:val="TableParagraph"/>
              <w:keepNext/>
              <w:spacing w:before="106"/>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Rata cerinței de capital generale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160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TSCR menționată la rândul </w:t>
            </w:r>
            <w:r w:rsidRPr="002A58D3">
              <w:rPr>
                <w:rFonts w:ascii="Times New Roman" w:hAnsi="Times New Roman"/>
                <w:color w:val="000000" w:themeColor="text1"/>
                <w:sz w:val="20"/>
                <w:szCs w:val="20"/>
              </w:rPr>
              <w:t>0300</w:t>
            </w:r>
            <w:r>
              <w:rPr>
                <w:rFonts w:ascii="Times New Roman" w:hAnsi="Times New Roman"/>
                <w:color w:val="000000" w:themeColor="text1"/>
                <w:sz w:val="20"/>
                <w:szCs w:val="20"/>
              </w:rPr>
              <w:t>;</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în măsura în care aceasta este aplicabilă în conformitate cu legea, rata cerinței pentru amortizorul combinat, în sensul articolului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Acest element reflectă rata cerinței de capital generale (OCR), astfel cum este definită în secțiunea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Ghidul EBA SREP.</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În cazul în care nu se aplică nicio cerință privind amortizorul, se raportează numai punctul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066DFFBE"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constituită din fonduri proprii de nivel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xml:space="preserve"> de bază</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170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TSCR constituită din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 menționate la rândul </w:t>
            </w:r>
            <w:r w:rsidRPr="002A58D3">
              <w:rPr>
                <w:rFonts w:ascii="Times New Roman" w:hAnsi="Times New Roman"/>
                <w:color w:val="000000" w:themeColor="text1"/>
                <w:sz w:val="20"/>
                <w:szCs w:val="20"/>
              </w:rPr>
              <w:t>0310</w:t>
            </w:r>
            <w:r>
              <w:rPr>
                <w:rFonts w:ascii="Times New Roman" w:hAnsi="Times New Roman"/>
                <w:color w:val="000000" w:themeColor="text1"/>
                <w:sz w:val="20"/>
                <w:szCs w:val="20"/>
              </w:rPr>
              <w:t>;</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în măsura în care aceasta este aplicabilă în conformitate cu legea, rata cerinței pentru amortizorul combinat, în sensul articolului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În cazul în care nu se aplică nicio cerință privind amortizorul, se raportează numai punctul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941983B"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constituită din fonduri proprii de nivel </w:t>
            </w:r>
            <w:r w:rsidRPr="002A58D3">
              <w:rPr>
                <w:rFonts w:ascii="Times New Roman" w:hAnsi="Times New Roman"/>
                <w:b/>
                <w:bCs/>
                <w:color w:val="000000" w:themeColor="text1"/>
                <w:sz w:val="20"/>
                <w:szCs w:val="20"/>
              </w:rPr>
              <w:t>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180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TSCR constituită din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menționate la rândul </w:t>
            </w:r>
            <w:r w:rsidRPr="002A58D3">
              <w:rPr>
                <w:rFonts w:ascii="Times New Roman" w:hAnsi="Times New Roman"/>
                <w:color w:val="000000" w:themeColor="text1"/>
                <w:sz w:val="20"/>
                <w:szCs w:val="20"/>
              </w:rPr>
              <w:t>0320</w:t>
            </w:r>
            <w:r>
              <w:rPr>
                <w:rFonts w:ascii="Times New Roman" w:hAnsi="Times New Roman"/>
                <w:color w:val="000000" w:themeColor="text1"/>
                <w:sz w:val="20"/>
                <w:szCs w:val="20"/>
              </w:rPr>
              <w:t>;</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în măsura în care aceasta este aplicabilă în conformitate cu legea, rata cerinței pentru amortizorul combinat, în sensul articolului </w:t>
            </w:r>
            <w:r w:rsidRPr="002A58D3">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/UE.</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În cazul în care nu se aplică nicio cerință privind amortizorul, se raportează numai punctul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și orientările aferente pilonului </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xml:space="preserve"> (P</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190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OCR menționată la rândul </w:t>
            </w:r>
            <w:r w:rsidRPr="002A58D3">
              <w:rPr>
                <w:rFonts w:ascii="Times New Roman" w:hAnsi="Times New Roman"/>
                <w:color w:val="000000" w:themeColor="text1"/>
                <w:sz w:val="20"/>
                <w:szCs w:val="20"/>
              </w:rPr>
              <w:t>0500</w:t>
            </w:r>
            <w:r>
              <w:rPr>
                <w:rFonts w:ascii="Times New Roman" w:hAnsi="Times New Roman"/>
                <w:color w:val="000000" w:themeColor="text1"/>
                <w:sz w:val="20"/>
                <w:szCs w:val="20"/>
              </w:rPr>
              <w:t>;</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în cazul în care se aplică, orientările aferente pilonului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astfel cum sunt definite în EBA SREP GL.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se includ doar dacă sunt comunicate instituției de către autoritatea competentă.</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autoritatea competentă nu a comunicat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se raportează doar punctul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constituită din fonduri proprii de nivel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xml:space="preserve"> de bază</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OCR care constă în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 menționate la rândul </w:t>
            </w:r>
            <w:r w:rsidRPr="002A58D3">
              <w:rPr>
                <w:rFonts w:ascii="Times New Roman" w:hAnsi="Times New Roman"/>
                <w:color w:val="000000" w:themeColor="text1"/>
                <w:sz w:val="20"/>
                <w:szCs w:val="20"/>
              </w:rPr>
              <w:t>0510</w:t>
            </w:r>
            <w:r>
              <w:rPr>
                <w:rFonts w:ascii="Times New Roman" w:hAnsi="Times New Roman"/>
                <w:color w:val="000000" w:themeColor="text1"/>
                <w:sz w:val="20"/>
                <w:szCs w:val="20"/>
              </w:rPr>
              <w:t>;</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dacă se aplică, partea din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menționată la punctul (ii) de la rândul </w:t>
            </w:r>
            <w:r w:rsidRPr="002A58D3">
              <w:rPr>
                <w:rFonts w:ascii="Times New Roman" w:hAnsi="Times New Roman"/>
                <w:color w:val="000000" w:themeColor="text1"/>
                <w:sz w:val="20"/>
                <w:szCs w:val="20"/>
              </w:rPr>
              <w:t>0600</w:t>
            </w:r>
            <w:r>
              <w:rPr>
                <w:rFonts w:ascii="Times New Roman" w:hAnsi="Times New Roman"/>
                <w:color w:val="000000" w:themeColor="text1"/>
                <w:sz w:val="20"/>
                <w:szCs w:val="20"/>
              </w:rPr>
              <w:t xml:space="preserve">, pentru care există obligația de deținere sub formă de 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 impusă de autoritatea competentă. Se includ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numai dacă acestea sunt comunicate instituției de către autoritatea competentă.</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autoritatea competentă nu a comunicat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se raportează doar punctul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B4859">
            <w:pPr>
              <w:pStyle w:val="TableParagraph"/>
              <w:keepNext/>
              <w:spacing w:before="106"/>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și P</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xml:space="preserve">G: constituite din fonduri proprii de nivel </w:t>
            </w:r>
            <w:r w:rsidRPr="002A58D3">
              <w:rPr>
                <w:rFonts w:ascii="Times New Roman" w:hAnsi="Times New Roman"/>
                <w:b/>
                <w:bCs/>
                <w:color w:val="000000" w:themeColor="text1"/>
                <w:sz w:val="20"/>
                <w:szCs w:val="20"/>
              </w:rPr>
              <w:t>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dintre (i) și (ii), după cum urmează:</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rata OCR constituită din fondurile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menționate la rândul </w:t>
            </w:r>
            <w:r w:rsidRPr="002A58D3">
              <w:rPr>
                <w:rFonts w:ascii="Times New Roman" w:hAnsi="Times New Roman"/>
                <w:color w:val="000000" w:themeColor="text1"/>
                <w:sz w:val="20"/>
                <w:szCs w:val="20"/>
              </w:rPr>
              <w:t>0520</w:t>
            </w:r>
            <w:r>
              <w:rPr>
                <w:rFonts w:ascii="Times New Roman" w:hAnsi="Times New Roman"/>
                <w:color w:val="000000" w:themeColor="text1"/>
                <w:sz w:val="20"/>
                <w:szCs w:val="20"/>
              </w:rPr>
              <w:t>;</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dacă se aplică, partea din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menționată la punctul (ii) de la rândul </w:t>
            </w:r>
            <w:r w:rsidRPr="002A58D3">
              <w:rPr>
                <w:rFonts w:ascii="Times New Roman" w:hAnsi="Times New Roman"/>
                <w:color w:val="000000" w:themeColor="text1"/>
                <w:sz w:val="20"/>
                <w:szCs w:val="20"/>
              </w:rPr>
              <w:t>600</w:t>
            </w:r>
            <w:r>
              <w:rPr>
                <w:rFonts w:ascii="Times New Roman" w:hAnsi="Times New Roman"/>
                <w:color w:val="000000" w:themeColor="text1"/>
                <w:sz w:val="20"/>
                <w:szCs w:val="20"/>
              </w:rPr>
              <w:t xml:space="preserve">, pentru care există obligația de deținere sub formă de 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impusă de autoritatea competentă. Se includ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numai dacă acestea sunt comunicate instituției de către autoritatea competentă.</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autoritatea competentă nu a comunicat P</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G, se raportează doar punctul (i).</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005858"/>
      <w:r>
        <w:rPr>
          <w:rFonts w:ascii="Times New Roman" w:hAnsi="Times New Roman"/>
          <w:szCs w:val="20"/>
        </w:rPr>
        <w:t>Z </w:t>
      </w:r>
      <w:r w:rsidRPr="002A58D3">
        <w:rPr>
          <w:rFonts w:ascii="Times New Roman" w:hAnsi="Times New Roman"/>
          <w:szCs w:val="20"/>
        </w:rPr>
        <w:t>04</w:t>
      </w:r>
      <w:r>
        <w:rPr>
          <w:rFonts w:ascii="Times New Roman" w:hAnsi="Times New Roman"/>
          <w:szCs w:val="20"/>
        </w:rPr>
        <w:t>.</w:t>
      </w:r>
      <w:r w:rsidRPr="002A58D3">
        <w:rPr>
          <w:rFonts w:ascii="Times New Roman" w:hAnsi="Times New Roman"/>
          <w:szCs w:val="20"/>
        </w:rPr>
        <w:t>00</w:t>
      </w:r>
      <w:r>
        <w:rPr>
          <w:rFonts w:ascii="Times New Roman" w:hAnsi="Times New Roman"/>
          <w:szCs w:val="20"/>
        </w:rPr>
        <w:t xml:space="preserve"> – Interconexiuni financiare în interiorul unui grup (IFC)</w:t>
      </w:r>
      <w:bookmarkEnd w:id="16"/>
      <w:bookmarkEnd w:id="17"/>
    </w:p>
    <w:p w14:paraId="651647D3" w14:textId="77777777" w:rsidR="00E13CE3" w:rsidRPr="00D92B3C" w:rsidRDefault="00AD2380" w:rsidP="00EC261B">
      <w:pPr>
        <w:pStyle w:val="Instructionsberschrift3"/>
      </w:pPr>
      <w:r>
        <w:t>Observații generale</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această machetă se solicită informații privind datoriile intragrup care nu sunt excluse de la recapitalizarea internă, privind instrumentele de capital și garanțiile.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raportează toate interconexiunile financiare dintre entitățile juridice relevante care sunt incluse în situațiile financiare consolidate. Cuantumurile raportate sunt agregate atunci când corespund acelorași contrapărți (atât emitentul sau entitatea garantată, cât și creditorul, deținătorul sau furnizorul garanției) și acelorași tipuri de datorii, de instrumente de capital sau de garanții.</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0020</w:t>
      </w:r>
      <w:r>
        <w:rPr>
          <w:rFonts w:ascii="Times New Roman" w:hAnsi="Times New Roman"/>
          <w:sz w:val="20"/>
          <w:szCs w:val="20"/>
        </w:rPr>
        <w:t xml:space="preserve">, </w:t>
      </w:r>
      <w:r w:rsidRPr="002A58D3">
        <w:rPr>
          <w:rFonts w:ascii="Times New Roman" w:hAnsi="Times New Roman"/>
          <w:sz w:val="20"/>
          <w:szCs w:val="20"/>
        </w:rPr>
        <w:t>0040</w:t>
      </w:r>
      <w:r>
        <w:rPr>
          <w:rFonts w:ascii="Times New Roman" w:hAnsi="Times New Roman"/>
          <w:sz w:val="20"/>
          <w:szCs w:val="20"/>
        </w:rPr>
        <w:t xml:space="preserve"> și </w:t>
      </w:r>
      <w:r w:rsidRPr="002A58D3">
        <w:rPr>
          <w:rFonts w:ascii="Times New Roman" w:hAnsi="Times New Roman"/>
          <w:sz w:val="20"/>
          <w:szCs w:val="20"/>
        </w:rPr>
        <w:t>0050</w:t>
      </w:r>
      <w:r>
        <w:rPr>
          <w:rFonts w:ascii="Times New Roman" w:hAnsi="Times New Roman"/>
          <w:sz w:val="20"/>
          <w:szCs w:val="20"/>
        </w:rPr>
        <w:t xml:space="preserve"> din prezenta machetă constituie o cheie primară care trebuie să fie unică pentru fiecare rând din machetă.</w:t>
      </w:r>
    </w:p>
    <w:p w14:paraId="2B305CA8" w14:textId="77777777" w:rsidR="00E13CE3" w:rsidRPr="00D92B3C" w:rsidRDefault="00E13CE3" w:rsidP="00715DAB">
      <w:pPr>
        <w:pStyle w:val="Instructionsberschrift3"/>
      </w:pPr>
      <w:r>
        <w:t>Instrucțiuni privind anumite poziții</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Coloane</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Instrucțiuni</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Emitentul sau entitatea garantată</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Entitatea juridică care emite datoriile sau instrumentele de capital ori care este entitatea garantată.</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Denumirea entității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Trebuie să fie diferită de cea indicată în coloana </w:t>
            </w: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emitentului sau al beneficiarului garanției. Pentru instituții,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Pentru alte entități,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sau, în cazul în care acesta nu este disponibil, un cod conform unei codificări uniforme aplicabile în Uniune sau, în cazul în care un astfel de cod nu este disponibil, un cod național.</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cod este unic și este utilizat în mod consecvent în toate machetele.</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trebuie să fie diferit de codul indicat în coloana </w:t>
            </w: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Creditorul, deținătorul sau furnizorul garanției</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Entitatea juridică care este creditorul datoriei, care deține instrumentul de capital sau care furnizează garanția.</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Denumirea entității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Trebuie să fie diferită de cea indicată în coloana </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creditorului, al deținătorului sau al furnizorului garanției. Pentru instituții,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Pentru alte entități,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sau, în cazul în care acesta nu este disponibil, un cod conform unei codificări uniforme aplicabile în Uniune sau, în cazul în care un astfel de cod nu este disponibil, un cod național.</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cod este unic și este utilizat în mod consecvent în toate machetele.</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Trebuie să fie diferit de codul indicat în coloana </w:t>
            </w: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0080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Interconexiunea financiară</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câmp descrie interconexiunea financiară dintre entitățile juridice relevante.</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alege din lista de mai jos:</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Datorii intragrup</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Depozite neacoperite, dar preferențiale</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Depozite neacoperite și nepreferențiale</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Datorii care provin din instrumente financiare derivate (valori de închidere)</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Obligații garantate neacoperite de garanții reale</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Instrumente financiare structurate</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Datorii cu rang prioritar negarantate</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Datorii cu rang prioritar neprivilegiate</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Datorii subordonate</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Alte datorii eligibile în ceea ce privește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Datorii nefinanciare</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Datorii reziduale</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0400</w:t>
            </w:r>
            <w:r>
              <w:rPr>
                <w:rFonts w:ascii="Times New Roman" w:hAnsi="Times New Roman"/>
                <w:color w:val="000000" w:themeColor="text1"/>
                <w:sz w:val="20"/>
                <w:szCs w:val="20"/>
              </w:rPr>
              <w:t xml:space="preserve"> Orice datorie care nu se încadrează în niciunul dintre elementele anterioare.</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Fonduri proprii de nivel </w:t>
            </w:r>
            <w:r w:rsidRPr="002A58D3">
              <w:rPr>
                <w:rFonts w:ascii="Times New Roman" w:hAnsi="Times New Roman"/>
                <w:color w:val="000000" w:themeColor="text1"/>
                <w:sz w:val="20"/>
                <w:szCs w:val="20"/>
              </w:rPr>
              <w:t>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suplimentar</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Fonduri proprii de nivel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bază</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Aceeași definiție ca în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Garanții intragrup</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Emisiune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Garanții legate de instrumente/datorii specifice care au fost emise</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Contraparte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Garanții acordate unei contrapărți specifice a instituției</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Nelimitate</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Garanții generale care nu se limitează la o sumă fixă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Altele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Orice tip de garanție care nu se încadrează în tipurile enumerate anterior.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Suma restantă</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cazul datoriilor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tipurile L.</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L.</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și L.</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-L.</w:t>
            </w:r>
            <w:r w:rsidRPr="002A58D3">
              <w:rPr>
                <w:rFonts w:ascii="Times New Roman" w:hAnsi="Times New Roman"/>
                <w:color w:val="000000" w:themeColor="text1"/>
                <w:sz w:val="20"/>
                <w:szCs w:val="20"/>
              </w:rPr>
              <w:t>14</w:t>
            </w:r>
            <w:r>
              <w:rPr>
                <w:rFonts w:ascii="Times New Roman" w:hAnsi="Times New Roman"/>
                <w:color w:val="000000" w:themeColor="text1"/>
                <w:sz w:val="20"/>
                <w:szCs w:val="20"/>
              </w:rPr>
              <w:t>), suma restantă a datoriilor intragrup; în cazul datoriilor care provin din instrumente financiare derivate (tip L.</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valorile de închidere, astfel cum sunt definite în sensul machetei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rândul </w:t>
            </w:r>
            <w:r w:rsidRPr="002A58D3">
              <w:rPr>
                <w:rFonts w:ascii="Times New Roman" w:hAnsi="Times New Roman"/>
                <w:color w:val="000000" w:themeColor="text1"/>
                <w:sz w:val="20"/>
                <w:szCs w:val="20"/>
              </w:rPr>
              <w:t>0333</w:t>
            </w:r>
            <w:r>
              <w:rPr>
                <w:rFonts w:ascii="Times New Roman" w:hAnsi="Times New Roman"/>
                <w:color w:val="000000" w:themeColor="text1"/>
                <w:sz w:val="20"/>
                <w:szCs w:val="20"/>
              </w:rPr>
              <w:t>.</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cazul garanțiilor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valorile G.</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-G.</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suma maximă potențială a viitoarelor plăți în baza garanției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Din care emise în temeiul dreptului unei țări terțe</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Ponderea, în valoare monetară, din suma restantă care intră sub incidența dreptului unei țări terțe.</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sidRPr="002A58D3">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Din care: eligibile în ceea ce privește 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fondurilor proprii și al datoriilor eligibile pentru îndeplinirea cerinței prevăzute la articolul </w:t>
            </w:r>
            <w:r w:rsidRPr="002A58D3">
              <w:rPr>
                <w:rFonts w:ascii="Times New Roman" w:hAnsi="Times New Roman"/>
                <w:color w:val="000000" w:themeColor="text1"/>
                <w:sz w:val="20"/>
                <w:szCs w:val="20"/>
              </w:rPr>
              <w:t>45</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w:t>
            </w:r>
            <w:r>
              <w:t xml:space="preserve"> </w:t>
            </w:r>
          </w:p>
        </w:tc>
      </w:tr>
    </w:tbl>
    <w:p w14:paraId="27337152" w14:textId="77777777" w:rsidR="00E13CE3" w:rsidRPr="00D1040F"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005859"/>
      <w:r>
        <w:rPr>
          <w:rFonts w:ascii="Times New Roman" w:hAnsi="Times New Roman"/>
          <w:szCs w:val="20"/>
        </w:rPr>
        <w:t>Z </w:t>
      </w:r>
      <w:r w:rsidRPr="002A58D3">
        <w:rPr>
          <w:rFonts w:ascii="Times New Roman" w:hAnsi="Times New Roman"/>
          <w:szCs w:val="20"/>
        </w:rPr>
        <w:t>05</w:t>
      </w:r>
      <w:r>
        <w:rPr>
          <w:rFonts w:ascii="Times New Roman" w:hAnsi="Times New Roman"/>
          <w:szCs w:val="20"/>
        </w:rPr>
        <w:t>.</w:t>
      </w:r>
      <w:r w:rsidRPr="002A58D3">
        <w:rPr>
          <w:rFonts w:ascii="Times New Roman" w:hAnsi="Times New Roman"/>
          <w:szCs w:val="20"/>
        </w:rPr>
        <w:t>01</w:t>
      </w:r>
      <w:r>
        <w:rPr>
          <w:rFonts w:ascii="Times New Roman" w:hAnsi="Times New Roman"/>
          <w:szCs w:val="20"/>
        </w:rPr>
        <w:t xml:space="preserve"> și Z </w:t>
      </w:r>
      <w:r w:rsidRPr="002A58D3">
        <w:rPr>
          <w:rFonts w:ascii="Times New Roman" w:hAnsi="Times New Roman"/>
          <w:szCs w:val="20"/>
        </w:rPr>
        <w:t>05</w:t>
      </w:r>
      <w:r>
        <w:rPr>
          <w:rFonts w:ascii="Times New Roman" w:hAnsi="Times New Roman"/>
          <w:szCs w:val="20"/>
        </w:rPr>
        <w:t>.</w:t>
      </w:r>
      <w:r w:rsidRPr="002A58D3">
        <w:rPr>
          <w:rFonts w:ascii="Times New Roman" w:hAnsi="Times New Roman"/>
          <w:szCs w:val="20"/>
        </w:rPr>
        <w:t>02</w:t>
      </w:r>
      <w:r>
        <w:rPr>
          <w:rFonts w:ascii="Times New Roman" w:hAnsi="Times New Roman"/>
          <w:szCs w:val="20"/>
        </w:rPr>
        <w:t xml:space="preserve"> –</w:t>
      </w:r>
      <w:bookmarkStart w:id="19" w:name="_Toc492542325"/>
      <w:r>
        <w:rPr>
          <w:rFonts w:ascii="Times New Roman" w:hAnsi="Times New Roman"/>
          <w:szCs w:val="20"/>
        </w:rPr>
        <w:t xml:space="preserve"> Contrapărțile principale (MCP)</w:t>
      </w:r>
      <w:bookmarkEnd w:id="19"/>
      <w:bookmarkEnd w:id="18"/>
    </w:p>
    <w:p w14:paraId="3CC29F42" w14:textId="77777777" w:rsidR="00BF5063" w:rsidRPr="00D92B3C" w:rsidRDefault="00BF5063" w:rsidP="00715DAB">
      <w:pPr>
        <w:pStyle w:val="Instructionsberschrift3"/>
      </w:pPr>
      <w:r>
        <w:t>Observații generale</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aceste machete se colectează informații privind datoriile față de contrapărțile principale (Z </w:t>
      </w:r>
      <w:r w:rsidRPr="002A58D3">
        <w:rPr>
          <w:rFonts w:ascii="Times New Roman" w:hAnsi="Times New Roman"/>
          <w:sz w:val="20"/>
          <w:szCs w:val="20"/>
        </w:rPr>
        <w:t>05</w:t>
      </w:r>
      <w:r>
        <w:rPr>
          <w:rFonts w:ascii="Times New Roman" w:hAnsi="Times New Roman"/>
          <w:sz w:val="20"/>
          <w:szCs w:val="20"/>
        </w:rPr>
        <w:t>.</w:t>
      </w:r>
      <w:r w:rsidRPr="002A58D3">
        <w:rPr>
          <w:rFonts w:ascii="Times New Roman" w:hAnsi="Times New Roman"/>
          <w:sz w:val="20"/>
          <w:szCs w:val="20"/>
        </w:rPr>
        <w:t>01</w:t>
      </w:r>
      <w:r>
        <w:rPr>
          <w:rFonts w:ascii="Times New Roman" w:hAnsi="Times New Roman"/>
          <w:sz w:val="20"/>
          <w:szCs w:val="20"/>
        </w:rPr>
        <w:t xml:space="preserve">) și privind elementele extrabilanțiere primite de la contrapărțile principale (Z </w:t>
      </w:r>
      <w:r w:rsidRPr="002A58D3">
        <w:rPr>
          <w:rFonts w:ascii="Times New Roman" w:hAnsi="Times New Roman"/>
          <w:sz w:val="20"/>
          <w:szCs w:val="20"/>
        </w:rPr>
        <w:t>05</w:t>
      </w:r>
      <w:r>
        <w:rPr>
          <w:rFonts w:ascii="Times New Roman" w:hAnsi="Times New Roman"/>
          <w:sz w:val="20"/>
          <w:szCs w:val="20"/>
        </w:rPr>
        <w:t>.</w:t>
      </w:r>
      <w:r w:rsidRPr="002A58D3">
        <w:rPr>
          <w:rFonts w:ascii="Times New Roman" w:hAnsi="Times New Roman"/>
          <w:sz w:val="20"/>
          <w:szCs w:val="20"/>
        </w:rPr>
        <w:t>02</w:t>
      </w:r>
      <w:r>
        <w:rPr>
          <w:rFonts w:ascii="Times New Roman" w:hAnsi="Times New Roman"/>
          <w:sz w:val="20"/>
          <w:szCs w:val="20"/>
        </w:rPr>
        <w:t>). Cuantumurile raportate sunt agregate atunci când corespund aceleiași contrapărți și aceluiași tip de datorii sau de elemente extrabilanțiere.</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Datoriile și elementele extrabilanțiere pentru care nu poate fi identificată contrapartea nu se raportează în machetele de față. Datoriile și elementele extrabilanțiere pentru care contrapartea este o entitate inclusă în situațiile financiare consolidate nu se raportează.</w:t>
      </w:r>
    </w:p>
    <w:p w14:paraId="3454E902" w14:textId="77777777" w:rsidR="00DF1EA4" w:rsidRPr="00D92B3C" w:rsidRDefault="00F7117F" w:rsidP="00715DAB">
      <w:pPr>
        <w:pStyle w:val="Instructionsberschrift3"/>
      </w:pPr>
      <w:r>
        <w:t>Z </w:t>
      </w:r>
      <w:r w:rsidRPr="002A58D3">
        <w:t>05</w:t>
      </w:r>
      <w:r>
        <w:t>.</w:t>
      </w:r>
      <w:r w:rsidRPr="002A58D3">
        <w:t>01</w:t>
      </w:r>
      <w:r>
        <w:t xml:space="preserve"> – Contrapărțile principale în cazul datoriilor – Instrucțiuni privind anumite poziții</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0020</w:t>
      </w:r>
      <w:r>
        <w:rPr>
          <w:rFonts w:ascii="Times New Roman" w:hAnsi="Times New Roman"/>
          <w:sz w:val="20"/>
          <w:szCs w:val="20"/>
        </w:rPr>
        <w:t xml:space="preserve"> și </w:t>
      </w:r>
      <w:r w:rsidRPr="002A58D3">
        <w:rPr>
          <w:rFonts w:ascii="Times New Roman" w:hAnsi="Times New Roman"/>
          <w:sz w:val="20"/>
          <w:szCs w:val="20"/>
        </w:rPr>
        <w:t>0060</w:t>
      </w:r>
      <w:r>
        <w:rPr>
          <w:rFonts w:ascii="Times New Roman" w:hAnsi="Times New Roman"/>
          <w:sz w:val="20"/>
          <w:szCs w:val="20"/>
        </w:rPr>
        <w:t xml:space="preserve"> din prezenta machetă constituie o cheie primară care trebuie să fie unică pentru fiecare rând din machetă.</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Coloane</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Instrucțiuni</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Contraparte</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Informații privind contrapărțile principale față de care au intervenit datoriile.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Contrapărțile principale sunt identificate prin adunarea sumelor restante aferente tuturor datoriilor entității sau grupului la care se referă informațiile raportate în machetă față de fiecare contraparte sau grup de clienți aflați în legătură, excluzând datoriile față de entitățile incluse în situațiile financiare consolidate.</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Contrapărțile și grupurile de contrapărți aflate în legătură sunt apoi clasificate în funcție de suma restantă agregată pentru a se identifica cele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 xml:space="preserve"> contrapărți principale cu privire la care se furnizează informații în prezenta machetă.</w:t>
            </w:r>
          </w:p>
          <w:p w14:paraId="06033B0A" w14:textId="77777777" w:rsidR="00AD011A" w:rsidRPr="00D1040F"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Definiția termenului «grup de contrapărți aflate în legătură» respectă definiția termenului «grup de clienți aflați în legătură» prevăzută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39</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xml:space="preserve">. </w:t>
            </w:r>
          </w:p>
          <w:p w14:paraId="294E9015" w14:textId="77777777" w:rsidR="00AD011A" w:rsidRPr="00D1040F"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În sensul prezentei machete, o contraparte nu este o entitate inclusă în situațiile financiare consolidate.</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Denumirea contrapărții principale sau, după caz, denumirea unui grup de clienți aflați în legătură.</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Denumirea unui grup de clienți aflați în legătură este denumirea întreprinderii-mamă sau, în cazul în care grupul de clienți aflați în legătură nu are o întreprindere-mamă, denumirea comercială a grupului.</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contrapărții principale sau al grupului de clienți aflați în legătură. Pentru instituții,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Pentru alte entități,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sau, în cazul în care acesta nu este disponibil, un cod conform unei codificări uniforme aplicabile în Uniune sau, în cazul în care un astfel de cod nu este disponibil, un cod național.</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cod este unic și este utilizat în mod consecvent în toate machetele.</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 sau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Instituția completează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pentru contrapărțile principale individuale și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pentru grupurile de clienți aflați în legătură.</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ISO </w:t>
            </w:r>
            <w:r w:rsidRPr="002A58D3">
              <w:rPr>
                <w:rFonts w:ascii="Times New Roman" w:hAnsi="Times New Roman"/>
                <w:color w:val="000000" w:themeColor="text1"/>
                <w:sz w:val="20"/>
                <w:szCs w:val="20"/>
              </w:rPr>
              <w:t>3166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-alfa-</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 țării de înregistrare a contrapărții. Acesta include pseudocodurile ISO în cazul organizațiilor internaționale, disponibile în ultima ediție a «Vademecumului privind balanța de plăți» publicat de Eurostat.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Țara este determinată prin referire la sediul social al contrapărții. În cazul grupurilor de clienți aflați în legătură, țara de înregistrare a întreprinderii-mamă.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Sectorul</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Fiecărei contrapărți i se alocă un sector pe baza următoarelor categorii de sectoare economice din cadrul FINREP (FINREP,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capitolul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bănci centrale</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administrații publice</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instituții de credit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alte societăți financiare</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societăți nefinanciare</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gospodării</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Pentru grupurile de clienți aflați în legătură nu se raportează niciun sector.</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Tipul de datorie este unul dintre tipurile de datorie enumerate în macheta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datoriilor (LIAB), și anume:</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0</w:t>
            </w:r>
            <w:r>
              <w:tab/>
            </w:r>
            <w:r>
              <w:rPr>
                <w:rFonts w:ascii="Times New Roman" w:hAnsi="Times New Roman"/>
                <w:color w:val="000000" w:themeColor="text1"/>
                <w:sz w:val="20"/>
                <w:szCs w:val="20"/>
              </w:rPr>
              <w:t>Datorii excluse de la recapitalizarea internă;</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Depozite neacoperite, dar preferențiale;</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Depozite neacoperite și nepreferențiale;</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Datorii care provin din instrumente financiare derivate;</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4</w:t>
            </w:r>
            <w:r>
              <w:tab/>
            </w:r>
            <w:r>
              <w:rPr>
                <w:rFonts w:ascii="Times New Roman" w:hAnsi="Times New Roman"/>
                <w:color w:val="000000" w:themeColor="text1"/>
                <w:sz w:val="20"/>
                <w:szCs w:val="20"/>
              </w:rPr>
              <w:t>Obligații garantate neacoperite de garanții reale</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5</w:t>
            </w:r>
            <w:r>
              <w:tab/>
            </w:r>
            <w:r>
              <w:rPr>
                <w:rFonts w:ascii="Times New Roman" w:hAnsi="Times New Roman"/>
                <w:color w:val="000000" w:themeColor="text1"/>
                <w:sz w:val="20"/>
                <w:szCs w:val="20"/>
              </w:rPr>
              <w:t>Instrumente financiare structurate</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6</w:t>
            </w:r>
            <w:r>
              <w:tab/>
            </w:r>
            <w:r>
              <w:rPr>
                <w:rFonts w:ascii="Times New Roman" w:hAnsi="Times New Roman"/>
                <w:color w:val="000000" w:themeColor="text1"/>
                <w:sz w:val="20"/>
                <w:szCs w:val="20"/>
              </w:rPr>
              <w:t>Datorii cu rang prioritar negarantate</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7</w:t>
            </w:r>
            <w:r>
              <w:tab/>
            </w:r>
            <w:r>
              <w:rPr>
                <w:rFonts w:ascii="Times New Roman" w:hAnsi="Times New Roman"/>
                <w:color w:val="000000" w:themeColor="text1"/>
                <w:sz w:val="20"/>
                <w:szCs w:val="20"/>
              </w:rPr>
              <w:t>Datorii cu rang prioritar neprivilegiate</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8</w:t>
            </w:r>
            <w:r>
              <w:tab/>
            </w:r>
            <w:r>
              <w:rPr>
                <w:rFonts w:ascii="Times New Roman" w:hAnsi="Times New Roman"/>
                <w:color w:val="000000" w:themeColor="text1"/>
                <w:sz w:val="20"/>
                <w:szCs w:val="20"/>
              </w:rPr>
              <w:t>Datorii subordonate (care nu sunt recunoscute drept fonduri proprii)</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9</w:t>
            </w:r>
            <w:r>
              <w:tab/>
            </w:r>
            <w:r>
              <w:rPr>
                <w:rFonts w:ascii="Times New Roman" w:hAnsi="Times New Roman"/>
                <w:color w:val="000000" w:themeColor="text1"/>
                <w:sz w:val="20"/>
                <w:szCs w:val="20"/>
              </w:rPr>
              <w:t>Alte datorii eligibile în ceea ce privește MREL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10</w:t>
            </w:r>
            <w:r>
              <w:tab/>
            </w:r>
            <w:r>
              <w:rPr>
                <w:rFonts w:ascii="Times New Roman" w:hAnsi="Times New Roman"/>
                <w:color w:val="000000" w:themeColor="text1"/>
                <w:sz w:val="20"/>
                <w:szCs w:val="20"/>
              </w:rPr>
              <w:t>Datorii nefinanciare</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2A58D3">
              <w:rPr>
                <w:rFonts w:ascii="Times New Roman" w:hAnsi="Times New Roman"/>
                <w:color w:val="000000" w:themeColor="text1"/>
                <w:sz w:val="20"/>
                <w:szCs w:val="20"/>
              </w:rPr>
              <w:t>11</w:t>
            </w:r>
            <w:r>
              <w:tab/>
            </w:r>
            <w:r>
              <w:rPr>
                <w:rFonts w:ascii="Times New Roman" w:hAnsi="Times New Roman"/>
                <w:color w:val="000000" w:themeColor="text1"/>
                <w:sz w:val="20"/>
                <w:szCs w:val="20"/>
              </w:rPr>
              <w:t>Datorii reziduale</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În cazul în care datoriile față de o contraparte principală constau din mai mult de unul dintre aceste tipuri, fiecare tip de datorie se raportează într-un rând separat.</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Cuantum</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Cuantumul este echivalent cu definiția dată unei «sume restante», astfel cum este prevăzută în macheta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datoriilor. În cazul datoriilor care provin din instrumente financiare derivate (tip L.</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se raportează valorile de închidere, astfel cum sunt definite în sensul rândului </w:t>
            </w:r>
            <w:r w:rsidRPr="002A58D3">
              <w:rPr>
                <w:rFonts w:ascii="Times New Roman" w:hAnsi="Times New Roman"/>
                <w:color w:val="000000" w:themeColor="text1"/>
                <w:sz w:val="20"/>
                <w:szCs w:val="20"/>
              </w:rPr>
              <w:t>0333</w:t>
            </w:r>
            <w:r>
              <w:rPr>
                <w:rFonts w:ascii="Times New Roman" w:hAnsi="Times New Roman"/>
                <w:color w:val="000000" w:themeColor="text1"/>
                <w:sz w:val="20"/>
                <w:szCs w:val="20"/>
              </w:rPr>
              <w:t xml:space="preserve"> din macheta Z </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w:t>
            </w:r>
          </w:p>
        </w:tc>
      </w:tr>
    </w:tbl>
    <w:p w14:paraId="3AE50F86" w14:textId="77777777" w:rsidR="00627D51" w:rsidRPr="00D1040F"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w:t>
      </w:r>
      <w:r w:rsidRPr="002A58D3">
        <w:t>05</w:t>
      </w:r>
      <w:r>
        <w:t>.</w:t>
      </w:r>
      <w:r w:rsidRPr="002A58D3">
        <w:t>02</w:t>
      </w:r>
      <w:r>
        <w:t xml:space="preserve"> – Contrapărțile principale în cazul elementelor extrabilanțiere – Instrucțiuni privind anumite poziții</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0020</w:t>
      </w:r>
      <w:r>
        <w:rPr>
          <w:rFonts w:ascii="Times New Roman" w:hAnsi="Times New Roman"/>
          <w:sz w:val="20"/>
          <w:szCs w:val="20"/>
        </w:rPr>
        <w:t xml:space="preserve"> și </w:t>
      </w:r>
      <w:r w:rsidRPr="002A58D3">
        <w:rPr>
          <w:rFonts w:ascii="Times New Roman" w:hAnsi="Times New Roman"/>
          <w:sz w:val="20"/>
          <w:szCs w:val="20"/>
        </w:rPr>
        <w:t>0060</w:t>
      </w:r>
      <w:r>
        <w:rPr>
          <w:rFonts w:ascii="Times New Roman" w:hAnsi="Times New Roman"/>
          <w:sz w:val="20"/>
          <w:szCs w:val="20"/>
        </w:rPr>
        <w:t xml:space="preserve"> din prezenta machetă constituie o cheie primară care trebuie să fie unică pentru fiecare rând din machetă.</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Contraparte</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Informații privind contrapărțile principale extrabilanțiere</w:t>
            </w:r>
          </w:p>
          <w:p w14:paraId="2DAFE926" w14:textId="2C177DA8" w:rsidR="00627D51" w:rsidRPr="000C61CC" w:rsidRDefault="00627D51" w:rsidP="00627D51">
            <w:pPr>
              <w:pStyle w:val="TableParagraph"/>
              <w:spacing w:before="108"/>
              <w:ind w:left="85"/>
              <w:jc w:val="both"/>
              <w:rPr>
                <w:rFonts w:ascii="Times New Roman" w:eastAsia="Cambria" w:hAnsi="Times New Roman" w:cs="Times New Roman"/>
                <w:color w:val="000000" w:themeColor="text1"/>
                <w:spacing w:val="-4"/>
                <w:w w:val="95"/>
                <w:sz w:val="20"/>
                <w:szCs w:val="20"/>
              </w:rPr>
            </w:pPr>
            <w:r w:rsidRPr="000C61CC">
              <w:rPr>
                <w:rFonts w:ascii="Times New Roman" w:hAnsi="Times New Roman"/>
                <w:color w:val="000000" w:themeColor="text1"/>
                <w:spacing w:val="-4"/>
                <w:sz w:val="20"/>
                <w:szCs w:val="20"/>
              </w:rPr>
              <w:t>Contrapărțile principale în cazul elementelor extrabilanțiere sunt identificate prin efectuarea sumei dintre cuantumul nominal total al angajamentelor și al garanțiilor financiare primite (astfel cum sunt definite în sensul FINREP, formularul F </w:t>
            </w:r>
            <w:r w:rsidRPr="002A58D3">
              <w:rPr>
                <w:rFonts w:ascii="Times New Roman" w:hAnsi="Times New Roman"/>
                <w:color w:val="000000" w:themeColor="text1"/>
                <w:spacing w:val="-4"/>
                <w:sz w:val="20"/>
                <w:szCs w:val="20"/>
              </w:rPr>
              <w:t>09</w:t>
            </w:r>
            <w:r w:rsidRPr="000C61CC">
              <w:rPr>
                <w:rFonts w:ascii="Times New Roman" w:hAnsi="Times New Roman"/>
                <w:color w:val="000000" w:themeColor="text1"/>
                <w:spacing w:val="-4"/>
                <w:sz w:val="20"/>
                <w:szCs w:val="20"/>
              </w:rPr>
              <w:t xml:space="preserve">) de la contrapărți sau de la un grup de clienți aflați în legătură de către entitatea sau entitățile din grup pentru care se raportează informații în prezenta machetă. Contrapărțile principale în cazul elementelor extrabilanțiere exclud entitățile care sunt incluse în situațiile financiare consolidate ale grupului. Contrapărțile și grupurile de clienți aflați în legătură sunt apoi clasificate în funcție de suma restantă agregată pentru a se identifica cele </w:t>
            </w:r>
            <w:r w:rsidRPr="002A58D3">
              <w:rPr>
                <w:rFonts w:ascii="Times New Roman" w:hAnsi="Times New Roman"/>
                <w:color w:val="000000" w:themeColor="text1"/>
                <w:spacing w:val="-4"/>
                <w:sz w:val="20"/>
                <w:szCs w:val="20"/>
              </w:rPr>
              <w:t>10</w:t>
            </w:r>
            <w:r w:rsidR="000C61CC" w:rsidRPr="000C61CC">
              <w:rPr>
                <w:rFonts w:ascii="Times New Roman" w:hAnsi="Times New Roman"/>
                <w:color w:val="000000" w:themeColor="text1"/>
                <w:spacing w:val="-4"/>
                <w:sz w:val="20"/>
                <w:szCs w:val="20"/>
              </w:rPr>
              <w:t> </w:t>
            </w:r>
            <w:r w:rsidRPr="000C61CC">
              <w:rPr>
                <w:rFonts w:ascii="Times New Roman" w:hAnsi="Times New Roman"/>
                <w:color w:val="000000" w:themeColor="text1"/>
                <w:spacing w:val="-4"/>
                <w:sz w:val="20"/>
                <w:szCs w:val="20"/>
              </w:rPr>
              <w:t>contrapărți principale în cazul elementelor extrabilanțiere cu privire la care se furnizează informații în prezenta machetă.</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scopul acestei machete, se raportează doar contrapărțile care nu sunt incluse în situațiile financiare consolidate.</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instrucțiunile pentru coloana </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din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instrucțiunile pentru coloana </w:t>
            </w: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xml:space="preserve"> din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 sau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instrucțiunile pentru coloana </w:t>
            </w: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din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instrucțiunile pentru coloana </w:t>
            </w: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 xml:space="preserve"> din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Sectorul</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vedea instrucțiunile pentru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din Z </w:t>
            </w:r>
            <w:r w:rsidRPr="002A58D3">
              <w:rPr>
                <w:rFonts w:ascii="Times New Roman" w:hAnsi="Times New Roman"/>
                <w:color w:val="000000" w:themeColor="text1"/>
                <w:sz w:val="20"/>
                <w:szCs w:val="20"/>
              </w:rPr>
              <w:t>05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Tipul de element extrabilanțier este unul dintre următoarele tipuri, astfel cum sunt definite în FINREP, formularul F </w:t>
            </w:r>
            <w:r w:rsidRPr="002A58D3">
              <w:rPr>
                <w:rFonts w:ascii="Times New Roman" w:hAnsi="Times New Roman"/>
                <w:color w:val="000000" w:themeColor="text1"/>
                <w:sz w:val="20"/>
                <w:szCs w:val="20"/>
              </w:rPr>
              <w:t>09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Angajamente de creditare primite</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Garanții financiare primite</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Alte angajamente primite</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elementele extrabilanțiere primite de la o contraparte principală constau din mai mult de unul dintre aceste tipuri, fiecare tip de element extrabilanțier se raportează într-un rând separat.</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Cuantum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005860"/>
      <w:r>
        <w:rPr>
          <w:rFonts w:ascii="Times New Roman" w:hAnsi="Times New Roman"/>
          <w:szCs w:val="20"/>
        </w:rPr>
        <w:t>Z </w:t>
      </w:r>
      <w:r w:rsidRPr="002A58D3">
        <w:rPr>
          <w:rFonts w:ascii="Times New Roman" w:hAnsi="Times New Roman"/>
          <w:szCs w:val="20"/>
        </w:rPr>
        <w:t>06</w:t>
      </w:r>
      <w:r>
        <w:rPr>
          <w:rFonts w:ascii="Times New Roman" w:hAnsi="Times New Roman"/>
          <w:szCs w:val="20"/>
        </w:rPr>
        <w:t>.</w:t>
      </w:r>
      <w:r w:rsidRPr="002A58D3">
        <w:rPr>
          <w:rFonts w:ascii="Times New Roman" w:hAnsi="Times New Roman"/>
          <w:szCs w:val="20"/>
        </w:rPr>
        <w:t>00</w:t>
      </w:r>
      <w:r>
        <w:rPr>
          <w:rFonts w:ascii="Times New Roman" w:hAnsi="Times New Roman"/>
          <w:szCs w:val="20"/>
        </w:rPr>
        <w:t xml:space="preserve"> – Asigurarea depozitelor (DIS)</w:t>
      </w:r>
      <w:bookmarkEnd w:id="20"/>
      <w:bookmarkEnd w:id="21"/>
    </w:p>
    <w:p w14:paraId="3E891384" w14:textId="77777777" w:rsidR="008F7980" w:rsidRPr="00D92B3C" w:rsidRDefault="006A7DCF" w:rsidP="00715DAB">
      <w:pPr>
        <w:pStyle w:val="Instructionsberschrift3"/>
      </w:pPr>
      <w:r>
        <w:t>Observații generale</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Această machetă oferă o imagine de ansamblu asupra asigurării depozitelor în cadrul unui grup. O schemă de garantare a depozitelor (SGD) se raportează în această machetă dacă o entitate juridică relevantă a grupului este membră a acesteia.</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Fiecare instituție de credit care aparține grupului trebuie raportată într-un rând separat.</w:t>
      </w:r>
    </w:p>
    <w:p w14:paraId="039239B2" w14:textId="77777777" w:rsidR="006A7DCF" w:rsidRPr="00D92B3C" w:rsidRDefault="006A7DCF" w:rsidP="00715DAB">
      <w:pPr>
        <w:pStyle w:val="Instructionsberschrift3"/>
      </w:pPr>
      <w:r>
        <w:t>Instrucțiuni privind anumite poziții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Entitate</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Denumirea entității, astfel cum este raportată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Codul entității, astfel cum este raportat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cod este un număr de identificare a rândului și trebuie să fie unic pentru fiecare rând din machetă.</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SGD</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w:t>
            </w:r>
          </w:p>
          <w:p w14:paraId="038DB966" w14:textId="740C136E"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Denumirea schemei de garantare a depozitelor recunoscute în mod oficial din care face parte entitatea în calitate de membru, în temeiul Directivei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 xml:space="preserve">/UE. Este vorba despre SGD-ul din statul membru de înregistrare a entității, excluzându-se alte SGD-uri care, în alte state membre, ar putea furniza protecție suplimentară («top up») clienților entității la o sucursală din statul membru respectiv. În cazul în care o instituție este membră a unui sistem instituțional de protecție care este recunoscut oficial și ca SGD în temeiul articolului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din Directiva</w:t>
            </w:r>
            <w:r w:rsidR="000C61CC">
              <w:rPr>
                <w:rFonts w:ascii="Times New Roman" w:hAnsi="Times New Roman"/>
                <w:color w:val="000000" w:themeColor="text1"/>
                <w:sz w:val="20"/>
                <w:szCs w:val="20"/>
              </w:rPr>
              <w:t>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 xml:space="preserve">/UE, denumirea SGD-ului trebuie să fie identică cu denumirea sistemului instituțional de protecție de la rândul </w:t>
            </w:r>
            <w:r w:rsidRPr="002A58D3">
              <w:rPr>
                <w:rFonts w:ascii="Times New Roman" w:hAnsi="Times New Roman"/>
                <w:color w:val="000000" w:themeColor="text1"/>
                <w:sz w:val="20"/>
                <w:szCs w:val="20"/>
              </w:rPr>
              <w:t>050</w:t>
            </w:r>
            <w:r>
              <w:rPr>
                <w:rFonts w:ascii="Times New Roman" w:hAnsi="Times New Roman"/>
                <w:color w:val="000000" w:themeColor="text1"/>
                <w:sz w:val="20"/>
                <w:szCs w:val="20"/>
              </w:rPr>
              <w:t>.</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Pentru fiecare țară de înregistrare a entității, SGD-ul este ales dintre următoarele:</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Pentru Austria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Belgia</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Croația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Cipru</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Republica Cehă</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Danemarca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Estonia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Franța</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Germania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Grecia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Ungaria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Islanda</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Letonia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Lituania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Țările de Jos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Norvegia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Polonia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Portugalia</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România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Slovacia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Spania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Suedia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SGD-ul recunoscut oficial din care face parte entitatea nu se regăsește în lista de mai sus, se completează «altele».</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Cuantumul depozitelor acoperite</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și articolul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w:t>
            </w:r>
          </w:p>
          <w:p w14:paraId="6E6A89AF" w14:textId="6B6A3780" w:rsidR="0057049E" w:rsidRPr="00D92B3C" w:rsidRDefault="0057049E" w:rsidP="000C61C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Cuantumul depozitelor acoperite, astfel cum sunt definite la 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coroborat cu articolul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 astfel cum este acoperit de SGD-ul de la rândul</w:t>
            </w:r>
            <w:r w:rsidR="000C61CC">
              <w:rPr>
                <w:rFonts w:ascii="Times New Roman" w:hAnsi="Times New Roman"/>
                <w:color w:val="000000" w:themeColor="text1"/>
                <w:sz w:val="20"/>
                <w:szCs w:val="20"/>
              </w:rPr>
              <w:t> </w:t>
            </w:r>
            <w:r w:rsidRPr="002A58D3">
              <w:rPr>
                <w:rFonts w:ascii="Times New Roman" w:hAnsi="Times New Roman"/>
                <w:color w:val="000000" w:themeColor="text1"/>
                <w:sz w:val="20"/>
                <w:szCs w:val="20"/>
              </w:rPr>
              <w:t>00030</w:t>
            </w:r>
            <w:r>
              <w:rPr>
                <w:rFonts w:ascii="Times New Roman" w:hAnsi="Times New Roman"/>
                <w:color w:val="000000" w:themeColor="text1"/>
                <w:sz w:val="20"/>
                <w:szCs w:val="20"/>
              </w:rPr>
              <w:t xml:space="preserve">, cu excepția soldurilor temporar ridicate astfel cum sunt definite la articolul </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 instituțional de protecție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Articolul </w:t>
            </w:r>
            <w:r w:rsidRPr="002A58D3">
              <w:rPr>
                <w:rFonts w:ascii="Times New Roman" w:hAnsi="Times New Roman"/>
                <w:color w:val="000000" w:themeColor="text1"/>
                <w:sz w:val="20"/>
                <w:szCs w:val="20"/>
              </w:rPr>
              <w:t>113</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p>
          <w:p w14:paraId="2E97210C" w14:textId="0DBB7E87"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Denumirea sistemului instituțional de protecție, astfel cum este menționat la articolul </w:t>
            </w:r>
            <w:r w:rsidRPr="002A58D3">
              <w:rPr>
                <w:rFonts w:ascii="Times New Roman" w:hAnsi="Times New Roman"/>
                <w:color w:val="000000" w:themeColor="text1"/>
                <w:sz w:val="20"/>
                <w:szCs w:val="20"/>
              </w:rPr>
              <w:t>113</w:t>
            </w:r>
            <w:r>
              <w:rPr>
                <w:rFonts w:ascii="Times New Roman" w:hAnsi="Times New Roman"/>
                <w:color w:val="000000" w:themeColor="text1"/>
                <w:sz w:val="20"/>
                <w:szCs w:val="20"/>
              </w:rPr>
              <w:t xml:space="preserve"> alineatul</w:t>
            </w:r>
            <w:r w:rsidR="000C61CC">
              <w:rPr>
                <w:rFonts w:ascii="Times New Roman" w:hAnsi="Times New Roman"/>
                <w:color w:val="000000" w:themeColor="text1"/>
                <w:sz w:val="20"/>
                <w:szCs w:val="20"/>
              </w:rPr>
              <w:t> </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din Regulamentul (UE) nr. </w:t>
            </w:r>
            <w:r w:rsidRPr="002A58D3">
              <w:rPr>
                <w:rFonts w:ascii="Times New Roman" w:hAnsi="Times New Roman"/>
                <w:color w:val="000000" w:themeColor="text1"/>
                <w:sz w:val="20"/>
                <w:szCs w:val="20"/>
              </w:rPr>
              <w:t>575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din care face parte entitatea. Nu se completează nimic în cazul în care entitatea nu este membră a unui sistem instituțional de protecție. În cazul în care entitatea este membră a unui sistem instituțional de protecție care este recunoscut oficial și ca SGD în temeiul articolului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 xml:space="preserve">/UE, denumirea sistemului instituțional de protecție trebuie să fie identică cu denumirea SGD-ului de la rândul </w:t>
            </w:r>
            <w:r w:rsidRPr="002A58D3">
              <w:rPr>
                <w:rFonts w:ascii="Times New Roman" w:hAnsi="Times New Roman"/>
                <w:color w:val="000000" w:themeColor="text1"/>
                <w:sz w:val="20"/>
                <w:szCs w:val="20"/>
              </w:rPr>
              <w:t>030</w:t>
            </w:r>
            <w:r>
              <w:rPr>
                <w:rFonts w:ascii="Times New Roman" w:hAnsi="Times New Roman"/>
                <w:color w:val="000000" w:themeColor="text1"/>
                <w:sz w:val="20"/>
                <w:szCs w:val="20"/>
              </w:rPr>
              <w:t>.</w:t>
            </w:r>
          </w:p>
          <w:p w14:paraId="76DBA0CC" w14:textId="77777777" w:rsidR="0057049E" w:rsidRPr="00D1040F"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Protecție suplimentară în cadrul unei scheme contractuale</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litera (a)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49</w:t>
            </w:r>
            <w:r>
              <w:rPr>
                <w:rFonts w:ascii="Times New Roman" w:hAnsi="Times New Roman"/>
                <w:color w:val="000000" w:themeColor="text1"/>
                <w:sz w:val="20"/>
                <w:szCs w:val="20"/>
              </w:rPr>
              <w:t>/UE</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depozitelor garantate de o schemă contractuală la nivelul entității.</w:t>
            </w:r>
          </w:p>
        </w:tc>
      </w:tr>
    </w:tbl>
    <w:p w14:paraId="54A835DD" w14:textId="77777777" w:rsidR="0057049E" w:rsidRPr="00D1040F" w:rsidRDefault="0057049E" w:rsidP="008F7980">
      <w:pPr>
        <w:rPr>
          <w:rFonts w:ascii="Times New Roman" w:hAnsi="Times New Roman" w:cs="Times New Roman"/>
          <w:b/>
          <w:color w:val="000000" w:themeColor="text1"/>
          <w:sz w:val="20"/>
          <w:szCs w:val="20"/>
          <w:u w:val="single"/>
          <w:lang w:val="fr-B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005861"/>
      <w:r>
        <w:rPr>
          <w:rFonts w:ascii="Times New Roman" w:hAnsi="Times New Roman"/>
          <w:szCs w:val="20"/>
        </w:rPr>
        <w:t>Funcțiile critice și liniile de activitate esențiale</w:t>
      </w:r>
      <w:bookmarkEnd w:id="23"/>
      <w:bookmarkEnd w:id="24"/>
    </w:p>
    <w:p w14:paraId="7F5A1735" w14:textId="77777777" w:rsidR="00AA4026" w:rsidRPr="00D92B3C" w:rsidRDefault="00AA4026" w:rsidP="00715DAB">
      <w:pPr>
        <w:pStyle w:val="Instructionsberschrift3"/>
      </w:pPr>
      <w:r>
        <w:t>Observații generale</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Cele patru machete din prezenta secțiune furnizează date esențiale și evaluări calitative ale impactului, ale substituibilității și ale caracterului critic al funcțiilor economice pe care le exercită grupul; aceste date sunt completate cu punerea în corespondență a funcțiilor critice respective cu liniile de activitate esențiale și cu entitățile juridice.</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Mai precis, machetele sunt consacrate următoarelor subiecte:</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Macheta Z </w:t>
      </w:r>
      <w:r w:rsidRPr="002A58D3">
        <w:rPr>
          <w:rFonts w:ascii="Times New Roman" w:hAnsi="Times New Roman"/>
          <w:sz w:val="20"/>
          <w:szCs w:val="20"/>
        </w:rPr>
        <w:t>07</w:t>
      </w:r>
      <w:r>
        <w:rPr>
          <w:rFonts w:ascii="Times New Roman" w:hAnsi="Times New Roman"/>
          <w:sz w:val="20"/>
          <w:szCs w:val="20"/>
        </w:rPr>
        <w:t>.</w:t>
      </w:r>
      <w:r w:rsidRPr="002A58D3">
        <w:rPr>
          <w:rFonts w:ascii="Times New Roman" w:hAnsi="Times New Roman"/>
          <w:sz w:val="20"/>
          <w:szCs w:val="20"/>
        </w:rPr>
        <w:t>01</w:t>
      </w:r>
      <w:r>
        <w:rPr>
          <w:rFonts w:ascii="Times New Roman" w:hAnsi="Times New Roman"/>
          <w:sz w:val="20"/>
          <w:szCs w:val="20"/>
        </w:rPr>
        <w:t xml:space="preserve"> – Evaluarea caracterului critic al funcțiilor economice (FUNC </w:t>
      </w:r>
      <w:r w:rsidRPr="002A58D3">
        <w:rPr>
          <w:rFonts w:ascii="Times New Roman" w:hAnsi="Times New Roman"/>
          <w:sz w:val="20"/>
          <w:szCs w:val="20"/>
        </w:rPr>
        <w:t>1</w:t>
      </w:r>
      <w:r>
        <w:rPr>
          <w:rFonts w:ascii="Times New Roman" w:hAnsi="Times New Roman"/>
          <w:sz w:val="20"/>
          <w:szCs w:val="20"/>
        </w:rPr>
        <w:t>) identifică, pe baza unor indicatori cantitativi și calitativi, funcțiile necritice și funcțiile critice exercitate de grup pentru fiecare stat membru în care își desfășoară activitatea;</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Macheta Z </w:t>
      </w:r>
      <w:r w:rsidRPr="002A58D3">
        <w:rPr>
          <w:rFonts w:ascii="Times New Roman" w:hAnsi="Times New Roman"/>
          <w:sz w:val="20"/>
          <w:szCs w:val="20"/>
        </w:rPr>
        <w:t>07</w:t>
      </w:r>
      <w:r>
        <w:rPr>
          <w:rFonts w:ascii="Times New Roman" w:hAnsi="Times New Roman"/>
          <w:sz w:val="20"/>
          <w:szCs w:val="20"/>
        </w:rPr>
        <w:t>.</w:t>
      </w:r>
      <w:r w:rsidRPr="002A58D3">
        <w:rPr>
          <w:rFonts w:ascii="Times New Roman" w:hAnsi="Times New Roman"/>
          <w:sz w:val="20"/>
          <w:szCs w:val="20"/>
        </w:rPr>
        <w:t>02</w:t>
      </w:r>
      <w:r>
        <w:rPr>
          <w:rFonts w:ascii="Times New Roman" w:hAnsi="Times New Roman"/>
          <w:sz w:val="20"/>
          <w:szCs w:val="20"/>
        </w:rPr>
        <w:t xml:space="preserve"> – Punerea în corespondență a funcțiilor critice per entitate juridică (FUNC </w:t>
      </w:r>
      <w:r w:rsidRPr="002A58D3">
        <w:rPr>
          <w:rFonts w:ascii="Times New Roman" w:hAnsi="Times New Roman"/>
          <w:sz w:val="20"/>
          <w:szCs w:val="20"/>
        </w:rPr>
        <w:t>2</w:t>
      </w:r>
      <w:r>
        <w:rPr>
          <w:rFonts w:ascii="Times New Roman" w:hAnsi="Times New Roman"/>
          <w:sz w:val="20"/>
          <w:szCs w:val="20"/>
        </w:rPr>
        <w:t>) stabilește corespondența dintre funcțiile critice identificate și entitățile juridice și evaluează dacă fiecare entitate juridică este considerată sau nu a fi importantă pentru exercitarea funcției critice respective;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Macheta Z </w:t>
      </w:r>
      <w:r w:rsidRPr="002A58D3">
        <w:rPr>
          <w:rFonts w:ascii="Times New Roman" w:hAnsi="Times New Roman"/>
          <w:sz w:val="20"/>
          <w:szCs w:val="20"/>
        </w:rPr>
        <w:t>07</w:t>
      </w:r>
      <w:r>
        <w:rPr>
          <w:rFonts w:ascii="Times New Roman" w:hAnsi="Times New Roman"/>
          <w:sz w:val="20"/>
          <w:szCs w:val="20"/>
        </w:rPr>
        <w:t>.</w:t>
      </w:r>
      <w:r w:rsidRPr="002A58D3">
        <w:rPr>
          <w:rFonts w:ascii="Times New Roman" w:hAnsi="Times New Roman"/>
          <w:sz w:val="20"/>
          <w:szCs w:val="20"/>
        </w:rPr>
        <w:t>03</w:t>
      </w:r>
      <w:r>
        <w:rPr>
          <w:rFonts w:ascii="Times New Roman" w:hAnsi="Times New Roman"/>
          <w:sz w:val="20"/>
          <w:szCs w:val="20"/>
        </w:rPr>
        <w:t xml:space="preserve"> – Punerea în corespondență a liniilor de activitate esențiale per entitate juridică (FUNC </w:t>
      </w:r>
      <w:r w:rsidRPr="002A58D3">
        <w:rPr>
          <w:rFonts w:ascii="Times New Roman" w:hAnsi="Times New Roman"/>
          <w:sz w:val="20"/>
          <w:szCs w:val="20"/>
        </w:rPr>
        <w:t>3</w:t>
      </w:r>
      <w:r>
        <w:rPr>
          <w:rFonts w:ascii="Times New Roman" w:hAnsi="Times New Roman"/>
          <w:sz w:val="20"/>
          <w:szCs w:val="20"/>
        </w:rPr>
        <w:t>) oferă o listă completă a liniilor de activitate esențiale și le pune în corespondență cu entitățile juridice;</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Macheta Z </w:t>
      </w:r>
      <w:r w:rsidRPr="002A58D3">
        <w:rPr>
          <w:rFonts w:ascii="Times New Roman" w:hAnsi="Times New Roman"/>
          <w:sz w:val="20"/>
          <w:szCs w:val="20"/>
        </w:rPr>
        <w:t>07</w:t>
      </w:r>
      <w:r>
        <w:rPr>
          <w:rFonts w:ascii="Times New Roman" w:hAnsi="Times New Roman"/>
          <w:sz w:val="20"/>
          <w:szCs w:val="20"/>
        </w:rPr>
        <w:t>.</w:t>
      </w:r>
      <w:r w:rsidRPr="002A58D3">
        <w:rPr>
          <w:rFonts w:ascii="Times New Roman" w:hAnsi="Times New Roman"/>
          <w:sz w:val="20"/>
          <w:szCs w:val="20"/>
        </w:rPr>
        <w:t>04</w:t>
      </w:r>
      <w:r>
        <w:rPr>
          <w:rFonts w:ascii="Times New Roman" w:hAnsi="Times New Roman"/>
          <w:sz w:val="20"/>
          <w:szCs w:val="20"/>
        </w:rPr>
        <w:t xml:space="preserve"> – Punerea în corespondență a funcțiilor critice cu liniile de activitate esențiale (FUNC </w:t>
      </w:r>
      <w:r w:rsidRPr="002A58D3">
        <w:rPr>
          <w:rFonts w:ascii="Times New Roman" w:hAnsi="Times New Roman"/>
          <w:sz w:val="20"/>
          <w:szCs w:val="20"/>
        </w:rPr>
        <w:t>4</w:t>
      </w:r>
      <w:r>
        <w:rPr>
          <w:rFonts w:ascii="Times New Roman" w:hAnsi="Times New Roman"/>
          <w:sz w:val="20"/>
          <w:szCs w:val="20"/>
        </w:rPr>
        <w:t>) stabilește corespondența dintre funcțiile critice identificate și liniile de activitate.</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temeiul articolului </w:t>
      </w:r>
      <w:r w:rsidRPr="002A58D3">
        <w:rPr>
          <w:rFonts w:ascii="Times New Roman" w:hAnsi="Times New Roman"/>
          <w:sz w:val="20"/>
          <w:szCs w:val="20"/>
        </w:rPr>
        <w:t>2</w:t>
      </w:r>
      <w:r>
        <w:rPr>
          <w:rFonts w:ascii="Times New Roman" w:hAnsi="Times New Roman"/>
          <w:sz w:val="20"/>
          <w:szCs w:val="20"/>
        </w:rPr>
        <w:t xml:space="preserve"> alineatul (</w:t>
      </w:r>
      <w:r w:rsidRPr="002A58D3">
        <w:rPr>
          <w:rFonts w:ascii="Times New Roman" w:hAnsi="Times New Roman"/>
          <w:sz w:val="20"/>
          <w:szCs w:val="20"/>
        </w:rPr>
        <w:t>1</w:t>
      </w:r>
      <w:r>
        <w:rPr>
          <w:rFonts w:ascii="Times New Roman" w:hAnsi="Times New Roman"/>
          <w:sz w:val="20"/>
          <w:szCs w:val="20"/>
        </w:rPr>
        <w:t xml:space="preserve">) punctul </w:t>
      </w:r>
      <w:r w:rsidRPr="002A58D3">
        <w:rPr>
          <w:rFonts w:ascii="Times New Roman" w:hAnsi="Times New Roman"/>
          <w:sz w:val="20"/>
          <w:szCs w:val="20"/>
        </w:rPr>
        <w:t>35</w:t>
      </w:r>
      <w:r>
        <w:rPr>
          <w:rFonts w:ascii="Times New Roman" w:hAnsi="Times New Roman"/>
          <w:sz w:val="20"/>
          <w:szCs w:val="20"/>
        </w:rPr>
        <w:t xml:space="preserve"> din Directiva </w:t>
      </w:r>
      <w:r w:rsidRPr="002A58D3">
        <w:rPr>
          <w:rFonts w:ascii="Times New Roman" w:hAnsi="Times New Roman"/>
          <w:sz w:val="20"/>
          <w:szCs w:val="20"/>
        </w:rPr>
        <w:t>2014</w:t>
      </w:r>
      <w:r>
        <w:rPr>
          <w:rFonts w:ascii="Times New Roman" w:hAnsi="Times New Roman"/>
          <w:sz w:val="20"/>
          <w:szCs w:val="20"/>
        </w:rPr>
        <w:t>/</w:t>
      </w:r>
      <w:r w:rsidRPr="002A58D3">
        <w:rPr>
          <w:rFonts w:ascii="Times New Roman" w:hAnsi="Times New Roman"/>
          <w:sz w:val="20"/>
          <w:szCs w:val="20"/>
        </w:rPr>
        <w:t>59</w:t>
      </w:r>
      <w:r>
        <w:rPr>
          <w:rFonts w:ascii="Times New Roman" w:hAnsi="Times New Roman"/>
          <w:sz w:val="20"/>
          <w:szCs w:val="20"/>
        </w:rPr>
        <w:t xml:space="preserve">/UE, </w:t>
      </w:r>
      <w:r>
        <w:rPr>
          <w:rFonts w:ascii="Arial Unicode MS" w:hAnsi="Arial Unicode MS"/>
          <w:color w:val="444444"/>
          <w:sz w:val="21"/>
          <w:szCs w:val="21"/>
          <w:shd w:val="clear" w:color="auto" w:fill="FFFFFF"/>
        </w:rPr>
        <w:t>«</w:t>
      </w:r>
      <w:r>
        <w:rPr>
          <w:rFonts w:ascii="Times New Roman" w:hAnsi="Times New Roman"/>
          <w:sz w:val="20"/>
          <w:szCs w:val="20"/>
        </w:rPr>
        <w:t>funcții critice</w:t>
      </w:r>
      <w:r>
        <w:rPr>
          <w:rFonts w:ascii="Arial Unicode MS" w:hAnsi="Arial Unicode MS"/>
          <w:color w:val="444444"/>
          <w:sz w:val="21"/>
          <w:szCs w:val="21"/>
          <w:shd w:val="clear" w:color="auto" w:fill="FFFFFF"/>
        </w:rPr>
        <w:t>»</w:t>
      </w:r>
      <w:r>
        <w:rPr>
          <w:rFonts w:ascii="Times New Roman" w:hAnsi="Times New Roman"/>
          <w:sz w:val="20"/>
          <w:szCs w:val="20"/>
        </w:rPr>
        <w:t xml:space="preserve"> înseamnă activități, servicii sau operațiuni a căror întrerupere ar putea conduce, într-unul sau mai multe state membre, la perturbarea serviciilor esențiale pentru economia reală sau la perturbarea stabilității financiare din cauza dimensiunii, a cotei de piață, a interconexiunilor externe și interne, a complexității sau activităților transfrontaliere ale unei instituții sau ale unui grup, mai ales având în vedere caracterul substituibil al respectivelor activități, servicii sau operațiuni.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temeiul articolului </w:t>
      </w:r>
      <w:r w:rsidRPr="002A58D3">
        <w:rPr>
          <w:rFonts w:ascii="Times New Roman" w:hAnsi="Times New Roman"/>
          <w:sz w:val="20"/>
          <w:szCs w:val="20"/>
        </w:rPr>
        <w:t>6</w:t>
      </w:r>
      <w:r>
        <w:rPr>
          <w:rFonts w:ascii="Times New Roman" w:hAnsi="Times New Roman"/>
          <w:sz w:val="20"/>
          <w:szCs w:val="20"/>
        </w:rPr>
        <w:t xml:space="preserve"> alineatul (</w:t>
      </w:r>
      <w:r w:rsidRPr="002A58D3">
        <w:rPr>
          <w:rFonts w:ascii="Times New Roman" w:hAnsi="Times New Roman"/>
          <w:sz w:val="20"/>
          <w:szCs w:val="20"/>
        </w:rPr>
        <w:t>1</w:t>
      </w:r>
      <w:r>
        <w:rPr>
          <w:rFonts w:ascii="Times New Roman" w:hAnsi="Times New Roman"/>
          <w:sz w:val="20"/>
          <w:szCs w:val="20"/>
        </w:rPr>
        <w:t xml:space="preserve">) din Regulamentul delegat (UE) </w:t>
      </w:r>
      <w:r w:rsidRPr="002A58D3">
        <w:rPr>
          <w:rFonts w:ascii="Times New Roman" w:hAnsi="Times New Roman"/>
          <w:sz w:val="20"/>
          <w:szCs w:val="20"/>
        </w:rPr>
        <w:t>2016</w:t>
      </w:r>
      <w:r>
        <w:rPr>
          <w:rFonts w:ascii="Times New Roman" w:hAnsi="Times New Roman"/>
          <w:sz w:val="20"/>
          <w:szCs w:val="20"/>
        </w:rPr>
        <w:t>/</w:t>
      </w:r>
      <w:r w:rsidRPr="002A58D3">
        <w:rPr>
          <w:rFonts w:ascii="Times New Roman" w:hAnsi="Times New Roman"/>
          <w:sz w:val="20"/>
          <w:szCs w:val="20"/>
        </w:rPr>
        <w:t>778</w:t>
      </w:r>
      <w:r>
        <w:rPr>
          <w:rFonts w:ascii="Times New Roman" w:hAnsi="Times New Roman"/>
          <w:sz w:val="20"/>
          <w:szCs w:val="20"/>
        </w:rPr>
        <w:t xml:space="preserve"> al Comisiei</w:t>
      </w:r>
      <w:r>
        <w:rPr>
          <w:rFonts w:ascii="Times New Roman" w:hAnsi="Times New Roman" w:cs="Times New Roman"/>
          <w:vertAlign w:val="superscript"/>
          <w:lang w:val="en-GB"/>
        </w:rPr>
        <w:footnoteReference w:id="18"/>
      </w:r>
      <w:r>
        <w:rPr>
          <w:rFonts w:ascii="Times New Roman" w:hAnsi="Times New Roman"/>
          <w:sz w:val="20"/>
          <w:szCs w:val="20"/>
        </w:rPr>
        <w:t>, o funcție este considerată critică atunci când îndeplinește simultan următoarele două condiții:</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funcția este furnizată de o instituție unor părți terțe care nu sunt afiliate instituției sau grupului; și</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perturbarea bruscă a furnizării funcției respective ar avea un impact negativ semnificativ asupra părților terțe, ar avea un efect de contagiune sau ar afecta încrederea generală a actorilor de pe piață, dată fiind relevanța sistemică a funcției pentru părțile terțe și relevanța sistemică a instituției sau a grupului în exercitarea acestei funcții.</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temeiul articolului </w:t>
      </w:r>
      <w:r w:rsidRPr="002A58D3">
        <w:rPr>
          <w:rFonts w:ascii="Times New Roman" w:hAnsi="Times New Roman"/>
          <w:sz w:val="20"/>
          <w:szCs w:val="20"/>
        </w:rPr>
        <w:t>2</w:t>
      </w:r>
      <w:r>
        <w:rPr>
          <w:rFonts w:ascii="Times New Roman" w:hAnsi="Times New Roman"/>
          <w:sz w:val="20"/>
          <w:szCs w:val="20"/>
        </w:rPr>
        <w:t xml:space="preserve"> alineatul (</w:t>
      </w:r>
      <w:r w:rsidRPr="002A58D3">
        <w:rPr>
          <w:rFonts w:ascii="Times New Roman" w:hAnsi="Times New Roman"/>
          <w:sz w:val="20"/>
          <w:szCs w:val="20"/>
        </w:rPr>
        <w:t>1</w:t>
      </w:r>
      <w:r>
        <w:rPr>
          <w:rFonts w:ascii="Times New Roman" w:hAnsi="Times New Roman"/>
          <w:sz w:val="20"/>
          <w:szCs w:val="20"/>
        </w:rPr>
        <w:t xml:space="preserve">) punctul </w:t>
      </w:r>
      <w:r w:rsidRPr="002A58D3">
        <w:rPr>
          <w:rFonts w:ascii="Times New Roman" w:hAnsi="Times New Roman"/>
          <w:sz w:val="20"/>
          <w:szCs w:val="20"/>
        </w:rPr>
        <w:t>36</w:t>
      </w:r>
      <w:r>
        <w:rPr>
          <w:rFonts w:ascii="Times New Roman" w:hAnsi="Times New Roman"/>
          <w:sz w:val="20"/>
          <w:szCs w:val="20"/>
        </w:rPr>
        <w:t xml:space="preserve"> din Directiva </w:t>
      </w:r>
      <w:r w:rsidRPr="002A58D3">
        <w:rPr>
          <w:rFonts w:ascii="Times New Roman" w:hAnsi="Times New Roman"/>
          <w:sz w:val="20"/>
          <w:szCs w:val="20"/>
        </w:rPr>
        <w:t>2014</w:t>
      </w:r>
      <w:r>
        <w:rPr>
          <w:rFonts w:ascii="Times New Roman" w:hAnsi="Times New Roman"/>
          <w:sz w:val="20"/>
          <w:szCs w:val="20"/>
        </w:rPr>
        <w:t>/</w:t>
      </w:r>
      <w:r w:rsidRPr="002A58D3">
        <w:rPr>
          <w:rFonts w:ascii="Times New Roman" w:hAnsi="Times New Roman"/>
          <w:sz w:val="20"/>
          <w:szCs w:val="20"/>
        </w:rPr>
        <w:t>59</w:t>
      </w:r>
      <w:r>
        <w:rPr>
          <w:rFonts w:ascii="Times New Roman" w:hAnsi="Times New Roman"/>
          <w:sz w:val="20"/>
          <w:szCs w:val="20"/>
        </w:rPr>
        <w:t>/UE, «linii de activitate esențiale» înseamnă liniile de activitate și serviciile asociate care reprezintă importante surse de venit, de profit sau de valoare a francizei pentru o instituție sau pentru un grup din care face parte instituția.</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În sensul prezentei machete, funcțiile economice se referă la funcțiile enumerate în tabelul de mai jos.</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Pentru fiecare categorie de funcții economice, se poate alege mențiunea «altele», în cazul în care funcția nu se regăsește printre celelalte funcții predefinite.</w:t>
      </w:r>
    </w:p>
    <w:p w14:paraId="4FB784E0" w14:textId="76DEA891"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Contrapărțile menționate la rândurile </w:t>
      </w:r>
      <w:r w:rsidRPr="002A58D3">
        <w:rPr>
          <w:rFonts w:ascii="Times New Roman" w:hAnsi="Times New Roman"/>
          <w:sz w:val="20"/>
          <w:szCs w:val="20"/>
        </w:rPr>
        <w:t>0010</w:t>
      </w:r>
      <w:r>
        <w:rPr>
          <w:rFonts w:ascii="Times New Roman" w:hAnsi="Times New Roman"/>
          <w:sz w:val="20"/>
          <w:szCs w:val="20"/>
        </w:rPr>
        <w:t>-</w:t>
      </w:r>
      <w:r w:rsidRPr="002A58D3">
        <w:rPr>
          <w:rFonts w:ascii="Times New Roman" w:hAnsi="Times New Roman"/>
          <w:sz w:val="20"/>
          <w:szCs w:val="20"/>
        </w:rPr>
        <w:t>0070</w:t>
      </w:r>
      <w:r>
        <w:rPr>
          <w:rFonts w:ascii="Times New Roman" w:hAnsi="Times New Roman"/>
          <w:sz w:val="20"/>
          <w:szCs w:val="20"/>
        </w:rPr>
        <w:t xml:space="preserve"> și la rândurile </w:t>
      </w:r>
      <w:r w:rsidRPr="002A58D3">
        <w:rPr>
          <w:rFonts w:ascii="Times New Roman" w:hAnsi="Times New Roman"/>
          <w:sz w:val="20"/>
          <w:szCs w:val="20"/>
        </w:rPr>
        <w:t>0080</w:t>
      </w:r>
      <w:r>
        <w:rPr>
          <w:rFonts w:ascii="Times New Roman" w:hAnsi="Times New Roman"/>
          <w:sz w:val="20"/>
          <w:szCs w:val="20"/>
        </w:rPr>
        <w:t>-</w:t>
      </w:r>
      <w:r w:rsidRPr="002A58D3">
        <w:rPr>
          <w:rFonts w:ascii="Times New Roman" w:hAnsi="Times New Roman"/>
          <w:sz w:val="20"/>
          <w:szCs w:val="20"/>
        </w:rPr>
        <w:t>0150</w:t>
      </w:r>
      <w:r>
        <w:rPr>
          <w:rFonts w:ascii="Times New Roman" w:hAnsi="Times New Roman"/>
          <w:sz w:val="20"/>
          <w:szCs w:val="20"/>
        </w:rPr>
        <w:t xml:space="preserve"> sunt definite în mod identic cu sectoarele contrapărților, astfel cum este prevăzut în FINREP, anexa V partea </w:t>
      </w:r>
      <w:r w:rsidRPr="002A58D3">
        <w:rPr>
          <w:rFonts w:ascii="Times New Roman" w:hAnsi="Times New Roman"/>
          <w:sz w:val="20"/>
          <w:szCs w:val="20"/>
        </w:rPr>
        <w:t>1</w:t>
      </w:r>
      <w:r>
        <w:rPr>
          <w:rFonts w:ascii="Times New Roman" w:hAnsi="Times New Roman"/>
          <w:sz w:val="20"/>
          <w:szCs w:val="20"/>
        </w:rPr>
        <w:t xml:space="preserve"> capitolul </w:t>
      </w:r>
      <w:r w:rsidRPr="002A58D3">
        <w:rPr>
          <w:rFonts w:ascii="Times New Roman" w:hAnsi="Times New Roman"/>
          <w:sz w:val="20"/>
          <w:szCs w:val="20"/>
        </w:rPr>
        <w:t>6</w:t>
      </w:r>
      <w:r>
        <w:rPr>
          <w:rFonts w:ascii="Times New Roman" w:hAnsi="Times New Roman"/>
          <w:sz w:val="20"/>
          <w:szCs w:val="20"/>
        </w:rPr>
        <w:t>. «IMM</w:t>
      </w:r>
      <w:r w:rsidR="000C61CC">
        <w:rPr>
          <w:rFonts w:ascii="Times New Roman" w:hAnsi="Times New Roman" w:cs="Times New Roman"/>
          <w:sz w:val="20"/>
          <w:szCs w:val="20"/>
        </w:rPr>
        <w:t>­</w:t>
      </w:r>
      <w:r>
        <w:rPr>
          <w:rFonts w:ascii="Times New Roman" w:hAnsi="Times New Roman"/>
          <w:sz w:val="20"/>
          <w:szCs w:val="20"/>
        </w:rPr>
        <w:t xml:space="preserve">uri» se referă la IMM-uri astfel cum sunt definite în FINREP, anexa V partea </w:t>
      </w:r>
      <w:r w:rsidRPr="002A58D3">
        <w:rPr>
          <w:rFonts w:ascii="Times New Roman" w:hAnsi="Times New Roman"/>
          <w:sz w:val="20"/>
          <w:szCs w:val="20"/>
        </w:rPr>
        <w:t>1</w:t>
      </w:r>
      <w:r>
        <w:rPr>
          <w:rFonts w:ascii="Times New Roman" w:hAnsi="Times New Roman"/>
          <w:sz w:val="20"/>
          <w:szCs w:val="20"/>
        </w:rPr>
        <w:t xml:space="preserve"> punctul </w:t>
      </w:r>
      <w:r w:rsidRPr="002A58D3">
        <w:rPr>
          <w:rFonts w:ascii="Times New Roman" w:hAnsi="Times New Roman"/>
          <w:sz w:val="20"/>
          <w:szCs w:val="20"/>
        </w:rPr>
        <w:t>5</w:t>
      </w:r>
      <w:r>
        <w:rPr>
          <w:rFonts w:ascii="Times New Roman" w:hAnsi="Times New Roman"/>
          <w:sz w:val="20"/>
          <w:szCs w:val="20"/>
        </w:rPr>
        <w:t xml:space="preserve"> litera</w:t>
      </w:r>
      <w:r w:rsidR="000C61CC">
        <w:rPr>
          <w:rFonts w:ascii="Times New Roman" w:hAnsi="Times New Roman"/>
          <w:sz w:val="20"/>
          <w:szCs w:val="20"/>
        </w:rPr>
        <w:t> </w:t>
      </w:r>
      <w:r>
        <w:rPr>
          <w:rFonts w:ascii="Times New Roman" w:hAnsi="Times New Roman"/>
          <w:sz w:val="20"/>
          <w:szCs w:val="20"/>
        </w:rPr>
        <w:t>(i).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Funcția economică</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Depozite</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Atragerea de depozite se referă la acceptarea de depozite de la intermediari nefinanciari. Aceasta nu include contractarea de împrumuturi de la alți intermediari financiari, care este abordată separat la rubrica «Finanțare interbancară».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Depozitele includ: i) conturile curente/depozitele overnight, ii) depozitele la termen și iii) depozitele rambursabile după notificare, și exclud acordurile repo.</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Referințe: Ghidul CSF privind identificarea funcțiilor critice și a serviciilor critice partajate (</w:t>
            </w:r>
            <w:r>
              <w:rPr>
                <w:rFonts w:ascii="Times New Roman" w:hAnsi="Times New Roman"/>
                <w:i/>
                <w:iCs/>
                <w:color w:val="000000" w:themeColor="text1"/>
                <w:sz w:val="20"/>
                <w:szCs w:val="20"/>
              </w:rPr>
              <w:t>FSB Guidance on Identification of Critical Functions and Critical Shared Services</w:t>
            </w:r>
            <w:r>
              <w:rPr>
                <w:rFonts w:ascii="Times New Roman" w:hAnsi="Times New Roman"/>
                <w:color w:val="000000" w:themeColor="text1"/>
                <w:sz w:val="20"/>
                <w:szCs w:val="20"/>
              </w:rPr>
              <w:t>)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p. </w:t>
            </w:r>
            <w:r w:rsidRPr="002A58D3">
              <w:rPr>
                <w:rFonts w:ascii="Times New Roman" w:hAnsi="Times New Roman"/>
                <w:color w:val="000000" w:themeColor="text1"/>
                <w:sz w:val="20"/>
                <w:szCs w:val="20"/>
              </w:rPr>
              <w:t>14</w:t>
            </w:r>
            <w:r>
              <w:rPr>
                <w:rFonts w:ascii="Times New Roman" w:hAnsi="Times New Roman"/>
                <w:color w:val="000000" w:themeColor="text1"/>
                <w:sz w:val="20"/>
                <w:szCs w:val="20"/>
              </w:rPr>
              <w:t>; anexa II partea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punctele </w:t>
            </w: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1071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Gospodării</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Societăți nefinanciare (IMM-uri)</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Societăți nefinanciare (altele decât IMM-uri)</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Administrații publice</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Alte sectoare/contrapărți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și (</w:t>
            </w:r>
            <w:r w:rsidRPr="002A58D3">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Acordarea de credite</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Acordarea de credite se referă la furnizarea de fonduri contrapărților nefinanciare, cum ar fi clienții întreprinderi sau clienții retail. Acordarea de credite contrapărților financiare este o activitate distinctă și este evaluată la rubrica «Finanțare interbancară». Împrumuturile acordate includ instrumentele de datorie deținute de instituții, dar nu includ instrumentele de datorie care sunt titluri de valoare, indiferent de clasificarea contabilă a acestora.</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Referințe: Ghidul CSF privind identificarea funcțiilor critice și a serviciilor critice partajate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p. </w:t>
            </w:r>
            <w:r w:rsidRPr="002A58D3">
              <w:rPr>
                <w:rFonts w:ascii="Times New Roman" w:hAnsi="Times New Roman"/>
                <w:color w:val="000000" w:themeColor="text1"/>
                <w:sz w:val="20"/>
                <w:szCs w:val="20"/>
              </w:rPr>
              <w:t>17</w:t>
            </w:r>
            <w:r>
              <w:rPr>
                <w:rFonts w:ascii="Times New Roman" w:hAnsi="Times New Roman"/>
                <w:color w:val="000000" w:themeColor="text1"/>
                <w:sz w:val="20"/>
                <w:szCs w:val="20"/>
              </w:rPr>
              <w:t>; anexa II partea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1071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Gospodării – credite pentru achiziționarea de locuințe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Acordarea de credite pentru achiziționarea de locuințe înseamnă împrumuturi acordate gospodăriilor în scopul de a investi în locuințe pentru utilizare proprie și pentru închiriere, inclusiv în scopul construirii sau în scopul renovării.</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Gospodării – alte tipuri de credite</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Societăți nefinanciare – IMM-uri</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Societăți nefinanciare – altele decât IMM-uri</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Administrații publice</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Alte sectoare/contrapărți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și (</w:t>
            </w:r>
            <w:r w:rsidRPr="002A58D3">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plăți, de numerar, de decontare, de compensare, de custodie</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Referință: Ghidul CSF privind identificarea funcțiilor critice și a serviciilor critice partajate (</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 p.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Funcțiile economice incluse în această rubrică constau în furnizarea de servicii de plăți, de numerar, de decontare, de compensare și de custodie, de către o instituție de credit, în calitate de intermediar între clienții proprii sau în calitate de intermediar între un client și una sau mai multe infrastructuri relevante ale pieței financiare (IPF) ori furnizarea de acces (indirect) la IPF-uri pentru alte bănci. În conformitate cu Ghidul CSF privind identificarea funcțiilor critice și a serviciilor critice partajate, funcția de plată, compensare și decontare este limitată la serviciile furnizate de bănci clienților lor. Această categorie nu include serviciile oferite de furnizorii (exclusivi) de IPF. În scopul prezentei machete, IPF-urile includ sistemele de plăți, sistemele de decontare a titlurilor de valoare, depozitarii centrali de titluri de valoare și contrapărțile centrale (și nu includ registrele centrale de tranzacții).</w:t>
            </w:r>
          </w:p>
          <w:p w14:paraId="5D38D5ED" w14:textId="02A8F25A"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Termenii «serviciu de plată», «operațiune de plată» și «sistem de plată» au sensul definit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punctele</w:t>
            </w:r>
            <w:r w:rsidR="000C61CC">
              <w:rPr>
                <w:rFonts w:ascii="Times New Roman" w:hAnsi="Times New Roman"/>
                <w:color w:val="000000" w:themeColor="text1"/>
                <w:sz w:val="20"/>
                <w:szCs w:val="20"/>
              </w:rPr>
              <w:t>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și, respectiv,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Directiva (UE) </w:t>
            </w:r>
            <w:r w:rsidRPr="002A58D3">
              <w:rPr>
                <w:rFonts w:ascii="Times New Roman" w:hAnsi="Times New Roman"/>
                <w:color w:val="000000" w:themeColor="text1"/>
                <w:sz w:val="20"/>
                <w:szCs w:val="20"/>
              </w:rPr>
              <w:t>2015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2366</w:t>
            </w:r>
            <w:r>
              <w:rPr>
                <w:rFonts w:ascii="Times New Roman" w:hAnsi="Times New Roman"/>
                <w:color w:val="000000" w:themeColor="text1"/>
                <w:sz w:val="20"/>
                <w:szCs w:val="20"/>
              </w:rPr>
              <w:t xml:space="preserve"> a Parlamentului European și a Consiliului</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D1040F"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fr-BE"/>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plată către IFM-uri</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rând include serviciile de plată oferite instituțiilor financiare monetare (IFM), cu sau fără utilizarea unor sisteme de plată externe. Sunt incluse, de asemenea, (plățile legate de) serviciile bancare corespunzătoare. IFM-urile reprezintă toate unitățile instituționale incluse în următoarele subsectoare: i) bănci centrale; ii) societăți care acceptă depozite, exclusiv banca centrală și iii) fonduri de piață monetară.</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plată către alte instituții decât IFM-urile</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plată oferite clienților, cu sau fără utilizarea unor sisteme de plată externe. Sunt incluse numai persoanele fizice sau juridice care nu aparțin sectorului IFM-urilor. Furnizorii de servicii de plată sunt, de asemenea, excluși din sectorul «alte instituții decât IFM-urile».</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numerar</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Furnizarea de servicii de numerar către clienți (atât persoane fizice, cât și întreprinderi, doar alte instituții decât IFM-urile). Aceste servicii se referă la retragerile de la bancomate și de la ghișeele sucursalelor bancare și nu includ și alte servicii de numerar (printre care se numără serviciile de transport de numerar pentru marea distribuție). Sunt incluse retragerile de numerar pe bază de cecuri și retragerile de numerar de la ghișeele sucursalelor cu ajutorul formularelor bancare (cazuri în care cardurile pot fi utilizate ca mijloace de identificare).</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decontare a titlurilor de valoare</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oferite clienților pentru confirmarea, compensarea și decontarea tranzacțiilor cu titluri de valoare, cu sau fără utilizarea sistemelor de decontare a titlurilor de valoare. «Decontare» înseamnă finalizarea unei tranzacții cu titluri de valoare, indiferent de locul în care este încheiată, în scopul stingerii obligațiilor părților la tranzacția respectivă prin transferul de fonduri bănești și/sau de titluri de valoare.</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compensare CPC</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compensare în cazul titlurilor de valoare și al instrumentelor financiare derivate oferite clienților. Este inclusă, de asemenea, furnizarea de acces indirect la o contraparte centrală (CPC).</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Servicii de custodie</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Păstrarea și administrarea instrumentelor financiare pentru clienți și servicii legate de custodie, cum ar fi gestionarea numerarului și a garanțiilor reale.</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8</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Alte servicii/activități/funcții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și (</w:t>
            </w:r>
            <w:r w:rsidRPr="002A58D3">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Piețe de capital</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Activitățile de pe piețele de capital se referă la emiterea și tranzacționarea de titluri de valoare, la serviciile de consiliere conexe, precum și la serviciile conexe, cum ar fi serviciile cu un broker principal și formarea pieței.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Instrumente derivate deținute în vederea tranzacționării (extrabursiere)</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Articolul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punctele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Regulamentul (UE) nr. </w:t>
            </w:r>
            <w:r w:rsidRPr="002A58D3">
              <w:rPr>
                <w:rFonts w:ascii="Times New Roman" w:hAnsi="Times New Roman"/>
                <w:color w:val="000000" w:themeColor="text1"/>
                <w:sz w:val="20"/>
                <w:szCs w:val="20"/>
              </w:rPr>
              <w:t>648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2012</w:t>
            </w:r>
            <w:r>
              <w:rPr>
                <w:rFonts w:ascii="Times New Roman" w:hAnsi="Times New Roman"/>
                <w:color w:val="000000" w:themeColor="text1"/>
                <w:sz w:val="20"/>
                <w:szCs w:val="20"/>
              </w:rPr>
              <w:t>.</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 «instrument financiar derivat» sau «contract derivat» înseamnă un instrument financiar astfel cum este prevăzut în secțiunea C punctele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 xml:space="preserve"> din anexa I la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65</w:t>
            </w:r>
            <w:r>
              <w:rPr>
                <w:rFonts w:ascii="Times New Roman" w:hAnsi="Times New Roman"/>
                <w:color w:val="000000" w:themeColor="text1"/>
                <w:sz w:val="20"/>
                <w:szCs w:val="20"/>
              </w:rPr>
              <w:t xml:space="preserve">/UE, astfel cum sunt puse în aplicare prin articolele </w:t>
            </w:r>
            <w:r w:rsidRPr="002A58D3">
              <w:rPr>
                <w:rFonts w:ascii="Times New Roman" w:hAnsi="Times New Roman"/>
                <w:color w:val="000000" w:themeColor="text1"/>
                <w:sz w:val="20"/>
                <w:szCs w:val="20"/>
              </w:rPr>
              <w:t>38</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39</w:t>
            </w:r>
            <w:r>
              <w:rPr>
                <w:rFonts w:ascii="Times New Roman" w:hAnsi="Times New Roman"/>
                <w:color w:val="000000" w:themeColor="text1"/>
                <w:sz w:val="20"/>
                <w:szCs w:val="20"/>
              </w:rPr>
              <w:t xml:space="preserve"> din Regulamentul (CE) nr. </w:t>
            </w:r>
            <w:r w:rsidRPr="002A58D3">
              <w:rPr>
                <w:rFonts w:ascii="Times New Roman" w:hAnsi="Times New Roman"/>
                <w:color w:val="000000" w:themeColor="text1"/>
                <w:sz w:val="20"/>
                <w:szCs w:val="20"/>
              </w:rPr>
              <w:t>1287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2006</w:t>
            </w:r>
            <w:r>
              <w:rPr>
                <w:rFonts w:ascii="Times New Roman" w:hAnsi="Times New Roman"/>
                <w:color w:val="000000" w:themeColor="text1"/>
                <w:sz w:val="20"/>
                <w:szCs w:val="20"/>
              </w:rPr>
              <w:t xml:space="preserve"> al Comisiei</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 «instrument financiar derivat extrabursier» sau «contract derivat extrabursier» înseamnă un contract derivat a cărui executare nu are loc pe o piață reglementată în sensul definiției de la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21</w:t>
            </w:r>
            <w:r>
              <w:rPr>
                <w:rFonts w:ascii="Times New Roman" w:hAnsi="Times New Roman"/>
                <w:color w:val="000000" w:themeColor="text1"/>
                <w:sz w:val="20"/>
                <w:szCs w:val="20"/>
              </w:rPr>
              <w:t xml:space="preserve"> din Directiva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65</w:t>
            </w:r>
            <w:r>
              <w:rPr>
                <w:rFonts w:ascii="Times New Roman" w:hAnsi="Times New Roman"/>
                <w:color w:val="000000" w:themeColor="text1"/>
                <w:sz w:val="20"/>
                <w:szCs w:val="20"/>
              </w:rPr>
              <w:t xml:space="preserve">/UE sau pe o piață dintr-o țară terță considerată a fi echivalentă cu o piață reglementată conform articolului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a din Regulamentul (UE) nr. </w:t>
            </w:r>
            <w:r w:rsidRPr="002A58D3">
              <w:rPr>
                <w:rFonts w:ascii="Times New Roman" w:hAnsi="Times New Roman"/>
                <w:color w:val="000000" w:themeColor="text1"/>
                <w:sz w:val="20"/>
                <w:szCs w:val="20"/>
              </w:rPr>
              <w:t>648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2012</w:t>
            </w:r>
            <w:r>
              <w:rPr>
                <w:rFonts w:ascii="Times New Roman" w:hAnsi="Times New Roman"/>
                <w:color w:val="000000" w:themeColor="text1"/>
                <w:sz w:val="20"/>
                <w:szCs w:val="20"/>
              </w:rPr>
              <w:t>.</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care trebuie raportat nu include instrumentele financiare derivate tranzacționate pe piața extrabursieră.</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Instrumente derivate deținute în vederea tranzacționării (care nu sunt extrabursiere)</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Toate instrumentele financiare derivate deținute în vederea tranzacționării, excluzând instrumentele financiare derivate extrabursiere deținute în vederea tranzacționării.</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Piețe secundare/tranzacționare</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Prin piață secundară se înțelege piața în cadrul căreia investitorii cumpără și vând titluri de valoare. Această funcție se aplică integralității portofoliului de tranzacționare (și anume, capitalul propriu, creditele acordate întreprinderilor, creditul suveran).</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care trebuie raportat include valoarea titlurilor măsurată sub forma valorii totale a titlurilor deținute în vederea tranzacționării. Titlurile de valoare se raportează la valoarea justă la data de raportare.</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Cuantumul nu include nici împrumuturi, nici instrumente financiare derivate, nici active netranzacționabile (de exemplu, creanțe).</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Piețe primare/subscriere</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Piețele primare sunt cele în care întreprinderile, administrațiile publice și alte grupuri emit pe bursă noi titluri de valoare, pentru a obține finanțare prin intermediul titlurilor bazate pe datorii sau al titlurilor bazate pe fonduri proprii (cum ar fi acțiuni ordinare și acțiuni preferențiale, obligațiuni corporative, titluri, efecte, obligațiuni de stat). Piețele primare sunt animate de grupuri de subscriere.</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Alte servicii/activități/funcții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și (</w:t>
            </w:r>
            <w:r w:rsidRPr="002A58D3">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Finanțare interbancară</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Activități de acordare de credite și de contractare de împrumuturi pe piețele interbancare către și de la contrapărți financiare (instituții de credit și alte societăți financiare).</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Contractarea de împrumuturi</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Contractarea de împrumuturi pe piețele interbancare de la contrapărți financiare (inclusiv prin intermediul acordurilor repo, al împrumuturilor interbancare, al efectelor de comerț, al certificatelor de depozit, al fondurilor de piață monetară, al liniilor de credit, al efectelor de comerț garantate cu active și al depozitelor fiduciare).</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Instrumente derivate (active)</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Toate instrumentele derivate cu contrapărți financiare deținute în partea de active a bilanțului. În contrast cu rubrica «Piețe de capital», în rubrica «Finanțare interbancară» instrumentele financiare derivate includ toate contractele derivate cu contrapărți financiare (nu doar cele deținute în vederea tranzacționării).</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0C61CC">
            <w:pPr>
              <w:pStyle w:val="TableParagraph"/>
              <w:keepNext/>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Acordarea de credite</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Acordarea de credite pe piețele interbancare contrapărților financiare (inclusiv prin intermediul creditelor acordate în cadrul operațiunilor reverse repo, al efectelor de comerț, al certificatelor de depozit, al fondurilor de piață monetară, al liniilor de credit, al efectelor de comerț garantate cu active și al depozitelor fiduciare).</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Instrumente derivate (datorii)</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Toate instrumentele derivate cu contrapărți financiare deținute în partea de pasive a bilanțului.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Alte tipuri de produse (</w:t>
            </w:r>
            <w:r w:rsidRPr="002A58D3">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2A58D3">
              <w:rPr>
                <w:rFonts w:ascii="Times New Roman" w:hAnsi="Times New Roman"/>
                <w:b/>
                <w:bCs/>
                <w:color w:val="000000" w:themeColor="text1"/>
                <w:sz w:val="20"/>
                <w:szCs w:val="20"/>
              </w:rPr>
              <w:t>2</w:t>
            </w:r>
            <w:r>
              <w:rPr>
                <w:rFonts w:ascii="Times New Roman" w:hAnsi="Times New Roman"/>
                <w:b/>
                <w:bCs/>
                <w:color w:val="000000" w:themeColor="text1"/>
                <w:sz w:val="20"/>
                <w:szCs w:val="20"/>
              </w:rPr>
              <w:t>) și (</w:t>
            </w:r>
            <w:r w:rsidRPr="002A58D3">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p w14:paraId="71DB3BF2" w14:textId="6D5CD7E9" w:rsidR="007827E9" w:rsidRPr="00D92B3C" w:rsidRDefault="007827E9" w:rsidP="000C61C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Orice funcție a funcției economice «Finanțare interbancară» care nu este inclusă printre punctele</w:t>
            </w:r>
            <w:r w:rsidR="000C61CC">
              <w:rPr>
                <w:rFonts w:ascii="Times New Roman" w:hAnsi="Times New Roman"/>
                <w:color w:val="000000" w:themeColor="text1"/>
                <w:sz w:val="20"/>
                <w:szCs w:val="20"/>
              </w:rPr>
              <w:t>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w:t>
      </w:r>
      <w:r w:rsidRPr="002A58D3">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2A58D3">
        <w:rPr>
          <w:rFonts w:ascii="Times New Roman" w:hAnsi="Times New Roman"/>
          <w:b w:val="0"/>
          <w:color w:val="000000" w:themeColor="text1"/>
          <w:sz w:val="20"/>
          <w:szCs w:val="20"/>
          <w:u w:val="single"/>
        </w:rPr>
        <w:t>01</w:t>
      </w:r>
      <w:r>
        <w:rPr>
          <w:rFonts w:ascii="Times New Roman" w:hAnsi="Times New Roman"/>
          <w:b w:val="0"/>
          <w:color w:val="000000" w:themeColor="text1"/>
          <w:sz w:val="20"/>
          <w:szCs w:val="20"/>
          <w:u w:val="single"/>
        </w:rPr>
        <w:t xml:space="preserve"> – Evaluarea caracterului critic al funcțiilor economice (FUNC </w:t>
      </w:r>
      <w:r w:rsidRPr="002A58D3">
        <w:rPr>
          <w:rFonts w:ascii="Times New Roman" w:hAnsi="Times New Roman"/>
          <w:b w:val="0"/>
          <w:color w:val="000000" w:themeColor="text1"/>
          <w:sz w:val="20"/>
          <w:szCs w:val="20"/>
          <w:u w:val="single"/>
        </w:rPr>
        <w:t>1</w:t>
      </w:r>
      <w:r>
        <w:rPr>
          <w:rFonts w:ascii="Times New Roman" w:hAnsi="Times New Roman"/>
          <w:b w:val="0"/>
          <w:color w:val="000000" w:themeColor="text1"/>
          <w:sz w:val="20"/>
          <w:szCs w:val="20"/>
          <w:u w:val="single"/>
        </w:rPr>
        <w:t>): Instrucțiuni privind anumite poziții</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Prezenta machetă este raportată o singură dată pentru fiecare stat membru (identificat ca «țară») în care grupul își desfășoară activitatea.</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Aceasta acoperă toate funcțiile economice exercitate în statul membru respectiv de orice entitate din grup, indiferent dacă funcția respectivă este o funcție critică sau nu.</w:t>
      </w:r>
    </w:p>
    <w:p w14:paraId="0F54907C" w14:textId="77777777" w:rsidR="005244DF" w:rsidRPr="00D1040F"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Rânduri</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Funcții economice</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Funcții economice astfel cum sunt definite mai sus</w:t>
            </w:r>
          </w:p>
        </w:tc>
      </w:tr>
    </w:tbl>
    <w:p w14:paraId="1B2F7A7F"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Descrierea funcției economice</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cazul în care funcția economică este de tipul «Altele» (funcțiile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8</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9</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se furnizează o descriere a funcției respective.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Cotă de piață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Estimarea cotei de piață a instituției sau a grupului pentru funcția economică din țara respectivă. Ca procent din piața totală în termeni de valoare monetară.</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Valoarea monetară</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Conținutul acestei coloane depinde de funcția economică exersată.</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Depozite</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Valoarea contabilă (inclusiv dobânda acumulată) a depozitelor acceptate.</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Referințe: FINREP, anexele III și IV, formularul F </w:t>
            </w:r>
            <w:r w:rsidRPr="002A58D3">
              <w:rPr>
                <w:rFonts w:ascii="Times New Roman" w:hAnsi="Times New Roman"/>
                <w:color w:val="000000" w:themeColor="text1"/>
                <w:sz w:val="20"/>
                <w:szCs w:val="20"/>
              </w:rPr>
              <w:t>08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și anexa V partea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97</w:t>
            </w:r>
            <w:r>
              <w:rPr>
                <w:rFonts w:ascii="Times New Roman" w:hAnsi="Times New Roman"/>
                <w:color w:val="000000" w:themeColor="text1"/>
                <w:sz w:val="20"/>
                <w:szCs w:val="20"/>
              </w:rPr>
              <w:t>.</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Acordarea de credite</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Valoarea contabilă brută a creditelor și avansurilor nedepreciate și depreciate (inclusiv dobânda acumulată). Stocul de credite este utilizat ca valoare aproximativă pentru creditele viitoare preconizate.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Referințe: FINREP, anexele III și IV, formularul F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și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34</w:t>
            </w:r>
            <w:r>
              <w:rPr>
                <w:rFonts w:ascii="Times New Roman" w:hAnsi="Times New Roman"/>
                <w:color w:val="000000" w:themeColor="text1"/>
                <w:sz w:val="20"/>
                <w:szCs w:val="20"/>
              </w:rPr>
              <w:t xml:space="preserve"> litera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plăți, de numerar, de decontare, de compensare, de custodie</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Ca regulă generală, se raportează media tranzacțiilor zilnice din decursul anului. În cazul în care aceasta nu este disponibilă, se poate raporta o medie pe o perioadă mai scurtă (de exemplu, câteva luni).</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special în ceea ce privește diferitele funcții, se iau în considerare următoarele măsuri: </w:t>
            </w:r>
          </w:p>
          <w:p w14:paraId="66BA4289" w14:textId="60F26AEC"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plată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și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valoare</w:t>
            </w:r>
            <w:r w:rsidR="00D1040F">
              <w:rPr>
                <w:rFonts w:ascii="Times New Roman" w:hAnsi="Times New Roman"/>
                <w:color w:val="000000" w:themeColor="text1"/>
                <w:sz w:val="20"/>
                <w:szCs w:val="20"/>
              </w:rPr>
              <w:t>a operațiunilor trimise.</w:t>
            </w:r>
            <w:r>
              <w:br/>
            </w:r>
            <w:r>
              <w:rPr>
                <w:rFonts w:ascii="Times New Roman" w:hAnsi="Times New Roman"/>
                <w:color w:val="000000" w:themeColor="text1"/>
                <w:sz w:val="20"/>
                <w:szCs w:val="20"/>
              </w:rPr>
              <w:t>(Referințe: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din Directiva (UE) </w:t>
            </w:r>
            <w:r w:rsidRPr="002A58D3">
              <w:rPr>
                <w:rFonts w:ascii="Times New Roman" w:hAnsi="Times New Roman"/>
                <w:color w:val="000000" w:themeColor="text1"/>
                <w:sz w:val="20"/>
                <w:szCs w:val="20"/>
              </w:rPr>
              <w:t>2015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2366</w:t>
            </w:r>
            <w:r>
              <w:rPr>
                <w:rFonts w:ascii="Times New Roman" w:hAnsi="Times New Roman"/>
                <w:color w:val="000000" w:themeColor="text1"/>
                <w:sz w:val="20"/>
                <w:szCs w:val="20"/>
              </w:rPr>
              <w:t>; BCE/</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numerar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valoarea tranzacțiilor la bancomate, astfel cum sunt definite în tabelul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BCE/</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43</w:t>
            </w:r>
            <w:r>
              <w:rPr>
                <w:rFonts w:ascii="Times New Roman" w:hAnsi="Times New Roman"/>
                <w:color w:val="000000" w:themeColor="text1"/>
                <w:sz w:val="20"/>
                <w:szCs w:val="20"/>
              </w:rPr>
              <w:t xml:space="preserve">, precum și retragerile de numerar OTC, astfel cum sunt definite în tabelul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din BCE/</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decontare a titlurilor de valoare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valoarea transferurilor de titluri de valoare procesate în numele clienților. Sunt incluse operațiunile decontate cu un sistem de decontare a titlurilor de valoare sau decontate la nivel intern de instituțiile raportoare, precum și operațiunile «fără plată».</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compensare CPC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pozițiile (expunerea) pe care contrapărțile centrale din care face parte instituția în calitate de membru și le asumă cu instituția în numele clienților săi. Vă rugăm să raportați valoarea medie zilnică a pozițiilor deschise legate de activitatea clienților la nivelul contrapărților centrale. În cazul în care aceasta nu este disponibilă, puteți raporta medii pe o perioadă mai scurtă (de exemplu, câteva luni).</w:t>
            </w:r>
          </w:p>
          <w:p w14:paraId="3027931B" w14:textId="2A2629FD"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custodie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rPr>
                <w:rFonts w:ascii="Times New Roman" w:hAnsi="Times New Roman"/>
                <w:color w:val="000000" w:themeColor="text1"/>
                <w:sz w:val="20"/>
                <w:szCs w:val="20"/>
              </w:rPr>
              <w:t>): valoarea activelor în custodie, folosind valoarea justă. Alte metode de evaluare, inclusiv cele bazate pe valoarea nominală, pot fi folosite în cazul în care valoarea justă nu este disponibilă. În cazurile în care instituția furnizează servicii unor entități precum organismele de plasament colectiv sau fondurile de pensii, activele în cauză pot fi raportate la valoarea la care entitățile respective raportează activele în propriile bilanțuri. Valorile raportate includ dobâ</w:t>
            </w:r>
            <w:r w:rsidR="00D1040F">
              <w:rPr>
                <w:rFonts w:ascii="Times New Roman" w:hAnsi="Times New Roman"/>
                <w:color w:val="000000" w:themeColor="text1"/>
                <w:sz w:val="20"/>
                <w:szCs w:val="20"/>
              </w:rPr>
              <w:t>nda acumulată, dacă este cazul.</w:t>
            </w:r>
            <w:r>
              <w:br/>
            </w:r>
            <w:r>
              <w:rPr>
                <w:rFonts w:ascii="Times New Roman" w:hAnsi="Times New Roman"/>
                <w:color w:val="000000" w:themeColor="text1"/>
                <w:sz w:val="20"/>
                <w:szCs w:val="20"/>
              </w:rPr>
              <w:t>(Referință: FINREP, anexele III și IV formularul F </w:t>
            </w:r>
            <w:r w:rsidRPr="002A58D3">
              <w:rPr>
                <w:rFonts w:ascii="Times New Roman" w:hAnsi="Times New Roman"/>
                <w:color w:val="000000" w:themeColor="text1"/>
                <w:sz w:val="20"/>
                <w:szCs w:val="20"/>
              </w:rPr>
              <w:t>22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Piețe de capital</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Valoarea noțională – a se raporta doar pentru instrumentele financiare derivate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valoarea nominală brută a tuturor tranzacțiilor încheiate și nedecontate încă la data de referință.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Referințe: FINREP, anexa V partea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133</w:t>
            </w:r>
            <w:r>
              <w:rPr>
                <w:rFonts w:ascii="Times New Roman" w:hAnsi="Times New Roman"/>
                <w:color w:val="000000" w:themeColor="text1"/>
                <w:sz w:val="20"/>
                <w:szCs w:val="20"/>
              </w:rPr>
              <w:t xml:space="preserve"> pentru definiție; FINREP, anexele III, IV și V pentru date.</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Instrumente derivate total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formularul F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030</w:t>
            </w:r>
            <w:r>
              <w:rPr>
                <w:rFonts w:ascii="Times New Roman" w:hAnsi="Times New Roman"/>
                <w:color w:val="000000" w:themeColor="text1"/>
                <w:sz w:val="20"/>
                <w:szCs w:val="20"/>
              </w:rPr>
              <w:t xml:space="preserve"> rândul </w:t>
            </w:r>
            <w:r w:rsidRPr="002A58D3">
              <w:rPr>
                <w:rFonts w:ascii="Times New Roman" w:hAnsi="Times New Roman"/>
                <w:color w:val="000000" w:themeColor="text1"/>
                <w:sz w:val="20"/>
                <w:szCs w:val="20"/>
              </w:rPr>
              <w:t>290</w:t>
            </w:r>
            <w:r>
              <w:rPr>
                <w:rFonts w:ascii="Times New Roman" w:hAnsi="Times New Roman"/>
                <w:color w:val="000000" w:themeColor="text1"/>
                <w:sz w:val="20"/>
                <w:szCs w:val="20"/>
              </w:rPr>
              <w:t>.</w:t>
            </w:r>
          </w:p>
          <w:p w14:paraId="6C61E84D" w14:textId="57543CCD"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Instrumente derivate OTC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formularul F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030</w:t>
            </w:r>
            <w:r>
              <w:rPr>
                <w:rFonts w:ascii="Times New Roman" w:hAnsi="Times New Roman"/>
                <w:color w:val="000000" w:themeColor="text1"/>
                <w:sz w:val="20"/>
                <w:szCs w:val="20"/>
              </w:rPr>
              <w:t xml:space="preserve"> rândurile</w:t>
            </w:r>
            <w:r w:rsidR="000C61CC">
              <w:rPr>
                <w:rFonts w:ascii="Times New Roman" w:hAnsi="Times New Roman"/>
                <w:color w:val="000000" w:themeColor="text1"/>
                <w:sz w:val="20"/>
                <w:szCs w:val="20"/>
              </w:rPr>
              <w:t> </w:t>
            </w:r>
            <w:r w:rsidRPr="002A58D3">
              <w:rPr>
                <w:rFonts w:ascii="Times New Roman" w:hAnsi="Times New Roman"/>
                <w:color w:val="000000" w:themeColor="text1"/>
                <w:sz w:val="20"/>
                <w:szCs w:val="20"/>
              </w:rPr>
              <w:t>300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320</w:t>
            </w:r>
            <w:r>
              <w:rPr>
                <w:rFonts w:ascii="Times New Roman" w:hAnsi="Times New Roman"/>
                <w:color w:val="000000" w:themeColor="text1"/>
                <w:sz w:val="20"/>
                <w:szCs w:val="20"/>
              </w:rPr>
              <w:t>.</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Activități ale pieței secundare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valoare contabilă active – valoarea contabilă care trebuie raportată în activul bilanțier, inclusiv dobânda acumulată [FINREP: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27</w:t>
            </w:r>
            <w:r>
              <w:rPr>
                <w:rFonts w:ascii="Times New Roman" w:hAnsi="Times New Roman"/>
                <w:color w:val="000000" w:themeColor="text1"/>
                <w:sz w:val="20"/>
                <w:szCs w:val="20"/>
              </w:rPr>
              <w:t>] pentru instrumentele de capitaluri proprii și titlurile de datorie [FINREP: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31</w:t>
            </w:r>
            <w:r>
              <w:rPr>
                <w:rFonts w:ascii="Times New Roman" w:hAnsi="Times New Roman"/>
                <w:color w:val="000000" w:themeColor="text1"/>
                <w:sz w:val="20"/>
                <w:szCs w:val="20"/>
              </w:rPr>
              <w:t>], clasificate ca «deținute în vederea tranzacționării» [FINREP: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15</w:t>
            </w:r>
            <w:r>
              <w:rPr>
                <w:rFonts w:ascii="Times New Roman" w:hAnsi="Times New Roman"/>
                <w:color w:val="000000" w:themeColor="text1"/>
                <w:sz w:val="20"/>
                <w:szCs w:val="20"/>
              </w:rPr>
              <w:t xml:space="preserve"> litera (a) și punctul </w:t>
            </w:r>
            <w:r w:rsidRPr="002A58D3">
              <w:rPr>
                <w:rFonts w:ascii="Times New Roman" w:hAnsi="Times New Roman"/>
                <w:color w:val="000000" w:themeColor="text1"/>
                <w:sz w:val="20"/>
                <w:szCs w:val="20"/>
              </w:rPr>
              <w:t>16</w:t>
            </w:r>
            <w:r>
              <w:rPr>
                <w:rFonts w:ascii="Times New Roman" w:hAnsi="Times New Roman"/>
                <w:color w:val="000000" w:themeColor="text1"/>
                <w:sz w:val="20"/>
                <w:szCs w:val="20"/>
              </w:rPr>
              <w:t xml:space="preserve"> litera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Referință: FINREP: anexa III formularul F </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rândurile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060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120</w:t>
            </w:r>
            <w:r>
              <w:rPr>
                <w:rFonts w:ascii="Times New Roman" w:hAnsi="Times New Roman"/>
                <w:color w:val="000000" w:themeColor="text1"/>
                <w:sz w:val="20"/>
                <w:szCs w:val="20"/>
              </w:rPr>
              <w:t>.</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Piețe primare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Venit din taxe – taxele și comisioanele primite pentru implicarea în inițierea sau emisiunea de titluri care nu au fost inițiate sau emise de către instituție.</w:t>
            </w:r>
          </w:p>
          <w:p w14:paraId="1930D8B6" w14:textId="3B307C9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Referință: FINREP: anexele III și IV formularul F </w:t>
            </w:r>
            <w:r w:rsidRPr="002A58D3">
              <w:rPr>
                <w:rFonts w:ascii="Times New Roman" w:hAnsi="Times New Roman"/>
                <w:color w:val="000000" w:themeColor="text1"/>
                <w:sz w:val="20"/>
                <w:szCs w:val="20"/>
              </w:rPr>
              <w:t>22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rândurile</w:t>
            </w:r>
            <w:r w:rsidR="000C61CC">
              <w:rPr>
                <w:rFonts w:ascii="Times New Roman" w:hAnsi="Times New Roman"/>
                <w:color w:val="000000" w:themeColor="text1"/>
                <w:sz w:val="20"/>
                <w:szCs w:val="20"/>
              </w:rPr>
              <w:t> </w:t>
            </w:r>
            <w:r w:rsidRPr="002A58D3">
              <w:rPr>
                <w:rFonts w:ascii="Times New Roman" w:hAnsi="Times New Roman"/>
                <w:color w:val="000000" w:themeColor="text1"/>
                <w:sz w:val="20"/>
                <w:szCs w:val="20"/>
              </w:rPr>
              <w:t>030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180</w:t>
            </w:r>
            <w:r>
              <w:rPr>
                <w:rFonts w:ascii="Times New Roman" w:hAnsi="Times New Roman"/>
                <w:color w:val="000000" w:themeColor="text1"/>
                <w:sz w:val="20"/>
                <w:szCs w:val="20"/>
              </w:rPr>
              <w:t>.</w:t>
            </w:r>
          </w:p>
          <w:p w14:paraId="01F6787E" w14:textId="77777777" w:rsidR="005244DF" w:rsidRPr="00D92B3C" w:rsidRDefault="005244DF" w:rsidP="000C61CC">
            <w:pPr>
              <w:pStyle w:val="TableParagraph"/>
              <w:keepNext/>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Finanțare interbancară</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se utiliza valoarea contabilă brută, astfel cum este definită în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Referințe: FINREP: anexa V partea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34</w:t>
            </w:r>
            <w:r>
              <w:rPr>
                <w:rFonts w:ascii="Times New Roman" w:hAnsi="Times New Roman"/>
                <w:color w:val="000000" w:themeColor="text1"/>
                <w:sz w:val="20"/>
                <w:szCs w:val="20"/>
              </w:rPr>
              <w:t>, FINREP: anexele III și IV, formularele:</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Contractarea de împrumuturi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formularul F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06</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rândurile </w:t>
            </w:r>
            <w:r w:rsidRPr="002A58D3">
              <w:rPr>
                <w:rFonts w:ascii="Times New Roman" w:hAnsi="Times New Roman"/>
                <w:color w:val="000000" w:themeColor="text1"/>
                <w:sz w:val="20"/>
                <w:szCs w:val="20"/>
              </w:rPr>
              <w:t>100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110</w:t>
            </w:r>
            <w:r>
              <w:rPr>
                <w:rFonts w:ascii="Times New Roman" w:hAnsi="Times New Roman"/>
                <w:color w:val="000000" w:themeColor="text1"/>
                <w:sz w:val="20"/>
                <w:szCs w:val="20"/>
              </w:rPr>
              <w:t>, toate țările;</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Instrumente derivate (active)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formularul F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rândul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toate țările;</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Acordarea de credite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formularul F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04</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rândurile </w:t>
            </w:r>
            <w:r w:rsidRPr="002A58D3">
              <w:rPr>
                <w:rFonts w:ascii="Times New Roman" w:hAnsi="Times New Roman"/>
                <w:color w:val="000000" w:themeColor="text1"/>
                <w:sz w:val="20"/>
                <w:szCs w:val="20"/>
              </w:rPr>
              <w:t>170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180</w:t>
            </w:r>
            <w:r>
              <w:rPr>
                <w:rFonts w:ascii="Times New Roman" w:hAnsi="Times New Roman"/>
                <w:color w:val="000000" w:themeColor="text1"/>
                <w:sz w:val="20"/>
                <w:szCs w:val="20"/>
              </w:rPr>
              <w:t>, toate țările;</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Instrumente derivate (datorii)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formularul F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06</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rândul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toate țările.</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Indicator numeric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Conținutul acestei coloane depinde de funcția economică exersată.</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Depozite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total al clienților care au depus valorile raportate în valoare monetară. În cazul în care un client utilizează mai multe produse de depozit/conturi de depozit, clientul respectiv este luat în calcul o singură dată.</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Acordarea de credite</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total al clienților. În cazul în care un client utilizează mai multe produse de împrumut/conturi de împrumut, clientul respectiv este luat în calcul o singură dată.</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plăți, de numerar, de decontare, de compensare, de custodie</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Ca regulă generală, se raportează mediile tranzacțiilor zilnice din decursul anului. În cazul în care acestea nu sunt disponibile, se pot raporta medii pe o perioadă mai scurtă (de exemplu, câteva luni).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special în ceea ce privește diferitele funcții, se iau în considerare următoarele măsuri:</w:t>
            </w:r>
          </w:p>
          <w:p w14:paraId="67FA6A45" w14:textId="6F23A7FE"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plată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numărul tranza</w:t>
            </w:r>
            <w:r w:rsidR="00D1040F">
              <w:rPr>
                <w:rFonts w:ascii="Times New Roman" w:hAnsi="Times New Roman"/>
                <w:color w:val="000000" w:themeColor="text1"/>
                <w:sz w:val="20"/>
                <w:szCs w:val="20"/>
              </w:rPr>
              <w:t>cțiilor efectuate.</w:t>
            </w:r>
            <w:r>
              <w:br/>
            </w:r>
            <w:r>
              <w:rPr>
                <w:rFonts w:ascii="Times New Roman" w:hAnsi="Times New Roman"/>
                <w:color w:val="000000" w:themeColor="text1"/>
                <w:sz w:val="20"/>
                <w:szCs w:val="20"/>
              </w:rPr>
              <w:t>Referințe: Articolul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5</w:t>
            </w:r>
            <w:r>
              <w:rPr>
                <w:rFonts w:ascii="Times New Roman" w:hAnsi="Times New Roman"/>
                <w:color w:val="000000" w:themeColor="text1"/>
                <w:sz w:val="20"/>
                <w:szCs w:val="20"/>
              </w:rPr>
              <w:t xml:space="preserve"> din Directiva (UE) </w:t>
            </w:r>
            <w:r w:rsidRPr="002A58D3">
              <w:rPr>
                <w:rFonts w:ascii="Times New Roman" w:hAnsi="Times New Roman"/>
                <w:color w:val="000000" w:themeColor="text1"/>
                <w:sz w:val="20"/>
                <w:szCs w:val="20"/>
              </w:rPr>
              <w:t>2015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2366</w:t>
            </w:r>
            <w:r>
              <w:rPr>
                <w:rFonts w:ascii="Times New Roman" w:hAnsi="Times New Roman"/>
                <w:color w:val="000000" w:themeColor="text1"/>
                <w:sz w:val="20"/>
                <w:szCs w:val="20"/>
              </w:rPr>
              <w:t>; BCE/</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43</w:t>
            </w:r>
            <w:r>
              <w:rPr>
                <w:rFonts w:ascii="Times New Roman" w:hAnsi="Times New Roman"/>
                <w:color w:val="000000" w:themeColor="text1"/>
                <w:sz w:val="20"/>
                <w:szCs w:val="20"/>
              </w:rPr>
              <w:t>.</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numerar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xml:space="preserve">): numărul de tranzacții la bancomate, astfel cum sunt definite în tabelul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BCE/</w:t>
            </w:r>
            <w:r w:rsidRPr="002A58D3">
              <w:rPr>
                <w:rFonts w:ascii="Times New Roman" w:hAnsi="Times New Roman"/>
                <w:color w:val="000000" w:themeColor="text1"/>
                <w:sz w:val="20"/>
                <w:szCs w:val="20"/>
              </w:rPr>
              <w:t>2013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43</w:t>
            </w:r>
            <w:r>
              <w:rPr>
                <w:rFonts w:ascii="Times New Roman" w:hAnsi="Times New Roman"/>
                <w:color w:val="000000" w:themeColor="text1"/>
                <w:sz w:val="20"/>
                <w:szCs w:val="20"/>
              </w:rPr>
              <w:t xml:space="preserve">, precum și retragerile de numerar OTC, astfel cum sunt definite în tabelul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xml:space="preserve"> din BCE/</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15</w:t>
            </w:r>
            <w:r>
              <w:rPr>
                <w:rFonts w:ascii="Times New Roman" w:hAnsi="Times New Roman"/>
                <w:color w:val="000000" w:themeColor="text1"/>
                <w:sz w:val="20"/>
                <w:szCs w:val="20"/>
              </w:rPr>
              <w:t>.</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Servicii de decontare a titlurilor de valoare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numărul operațiunilor de transfer de titluri de valoare procesate în numele clienților. Sunt incluse operațiunile decontate cu un sistem de decontare a titlurilor de valoare sau decontate la nivel intern de instituția raportoare sau grupul raportor, precum și operațiunile «fără plată».</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Piețe de capital</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contrapărților sau al tranzacțiilor. Pentru instrumentele derivate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și instrumentele pieței secundare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 numărul total al contrapărților. Pentru piețele primare (</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rPr>
                <w:rFonts w:ascii="Times New Roman" w:hAnsi="Times New Roman"/>
                <w:color w:val="000000" w:themeColor="text1"/>
                <w:sz w:val="20"/>
                <w:szCs w:val="20"/>
              </w:rPr>
              <w:t>), numărul total de tranzacții subscrise.</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Finanțare interbancară</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total al contrapărților. În cazul în care o contraparte deține mai mult de un cont și/sau mai mult de o tranzacție, contrapartea este luată în calcul o singură dată.</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Impactul asupra pieței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Impactul estimat pe care îl poate avea întreruperea bruscă a funcției asupra terților, a piețelor financiare și a economiei reale, luând în considerare dimensiunea, cota de piață din țara respectivă, gradul de interconectare externă și internă, complexitatea și activitățile transfrontaliere ale instituției.</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Această evaluare se exprimă în măsuri de ordin calitativ precum «High (H)» («Ridicat»), «Medium-High (MH)» («Mediu spre ridicat»), «Medium-Low (ML)» («Mediu spre scăzut») sau «Low (L)» («Scăzut»).</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se selectează dacă întreruperea are un impact major asupra pieței naționale, «MH» dacă impactul este semnificativ, «ML» dacă impactul este important, dar limitat, iar «L» dacă impactul este scăzut.</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Caracterul substituibil</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 xml:space="preserve">Articolul </w:t>
            </w:r>
            <w:r w:rsidRPr="002A58D3">
              <w:rPr>
                <w:rFonts w:ascii="Times New Roman" w:hAnsi="Times New Roman"/>
                <w:bCs/>
                <w:color w:val="000000" w:themeColor="text1"/>
                <w:sz w:val="20"/>
                <w:szCs w:val="20"/>
              </w:rPr>
              <w:t>6</w:t>
            </w:r>
            <w:r>
              <w:rPr>
                <w:rFonts w:ascii="Times New Roman" w:hAnsi="Times New Roman"/>
                <w:bCs/>
                <w:color w:val="000000" w:themeColor="text1"/>
                <w:sz w:val="20"/>
                <w:szCs w:val="20"/>
              </w:rPr>
              <w:t xml:space="preserve"> alineatul (</w:t>
            </w:r>
            <w:r w:rsidRPr="002A58D3">
              <w:rPr>
                <w:rFonts w:ascii="Times New Roman" w:hAnsi="Times New Roman"/>
                <w:bCs/>
                <w:color w:val="000000" w:themeColor="text1"/>
                <w:sz w:val="20"/>
                <w:szCs w:val="20"/>
              </w:rPr>
              <w:t>3</w:t>
            </w:r>
            <w:r>
              <w:rPr>
                <w:rFonts w:ascii="Times New Roman" w:hAnsi="Times New Roman"/>
                <w:bCs/>
                <w:color w:val="000000" w:themeColor="text1"/>
                <w:sz w:val="20"/>
                <w:szCs w:val="20"/>
              </w:rPr>
              <w:t xml:space="preserve">) din Regulamentul delegat (UE) </w:t>
            </w:r>
            <w:r w:rsidRPr="002A58D3">
              <w:rPr>
                <w:rFonts w:ascii="Times New Roman" w:hAnsi="Times New Roman"/>
                <w:bCs/>
                <w:color w:val="000000" w:themeColor="text1"/>
                <w:sz w:val="20"/>
                <w:szCs w:val="20"/>
              </w:rPr>
              <w:t>2016</w:t>
            </w:r>
            <w:r>
              <w:rPr>
                <w:rFonts w:ascii="Times New Roman" w:hAnsi="Times New Roman"/>
                <w:bCs/>
                <w:color w:val="000000" w:themeColor="text1"/>
                <w:sz w:val="20"/>
                <w:szCs w:val="20"/>
              </w:rPr>
              <w:t>/</w:t>
            </w:r>
            <w:r w:rsidRPr="002A58D3">
              <w:rPr>
                <w:rFonts w:ascii="Times New Roman" w:hAnsi="Times New Roman"/>
                <w:bCs/>
                <w:color w:val="000000" w:themeColor="text1"/>
                <w:sz w:val="20"/>
                <w:szCs w:val="20"/>
              </w:rPr>
              <w:t>778</w:t>
            </w:r>
            <w:r>
              <w:rPr>
                <w:rFonts w:ascii="Times New Roman" w:hAnsi="Times New Roman"/>
                <w:bCs/>
                <w:color w:val="000000" w:themeColor="text1"/>
                <w:sz w:val="20"/>
                <w:szCs w:val="20"/>
              </w:rPr>
              <w:t>.</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funcție este considerată substituibilă atunci când aceasta poate fi înlocuită într-un mod acceptabil și într-un interval de timp rezonabil, evitându-se astfel apariția unor probleme sistemice pentru economia reală și piețele financiare. Se iau în considerare următoarele:</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structura pieței pentru funcția respectivă și disponibilitatea furnizorilor de substituție;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posibilitățile altor furnizori în termeni de capacitate, îndeplinirea cerințelor pentru furnizarea funcției, precum și posibilele bariere la intrare sau la extindere;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interesul altor furnizori de preluare a acestor activități;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timpul de care utilizatorii serviciului au nevoie pentru a trece la noul furnizor de servicii și costurile acestei schimbări, timpul de care alți concurenți au nevoie pentru a prelua funcțiile și măsura în care acest timp este suficient pentru a se evita perturbări semnificative, în funcție de tipul de serviciu.</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Această evaluare se exprimă în măsuri de ordin calitativ precum «High (H)» («Ridicat»), «Medium-High (MH)» («Mediu spre ridicat»), «Medium-Low (ML)» («Mediu spre scăzut») sau «Low (L)» («Scăzut»).</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se selectează dacă o funcție poate fi furnizată cu ușurință de o altă bancă în condiții comparabile, într-un interval de timp rezonabil,</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dacă o funcție nu poate fi substituită cu ușurință sau cu rapiditate,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și «ML» pentru cazurile intermediare, luând în considerare diferite măsuri (de exemplu, cota de piață, concentrarea pieței, termenul de substituire, precum și barierele de ordin juridic în calea intrării sau extinderii și cerințele operaționale aplicabile intrării sau extinderii).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Funcția critică</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această coloană se raportează dacă, luând în considerare datele cantitative și indicatorii privind caracterul critic din această machetă, funcția economică este considerată a fi critică pe piață pentru țara relevantă.</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completa «Da» sau «Nu».</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w:t>
      </w:r>
      <w:r w:rsidRPr="002A58D3">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2A58D3">
        <w:rPr>
          <w:rFonts w:ascii="Times New Roman" w:hAnsi="Times New Roman"/>
          <w:b w:val="0"/>
          <w:color w:val="000000" w:themeColor="text1"/>
          <w:sz w:val="20"/>
          <w:szCs w:val="20"/>
          <w:u w:val="single"/>
        </w:rPr>
        <w:t>02</w:t>
      </w:r>
      <w:r>
        <w:rPr>
          <w:rFonts w:ascii="Times New Roman" w:hAnsi="Times New Roman"/>
          <w:b w:val="0"/>
          <w:color w:val="000000" w:themeColor="text1"/>
          <w:sz w:val="20"/>
          <w:szCs w:val="20"/>
          <w:u w:val="single"/>
        </w:rPr>
        <w:t xml:space="preserve"> – Punerea în corespondență a funcțiilor critice per entitate juridică (FUNC </w:t>
      </w:r>
      <w:r w:rsidRPr="002A58D3">
        <w:rPr>
          <w:rFonts w:ascii="Times New Roman" w:hAnsi="Times New Roman"/>
          <w:b w:val="0"/>
          <w:color w:val="000000" w:themeColor="text1"/>
          <w:sz w:val="20"/>
          <w:szCs w:val="20"/>
          <w:u w:val="single"/>
        </w:rPr>
        <w:t>2</w:t>
      </w:r>
      <w:r>
        <w:rPr>
          <w:rFonts w:ascii="Times New Roman" w:hAnsi="Times New Roman"/>
          <w:b w:val="0"/>
          <w:color w:val="000000" w:themeColor="text1"/>
          <w:sz w:val="20"/>
          <w:szCs w:val="20"/>
          <w:u w:val="single"/>
        </w:rPr>
        <w:t>): Instrucțiuni privind anumite poziții</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Această machetă se raportează pentru întregul grup. În această machetă se raportează numai funcțiile critice identificate ca atare în {Z </w:t>
      </w:r>
      <w:r w:rsidRPr="002A58D3">
        <w:rPr>
          <w:rFonts w:ascii="Times New Roman" w:hAnsi="Times New Roman"/>
          <w:sz w:val="20"/>
          <w:szCs w:val="20"/>
        </w:rPr>
        <w:t>07</w:t>
      </w:r>
      <w:r>
        <w:rPr>
          <w:rFonts w:ascii="Times New Roman" w:hAnsi="Times New Roman"/>
          <w:sz w:val="20"/>
          <w:szCs w:val="20"/>
        </w:rPr>
        <w:t>.</w:t>
      </w:r>
      <w:r w:rsidRPr="002A58D3">
        <w:rPr>
          <w:rFonts w:ascii="Times New Roman" w:hAnsi="Times New Roman"/>
          <w:sz w:val="20"/>
          <w:szCs w:val="20"/>
        </w:rPr>
        <w:t>01</w:t>
      </w:r>
      <w:r>
        <w:rPr>
          <w:rFonts w:ascii="Times New Roman" w:hAnsi="Times New Roman"/>
          <w:sz w:val="20"/>
          <w:szCs w:val="20"/>
        </w:rPr>
        <w:t>;</w:t>
      </w:r>
      <w:r w:rsidRPr="002A58D3">
        <w:rPr>
          <w:rFonts w:ascii="Times New Roman" w:hAnsi="Times New Roman"/>
          <w:sz w:val="20"/>
          <w:szCs w:val="20"/>
        </w:rPr>
        <w:t>070</w:t>
      </w:r>
      <w:r>
        <w:rPr>
          <w:rFonts w:ascii="Times New Roman" w:hAnsi="Times New Roman"/>
          <w:sz w:val="20"/>
          <w:szCs w:val="20"/>
        </w:rPr>
        <w:t>} (pentru fiecare stat membru).</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0010</w:t>
      </w:r>
      <w:r>
        <w:rPr>
          <w:rFonts w:ascii="Times New Roman" w:hAnsi="Times New Roman"/>
          <w:sz w:val="20"/>
          <w:szCs w:val="20"/>
        </w:rPr>
        <w:t xml:space="preserve">, </w:t>
      </w:r>
      <w:r w:rsidRPr="002A58D3">
        <w:rPr>
          <w:rFonts w:ascii="Times New Roman" w:hAnsi="Times New Roman"/>
          <w:sz w:val="20"/>
          <w:szCs w:val="20"/>
        </w:rPr>
        <w:t>0020</w:t>
      </w:r>
      <w:r>
        <w:rPr>
          <w:rFonts w:ascii="Times New Roman" w:hAnsi="Times New Roman"/>
          <w:sz w:val="20"/>
          <w:szCs w:val="20"/>
        </w:rPr>
        <w:t xml:space="preserve"> și </w:t>
      </w:r>
      <w:r w:rsidRPr="002A58D3">
        <w:rPr>
          <w:rFonts w:ascii="Times New Roman" w:hAnsi="Times New Roman"/>
          <w:sz w:val="20"/>
          <w:szCs w:val="20"/>
        </w:rPr>
        <w:t>0040</w:t>
      </w:r>
      <w:r>
        <w:rPr>
          <w:rFonts w:ascii="Times New Roman" w:hAnsi="Times New Roman"/>
          <w:sz w:val="20"/>
          <w:szCs w:val="20"/>
        </w:rPr>
        <w:t xml:space="preserve"> din prezenta machetă constituie o cheie primară care trebuie să fie unică pentru fiecare rând din machetă.</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Țara pentru care funcția este critică, astfel cum este raportată în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2A58D3">
            <w:pPr>
              <w:pStyle w:val="TableParagraph"/>
              <w:keepNext/>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de identificare al funcțiilor critice, astfel cum sunt definite în capitolul II.</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mai sus și menționate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Denumirea entității care exercită funcția critică, astfel cum este raportată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există mai multe entități care exercită aceleași funcții critice în aceeași țară, se raportează fiecare entitate pe un rând separat.</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Codul entității care exercită funcția critică, astfel cum este raportat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Valoarea monetară</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Contribuția, în valoare monetară, a entității juridice la valoarea monetară astfel cum este descrisă în coloana </w:t>
            </w: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din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p>
        </w:tc>
      </w:tr>
    </w:tbl>
    <w:p w14:paraId="1C505975" w14:textId="77777777" w:rsidR="0056559D" w:rsidRPr="00D1040F"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 xml:space="preserve">Z </w:t>
      </w:r>
      <w:r w:rsidRPr="002A58D3">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2A58D3">
        <w:rPr>
          <w:rFonts w:ascii="Times New Roman" w:hAnsi="Times New Roman"/>
          <w:b w:val="0"/>
          <w:color w:val="000000" w:themeColor="text1"/>
          <w:sz w:val="20"/>
          <w:szCs w:val="20"/>
          <w:u w:val="single"/>
        </w:rPr>
        <w:t>03</w:t>
      </w:r>
      <w:r>
        <w:rPr>
          <w:rFonts w:ascii="Times New Roman" w:hAnsi="Times New Roman"/>
          <w:b w:val="0"/>
          <w:color w:val="000000" w:themeColor="text1"/>
          <w:sz w:val="20"/>
          <w:szCs w:val="20"/>
          <w:u w:val="single"/>
        </w:rPr>
        <w:t xml:space="preserve"> – Punerea în corespondență a liniilor de activitate esențiale cu entitățile juridice (FUNC </w:t>
      </w:r>
      <w:r w:rsidRPr="002A58D3">
        <w:rPr>
          <w:rFonts w:ascii="Times New Roman" w:hAnsi="Times New Roman"/>
          <w:b w:val="0"/>
          <w:color w:val="000000" w:themeColor="text1"/>
          <w:sz w:val="20"/>
          <w:szCs w:val="20"/>
          <w:u w:val="single"/>
        </w:rPr>
        <w:t>3</w:t>
      </w:r>
      <w:r>
        <w:rPr>
          <w:rFonts w:ascii="Times New Roman" w:hAnsi="Times New Roman"/>
          <w:b w:val="0"/>
          <w:color w:val="000000" w:themeColor="text1"/>
          <w:sz w:val="20"/>
          <w:szCs w:val="20"/>
          <w:u w:val="single"/>
        </w:rPr>
        <w:t>): Instrucțiuni privind anumite poziții</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0020</w:t>
      </w:r>
      <w:r>
        <w:rPr>
          <w:rFonts w:ascii="Times New Roman" w:hAnsi="Times New Roman"/>
          <w:sz w:val="20"/>
          <w:szCs w:val="20"/>
        </w:rPr>
        <w:t xml:space="preserve"> și </w:t>
      </w:r>
      <w:r w:rsidRPr="002A58D3">
        <w:rPr>
          <w:rFonts w:ascii="Times New Roman" w:hAnsi="Times New Roman"/>
          <w:sz w:val="20"/>
          <w:szCs w:val="20"/>
        </w:rPr>
        <w:t>0040</w:t>
      </w:r>
      <w:r>
        <w:rPr>
          <w:rFonts w:ascii="Times New Roman" w:hAnsi="Times New Roman"/>
          <w:sz w:val="20"/>
          <w:szCs w:val="20"/>
        </w:rPr>
        <w:t xml:space="preserve"> din prezenta machetă constituie o cheie primară care trebuie să fie unică pentru fiecare rând din machetă.</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Numai entitățile juridice relevante sunt raportate în această machetă.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Linia de activitate esențială</w:t>
            </w:r>
          </w:p>
          <w:p w14:paraId="26FC5213" w14:textId="18471DD3" w:rsidR="00356129" w:rsidRPr="00D92B3C" w:rsidRDefault="00D75AA9" w:rsidP="002A58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Linia de activitate esențială în temeiul articolului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 xml:space="preserve"> din Directiva</w:t>
            </w:r>
            <w:r w:rsidR="002A58D3">
              <w:rPr>
                <w:rFonts w:ascii="Times New Roman" w:hAnsi="Times New Roman"/>
                <w:color w:val="000000" w:themeColor="text1"/>
                <w:sz w:val="20"/>
                <w:szCs w:val="20"/>
              </w:rPr>
              <w:t>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 și al articolului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Regulamentul delegat (UE) </w:t>
            </w:r>
            <w:r w:rsidRPr="002A58D3">
              <w:rPr>
                <w:rFonts w:ascii="Times New Roman" w:hAnsi="Times New Roman"/>
                <w:color w:val="000000" w:themeColor="text1"/>
                <w:sz w:val="20"/>
                <w:szCs w:val="20"/>
              </w:rPr>
              <w:t>2016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778</w:t>
            </w:r>
            <w:r>
              <w:rPr>
                <w:rFonts w:ascii="Times New Roman" w:hAnsi="Times New Roman"/>
                <w:color w:val="000000" w:themeColor="text1"/>
                <w:sz w:val="20"/>
                <w:szCs w:val="20"/>
              </w:rPr>
              <w:t xml:space="preserve"> al Comisiei.</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linie de activitate</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unic de identificare al liniei de activitate care trebuie să fie furnizat de instituție.</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Descriere</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Descrierea liniei de activitate esențiale.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Denumirea entității, astfel cum este raportată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care se ocupă de linia de activitate esențială sau participă la aceasta.</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există mai multe entități care se ocupă de aceeași linie de activitate esențială sau participă la aceasta, se raportează fiecare entitate pe un rând separat.</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entității care se ocupă de linia de activitate esențială sau participă la aceasta, astfel cum este raportat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bl>
    <w:p w14:paraId="258A1667" w14:textId="3BCA2C0A" w:rsidR="0056559D" w:rsidRPr="00D92B3C" w:rsidRDefault="00F7117F" w:rsidP="00715DAB">
      <w:pPr>
        <w:pStyle w:val="Instructionsberschrift3"/>
      </w:pPr>
      <w:r>
        <w:t>Z </w:t>
      </w:r>
      <w:r w:rsidRPr="002A58D3">
        <w:t>07</w:t>
      </w:r>
      <w:r>
        <w:t>.</w:t>
      </w:r>
      <w:r w:rsidRPr="002A58D3">
        <w:t>04</w:t>
      </w:r>
      <w:r>
        <w:t xml:space="preserve"> – Punerea în corespondență a funcțiilor critice cu liniile de activitate esențiale (FUNC </w:t>
      </w:r>
      <w:r w:rsidRPr="002A58D3">
        <w:t>4</w:t>
      </w:r>
      <w:r>
        <w:t>): Instrucțiuni privind anumite poziții</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0010</w:t>
      </w:r>
      <w:r>
        <w:rPr>
          <w:rFonts w:ascii="Times New Roman" w:hAnsi="Times New Roman"/>
          <w:sz w:val="20"/>
          <w:szCs w:val="20"/>
        </w:rPr>
        <w:t xml:space="preserve">, </w:t>
      </w:r>
      <w:r w:rsidRPr="002A58D3">
        <w:rPr>
          <w:rFonts w:ascii="Times New Roman" w:hAnsi="Times New Roman"/>
          <w:sz w:val="20"/>
          <w:szCs w:val="20"/>
        </w:rPr>
        <w:t>0020</w:t>
      </w:r>
      <w:r>
        <w:rPr>
          <w:rFonts w:ascii="Times New Roman" w:hAnsi="Times New Roman"/>
          <w:sz w:val="20"/>
          <w:szCs w:val="20"/>
        </w:rPr>
        <w:t xml:space="preserve"> și </w:t>
      </w:r>
      <w:r w:rsidRPr="002A58D3">
        <w:rPr>
          <w:rFonts w:ascii="Times New Roman" w:hAnsi="Times New Roman"/>
          <w:sz w:val="20"/>
          <w:szCs w:val="20"/>
        </w:rPr>
        <w:t>0040</w:t>
      </w:r>
      <w:r>
        <w:rPr>
          <w:rFonts w:ascii="Times New Roman" w:hAnsi="Times New Roman"/>
          <w:sz w:val="20"/>
          <w:szCs w:val="20"/>
        </w:rPr>
        <w:t xml:space="preserve"> din prezenta machetă constituie o cheie primară care trebuie să fie unică pentru fiecare rând din machetă.</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În această machetă se raportează numai funcțiile critice astfel cum au fost identificate în {Z </w:t>
      </w:r>
      <w:r w:rsidRPr="002A58D3">
        <w:rPr>
          <w:rFonts w:ascii="Times New Roman" w:hAnsi="Times New Roman"/>
          <w:sz w:val="20"/>
          <w:szCs w:val="20"/>
        </w:rPr>
        <w:t>07</w:t>
      </w:r>
      <w:r>
        <w:rPr>
          <w:rFonts w:ascii="Times New Roman" w:hAnsi="Times New Roman"/>
          <w:sz w:val="20"/>
          <w:szCs w:val="20"/>
        </w:rPr>
        <w:t>.</w:t>
      </w:r>
      <w:r w:rsidRPr="002A58D3">
        <w:rPr>
          <w:rFonts w:ascii="Times New Roman" w:hAnsi="Times New Roman"/>
          <w:sz w:val="20"/>
          <w:szCs w:val="20"/>
        </w:rPr>
        <w:t>01</w:t>
      </w:r>
      <w:r>
        <w:rPr>
          <w:rFonts w:ascii="Times New Roman" w:hAnsi="Times New Roman"/>
          <w:sz w:val="20"/>
          <w:szCs w:val="20"/>
        </w:rPr>
        <w:t>;</w:t>
      </w:r>
      <w:r w:rsidRPr="002A58D3">
        <w:rPr>
          <w:rFonts w:ascii="Times New Roman" w:hAnsi="Times New Roman"/>
          <w:sz w:val="20"/>
          <w:szCs w:val="20"/>
        </w:rPr>
        <w:t>0070</w:t>
      </w:r>
      <w:r>
        <w:rPr>
          <w:rFonts w:ascii="Times New Roman" w:hAnsi="Times New Roman"/>
          <w:sz w:val="20"/>
          <w:szCs w:val="20"/>
        </w:rPr>
        <w:t xml:space="preserve">}.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Țara pentru care funcția este critică, astfel cum este raportată în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funcție</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de identificare al funcțiilor critice, astfel cum sunt definite în capitolul II.</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mai sus și menționate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Linia de activitate esențială</w:t>
            </w:r>
          </w:p>
          <w:p w14:paraId="35590170" w14:textId="2FEB7A02" w:rsidR="003D0643" w:rsidRPr="00D92B3C" w:rsidRDefault="003D0643" w:rsidP="002A58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Linia de activitate esențială în temeiul articolului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alineatul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punctul </w:t>
            </w:r>
            <w:r w:rsidRPr="002A58D3">
              <w:rPr>
                <w:rFonts w:ascii="Times New Roman" w:hAnsi="Times New Roman"/>
                <w:color w:val="000000" w:themeColor="text1"/>
                <w:sz w:val="20"/>
                <w:szCs w:val="20"/>
              </w:rPr>
              <w:t>36</w:t>
            </w:r>
            <w:r>
              <w:rPr>
                <w:rFonts w:ascii="Times New Roman" w:hAnsi="Times New Roman"/>
                <w:color w:val="000000" w:themeColor="text1"/>
                <w:sz w:val="20"/>
                <w:szCs w:val="20"/>
              </w:rPr>
              <w:t xml:space="preserve"> din Directiva</w:t>
            </w:r>
            <w:r w:rsidR="002A58D3">
              <w:rPr>
                <w:rFonts w:ascii="Times New Roman" w:hAnsi="Times New Roman"/>
                <w:color w:val="000000" w:themeColor="text1"/>
                <w:sz w:val="20"/>
                <w:szCs w:val="20"/>
              </w:rPr>
              <w:t> </w:t>
            </w:r>
            <w:r w:rsidRPr="002A58D3">
              <w:rPr>
                <w:rFonts w:ascii="Times New Roman" w:hAnsi="Times New Roman"/>
                <w:color w:val="000000" w:themeColor="text1"/>
                <w:sz w:val="20"/>
                <w:szCs w:val="20"/>
              </w:rPr>
              <w:t>2014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59</w:t>
            </w:r>
            <w:r>
              <w:rPr>
                <w:rFonts w:ascii="Times New Roman" w:hAnsi="Times New Roman"/>
                <w:color w:val="000000" w:themeColor="text1"/>
                <w:sz w:val="20"/>
                <w:szCs w:val="20"/>
              </w:rPr>
              <w:t>/UE și al articolului </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 xml:space="preserve"> din Regulamentul delegat (UE) </w:t>
            </w:r>
            <w:r w:rsidRPr="002A58D3">
              <w:rPr>
                <w:rFonts w:ascii="Times New Roman" w:hAnsi="Times New Roman"/>
                <w:color w:val="000000" w:themeColor="text1"/>
                <w:sz w:val="20"/>
                <w:szCs w:val="20"/>
              </w:rPr>
              <w:t>2016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778</w:t>
            </w:r>
            <w:r>
              <w:rPr>
                <w:rFonts w:ascii="Times New Roman" w:hAnsi="Times New Roman"/>
                <w:color w:val="000000" w:themeColor="text1"/>
                <w:sz w:val="20"/>
                <w:szCs w:val="20"/>
              </w:rPr>
              <w:t xml:space="preserve"> al Comisiei din </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februarie </w:t>
            </w:r>
            <w:r w:rsidRPr="002A58D3">
              <w:rPr>
                <w:rFonts w:ascii="Times New Roman" w:hAnsi="Times New Roman"/>
                <w:color w:val="000000" w:themeColor="text1"/>
                <w:sz w:val="20"/>
                <w:szCs w:val="20"/>
              </w:rPr>
              <w:t>2016</w:t>
            </w:r>
            <w:r>
              <w:rPr>
                <w:rFonts w:ascii="Times New Roman" w:hAnsi="Times New Roman"/>
                <w:color w:val="000000" w:themeColor="text1"/>
                <w:sz w:val="20"/>
                <w:szCs w:val="20"/>
              </w:rPr>
              <w:t xml:space="preserve">, astfel cum este raportată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linie de activitate</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Numărul unic de identificare al liniei de activitate care trebuie să fie furnizat de instituție; același număr de identificare cu cel raportat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03</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005862"/>
      <w:r>
        <w:rPr>
          <w:rFonts w:ascii="Times New Roman" w:hAnsi="Times New Roman"/>
          <w:szCs w:val="20"/>
        </w:rPr>
        <w:t>Z </w:t>
      </w:r>
      <w:r w:rsidRPr="002A58D3">
        <w:rPr>
          <w:rFonts w:ascii="Times New Roman" w:hAnsi="Times New Roman"/>
          <w:szCs w:val="20"/>
        </w:rPr>
        <w:t>08</w:t>
      </w:r>
      <w:r>
        <w:rPr>
          <w:rFonts w:ascii="Times New Roman" w:hAnsi="Times New Roman"/>
          <w:szCs w:val="20"/>
        </w:rPr>
        <w:t>.</w:t>
      </w:r>
      <w:r w:rsidRPr="002A58D3">
        <w:rPr>
          <w:rFonts w:ascii="Times New Roman" w:hAnsi="Times New Roman"/>
          <w:szCs w:val="20"/>
        </w:rPr>
        <w:t>00</w:t>
      </w:r>
      <w:r>
        <w:rPr>
          <w:rFonts w:ascii="Times New Roman" w:hAnsi="Times New Roman"/>
          <w:szCs w:val="20"/>
        </w:rPr>
        <w:t xml:space="preserve"> – Servicii critice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Instrucțiuni generale</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Informațiile care trebuie incluse în prezenta machetă se raportează o singură dată pentru întregul grup, enumeră serviciile critice primite de orice entitate din grup și le corelează cu funcțiile critice exercitate de grup.</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Serviciile critice sunt operațiunile, activitățile și serviciile subiacente efectuate pentru una (servicii dedicate) sau mai multe (servicii partajate) unități operaționale ori entități juridice din cadrul grupului, care sunt necesare pentru a furniza una sau mai multe funcții critice. Serviciile critice pot fi furnizate de entități din cadrul grupului (serviciu intern) sau pot fi externalizate către un furnizor extern (serviciu extern). Un serviciu este considerat critic atunci când perturbarea acestuia poate constitui un impediment grav pentru exercitarea funcțiilor critice sau poate împiedica în totalitate furnizarea acestora, dat fiind că aceste servicii sunt intrinsec legate de funcțiile critice pe care o instituție le asigură în beneficiul unor părți terțe.</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Serviciile care sunt furnizate în întregime la nivel intern pentru o entitate juridică nu se raportează în prezenta machetă.</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Serviciile care nu au un impact important asupra funcțiilor critice nu se raportează în prezenta machetă.</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0005</w:t>
      </w:r>
      <w:r>
        <w:rPr>
          <w:rFonts w:ascii="Times New Roman" w:hAnsi="Times New Roman"/>
          <w:sz w:val="20"/>
          <w:szCs w:val="20"/>
        </w:rPr>
        <w:t xml:space="preserve">, </w:t>
      </w:r>
      <w:r w:rsidRPr="002A58D3">
        <w:rPr>
          <w:rFonts w:ascii="Times New Roman" w:hAnsi="Times New Roman"/>
          <w:sz w:val="20"/>
          <w:szCs w:val="20"/>
        </w:rPr>
        <w:t>0010</w:t>
      </w:r>
      <w:r>
        <w:rPr>
          <w:rFonts w:ascii="Times New Roman" w:hAnsi="Times New Roman"/>
          <w:sz w:val="20"/>
          <w:szCs w:val="20"/>
        </w:rPr>
        <w:t xml:space="preserve">, </w:t>
      </w:r>
      <w:r w:rsidRPr="002A58D3">
        <w:rPr>
          <w:rFonts w:ascii="Times New Roman" w:hAnsi="Times New Roman"/>
          <w:sz w:val="20"/>
          <w:szCs w:val="20"/>
        </w:rPr>
        <w:t>0030</w:t>
      </w:r>
      <w:r>
        <w:rPr>
          <w:rFonts w:ascii="Times New Roman" w:hAnsi="Times New Roman"/>
          <w:sz w:val="20"/>
          <w:szCs w:val="20"/>
        </w:rPr>
        <w:t xml:space="preserve">, </w:t>
      </w:r>
      <w:r w:rsidRPr="002A58D3">
        <w:rPr>
          <w:rFonts w:ascii="Times New Roman" w:hAnsi="Times New Roman"/>
          <w:sz w:val="20"/>
          <w:szCs w:val="20"/>
        </w:rPr>
        <w:t>0050</w:t>
      </w:r>
      <w:r>
        <w:rPr>
          <w:rFonts w:ascii="Times New Roman" w:hAnsi="Times New Roman"/>
          <w:sz w:val="20"/>
          <w:szCs w:val="20"/>
        </w:rPr>
        <w:t xml:space="preserve">, </w:t>
      </w:r>
      <w:r w:rsidRPr="002A58D3">
        <w:rPr>
          <w:rFonts w:ascii="Times New Roman" w:hAnsi="Times New Roman"/>
          <w:sz w:val="20"/>
          <w:szCs w:val="20"/>
        </w:rPr>
        <w:t>0070</w:t>
      </w:r>
      <w:r>
        <w:rPr>
          <w:rFonts w:ascii="Times New Roman" w:hAnsi="Times New Roman"/>
          <w:sz w:val="20"/>
          <w:szCs w:val="20"/>
        </w:rPr>
        <w:t xml:space="preserve"> și </w:t>
      </w:r>
      <w:r w:rsidRPr="002A58D3">
        <w:rPr>
          <w:rFonts w:ascii="Times New Roman" w:hAnsi="Times New Roman"/>
          <w:sz w:val="20"/>
          <w:szCs w:val="20"/>
        </w:rPr>
        <w:t>0080</w:t>
      </w:r>
      <w:r>
        <w:rPr>
          <w:rFonts w:ascii="Times New Roman" w:hAnsi="Times New Roman"/>
          <w:sz w:val="20"/>
          <w:szCs w:val="20"/>
        </w:rPr>
        <w:t xml:space="preserve"> din prezenta machetă constituie o cheie primară care trebuie să fie unică pentru fiecare rând din machetă.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Instrucțiuni privind anumite poziții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Identificator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Tipul de serviciu</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Tipul de serviciu este unul dintre tipurile de servicii enumerate mai jos.</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cazul în care este posibil, se raportează subcategoria (număr de identificare cu două cifre). Atunci când nu există subcategorii sau când nicio subcategorie nu descrie în mod corespunzător serviciul furnizat de instituție, se raportează categoria principală (număr de identificare cu o cifră).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tab/>
            </w:r>
            <w:r>
              <w:rPr>
                <w:rFonts w:ascii="Times New Roman" w:hAnsi="Times New Roman"/>
                <w:color w:val="000000" w:themeColor="text1"/>
                <w:sz w:val="20"/>
                <w:szCs w:val="20"/>
              </w:rPr>
              <w:t>Asistența în materie de resurse umane</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Administrarea personalului, inclusiv administrarea contractelor și remunerația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Comunicarea internă</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Tehnologia informației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Echipamente informatice și de comunicații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Stocarea și prelucrarea datelor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Alte infrastructuri informatice, stații de lucru, telecomunicații, servere, centre de date și servicii conexe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Administrarea licențelor de software și a software-ului pentru aplicații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Accesul la furnizori externi, în special la furnizori de date și de infrastructură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Întreținerea aplicațiilor, inclusiv întreținerea aplicațiilor software și a fluxurilor de date aferente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7</w:t>
            </w:r>
            <w:r>
              <w:tab/>
            </w:r>
            <w:r>
              <w:rPr>
                <w:rFonts w:ascii="Times New Roman" w:hAnsi="Times New Roman"/>
                <w:color w:val="000000" w:themeColor="text1"/>
                <w:sz w:val="20"/>
                <w:szCs w:val="20"/>
              </w:rPr>
              <w:t>Generarea de rapoarte, fluxuri de informații interne și baze de date interne</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8</w:t>
            </w:r>
            <w:r>
              <w:tab/>
            </w:r>
            <w:r>
              <w:rPr>
                <w:rFonts w:ascii="Times New Roman" w:hAnsi="Times New Roman"/>
                <w:color w:val="000000" w:themeColor="text1"/>
                <w:sz w:val="20"/>
                <w:szCs w:val="20"/>
              </w:rPr>
              <w:t>Asistența pentru utilizatori</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2</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9</w:t>
            </w:r>
            <w:r>
              <w:tab/>
            </w:r>
            <w:r>
              <w:rPr>
                <w:rFonts w:ascii="Times New Roman" w:hAnsi="Times New Roman"/>
                <w:color w:val="000000" w:themeColor="text1"/>
                <w:sz w:val="20"/>
                <w:szCs w:val="20"/>
              </w:rPr>
              <w:t>Gestionarea situațiilor de urgență și recuperarea în caz de dezastru</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3</w:t>
            </w:r>
            <w:r>
              <w:rPr>
                <w:rFonts w:ascii="Times New Roman" w:hAnsi="Times New Roman"/>
                <w:color w:val="000000" w:themeColor="text1"/>
                <w:sz w:val="20"/>
                <w:szCs w:val="20"/>
              </w:rPr>
              <w:t>.</w:t>
            </w:r>
            <w:r>
              <w:tab/>
            </w:r>
            <w:r>
              <w:rPr>
                <w:rFonts w:ascii="Times New Roman" w:hAnsi="Times New Roman"/>
                <w:color w:val="000000" w:themeColor="text1"/>
                <w:sz w:val="20"/>
                <w:szCs w:val="20"/>
              </w:rPr>
              <w:t>Prelucrarea tranzacțiilor, inclusiv aspectele juridice privind tranzacționarea, în special măsuri de combatere a spălării banilor</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Furnizarea sau administrarea de bunuri imobiliare și spații, precum și facilități conexe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Spații de birouri și de depozitare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Administrarea facilităților interne</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Securitate și controlul accesului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tab/>
            </w:r>
            <w:r>
              <w:rPr>
                <w:rFonts w:ascii="Times New Roman" w:hAnsi="Times New Roman"/>
                <w:color w:val="000000" w:themeColor="text1"/>
                <w:sz w:val="20"/>
                <w:szCs w:val="20"/>
              </w:rPr>
              <w:t>Administrarea portofoliului de bunuri imobiliare</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4</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Altele, vă rugăm să precizați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Servicii juridice și funcții de asigurare a conformității: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Asistența juridică corporativă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Serviciile juridice economice și tranzacționale</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5</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Asistența pentru asigurarea conformității</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Serviciile asociate trezoreriei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Coordonarea, administrarea și gestionarea activității de trezorerie</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Coordonarea, administrarea și gestionarea refinanțării entităților, inclusiv gestionarea garanțiilor reale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Funcția de raportare, în special în privința indicatorilor de lichiditate reglementați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Coordonarea, administrarea și gestionarea programelor de finanțare pe termen mediu și lung și refinanțarea entităților din cadrul grupului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5</w:t>
            </w:r>
            <w:r>
              <w:tab/>
            </w:r>
            <w:r>
              <w:rPr>
                <w:rFonts w:ascii="Times New Roman" w:hAnsi="Times New Roman"/>
                <w:color w:val="000000" w:themeColor="text1"/>
                <w:sz w:val="20"/>
                <w:szCs w:val="20"/>
              </w:rPr>
              <w:t>Coordonarea, administrarea și gestionarea refinanțării, în special a aspectelor pe termen scurt</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tab/>
            </w:r>
            <w:r>
              <w:rPr>
                <w:rFonts w:ascii="Times New Roman" w:hAnsi="Times New Roman"/>
                <w:color w:val="000000" w:themeColor="text1"/>
                <w:sz w:val="20"/>
                <w:szCs w:val="20"/>
              </w:rPr>
              <w:t>Gestionarea tranzacționării/activelor</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Procesarea operațiunilor: identificarea tranzacțiilor, proiectarea, dezvoltarea, remedierea produselor de tranzacționare</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Confirmare, decontare, plăți</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Gestionarea pozițiilor și a contrapărților în ceea ce privește raportarea datelor și relațiile cu contrapărțile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4</w:t>
            </w:r>
            <w:r>
              <w:tab/>
            </w:r>
            <w:r>
              <w:rPr>
                <w:rFonts w:ascii="Times New Roman" w:hAnsi="Times New Roman"/>
                <w:color w:val="000000" w:themeColor="text1"/>
                <w:sz w:val="20"/>
                <w:szCs w:val="20"/>
              </w:rPr>
              <w:t>Gestionarea pozițiilor (riscuri și reconciliere)</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8</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Gestionarea și evaluarea riscurilor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Gestionarea riscurilor la nivel central ori în legătură cu linia de activitate sau cu tipul de risc;</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Generarea de rapoarte privind riscurile;</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Contabilitate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tab/>
            </w:r>
            <w:r>
              <w:rPr>
                <w:rFonts w:ascii="Times New Roman" w:hAnsi="Times New Roman"/>
                <w:color w:val="000000" w:themeColor="text1"/>
                <w:sz w:val="20"/>
                <w:szCs w:val="20"/>
              </w:rPr>
              <w:t>Raportarea obligatorie prevăzută de lege și raportarea în scopuri de reglementare</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2</w:t>
            </w:r>
            <w:r>
              <w:tab/>
            </w:r>
            <w:r>
              <w:rPr>
                <w:rFonts w:ascii="Times New Roman" w:hAnsi="Times New Roman"/>
                <w:color w:val="000000" w:themeColor="text1"/>
                <w:sz w:val="20"/>
                <w:szCs w:val="20"/>
              </w:rPr>
              <w:t>Evaluare, în special a pozițiilor pe piață;</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9</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3</w:t>
            </w:r>
            <w:r>
              <w:tab/>
            </w:r>
            <w:r>
              <w:rPr>
                <w:rFonts w:ascii="Times New Roman" w:hAnsi="Times New Roman"/>
                <w:color w:val="000000" w:themeColor="text1"/>
                <w:sz w:val="20"/>
                <w:szCs w:val="20"/>
              </w:rPr>
              <w:t>Raportarea privind gestiunea</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10</w:t>
            </w:r>
            <w:r>
              <w:rPr>
                <w:rFonts w:ascii="Times New Roman" w:hAnsi="Times New Roman"/>
                <w:color w:val="000000" w:themeColor="text1"/>
                <w:sz w:val="20"/>
                <w:szCs w:val="20"/>
              </w:rPr>
              <w:t>.</w:t>
            </w:r>
            <w:r>
              <w:tab/>
            </w:r>
            <w:r>
              <w:rPr>
                <w:rFonts w:ascii="Times New Roman" w:hAnsi="Times New Roman"/>
                <w:color w:val="000000" w:themeColor="text1"/>
                <w:sz w:val="20"/>
                <w:szCs w:val="20"/>
              </w:rPr>
              <w:t>Procesarea numerarului</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Beneficiarul serviciilor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Entitatea din cadrul grupului care primește serviciul critic raportat în coloana </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de la o altă entitate din grup sau de la furnizorul extern raportat în coloanele </w:t>
            </w: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Denumirea entității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Trebuie să fie diferită de cea indicată în coloana </w:t>
            </w: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Identificatorul unic al entității juridice din coloana </w:t>
            </w: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astfel cum este raportat în macheta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Trebuie să fie diferit de cel indicat în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Furnizorul de servicii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Entitatea juridică (internă sau externă) care furnizează unei entități din grup serviciul critic raportat în coloana </w:t>
            </w: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Denumirea entității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Trebuie să fie diferită de cea indicată în coloana </w:t>
            </w: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Identificatorul unic al entității juridice din coloana </w:t>
            </w:r>
            <w:r w:rsidRPr="002A58D3">
              <w:rPr>
                <w:rFonts w:ascii="Times New Roman" w:hAnsi="Times New Roman"/>
                <w:color w:val="000000" w:themeColor="text1"/>
                <w:sz w:val="20"/>
                <w:szCs w:val="20"/>
              </w:rPr>
              <w:t>0040</w:t>
            </w:r>
            <w:r>
              <w:rPr>
                <w:rFonts w:ascii="Times New Roman" w:hAnsi="Times New Roman"/>
                <w:color w:val="000000" w:themeColor="text1"/>
                <w:sz w:val="20"/>
                <w:szCs w:val="20"/>
              </w:rPr>
              <w:t xml:space="preserve">. Trebuie să fie diferit de cel indicat în coloana </w:t>
            </w: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furnizorul de servicii este o entitate din grup, codul este același ca cel raportat în macheta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În cazul în care furnizorul de servicii nu este o entitate din grup, codul entității respective este:</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pentru instituții,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pentru alte entități, codul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sau, în cazul în care acesta nu este disponibil, un cod conform unei codificări uniforme aplicabile în Uniune sau, în cazul în care un astfel de cod nu este disponibil, un cod național.</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cod este unic și este utilizat în mod consecvent în toate machetele.</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Apartenența la grup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 – în cazul în care serviciul este furnizat de o entitate din grup («intern»)</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 – în cazul în care serviciul este furnizat de o entitate din afara grupului («extern»)</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0070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Funcția critică</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Funcția critică a cărei exercitare ar suferi un impediment grav sau care ar fi împiedicată în totalitate în cazul perturbării serviciului critic. Aceasta este una dintre funcțiile evaluate ca fiind critice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Statul membru pentru care funcția este critică, astfel cum este raportat în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Numărul de identificare al funcțiilor critice, astfel cum sunt definite în capitolul II.</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mai sus și menționate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Termenul estimat pentru substituibilitate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Termenul estimat necesar pentru a înlocui un furnizor cu un altul într-o măsură comparabilă în ceea ce privește obiectul, calitatea și costul serviciului primit.</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raporta una dintre următoarele valori:</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 xml:space="preserve">«între </w:t>
            </w:r>
            <w:r w:rsidRPr="002A58D3">
              <w:rPr>
                <w:rFonts w:ascii="Times New Roman" w:hAnsi="Times New Roman"/>
                <w:sz w:val="20"/>
                <w:szCs w:val="20"/>
              </w:rPr>
              <w:t>1</w:t>
            </w:r>
            <w:r>
              <w:rPr>
                <w:rFonts w:ascii="Times New Roman" w:hAnsi="Times New Roman"/>
                <w:sz w:val="20"/>
                <w:szCs w:val="20"/>
              </w:rPr>
              <w:t xml:space="preserve"> zi și </w:t>
            </w:r>
            <w:r w:rsidRPr="002A58D3">
              <w:rPr>
                <w:rFonts w:ascii="Times New Roman" w:hAnsi="Times New Roman"/>
                <w:sz w:val="20"/>
                <w:szCs w:val="20"/>
              </w:rPr>
              <w:t>1</w:t>
            </w:r>
            <w:r>
              <w:rPr>
                <w:rFonts w:ascii="Times New Roman" w:hAnsi="Times New Roman"/>
                <w:sz w:val="20"/>
                <w:szCs w:val="20"/>
              </w:rPr>
              <w:t xml:space="preserve"> săptămână», în cazul în care termenul pentru substituibilitate nu depășește o săptămână;</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 xml:space="preserve">«între </w:t>
            </w:r>
            <w:r w:rsidRPr="002A58D3">
              <w:rPr>
                <w:rFonts w:ascii="Times New Roman" w:hAnsi="Times New Roman"/>
                <w:sz w:val="20"/>
                <w:szCs w:val="20"/>
              </w:rPr>
              <w:t>1</w:t>
            </w:r>
            <w:r>
              <w:rPr>
                <w:rFonts w:ascii="Times New Roman" w:hAnsi="Times New Roman"/>
                <w:sz w:val="20"/>
                <w:szCs w:val="20"/>
              </w:rPr>
              <w:t xml:space="preserve"> săptămână și </w:t>
            </w:r>
            <w:r w:rsidRPr="002A58D3">
              <w:rPr>
                <w:rFonts w:ascii="Times New Roman" w:hAnsi="Times New Roman"/>
                <w:sz w:val="20"/>
                <w:szCs w:val="20"/>
              </w:rPr>
              <w:t>1</w:t>
            </w:r>
            <w:r>
              <w:rPr>
                <w:rFonts w:ascii="Times New Roman" w:hAnsi="Times New Roman"/>
                <w:sz w:val="20"/>
                <w:szCs w:val="20"/>
              </w:rPr>
              <w:t xml:space="preserve"> lună», în cazul în care termenul pentru substituibilitate depășește o săptămână, dar nu depășește o lună;</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 xml:space="preserve">«între </w:t>
            </w:r>
            <w:r w:rsidRPr="002A58D3">
              <w:rPr>
                <w:rFonts w:ascii="Times New Roman" w:hAnsi="Times New Roman"/>
                <w:sz w:val="20"/>
                <w:szCs w:val="20"/>
              </w:rPr>
              <w:t>1</w:t>
            </w:r>
            <w:r>
              <w:rPr>
                <w:rFonts w:ascii="Times New Roman" w:hAnsi="Times New Roman"/>
                <w:sz w:val="20"/>
                <w:szCs w:val="20"/>
              </w:rPr>
              <w:t xml:space="preserve"> lună și </w:t>
            </w:r>
            <w:r w:rsidRPr="002A58D3">
              <w:rPr>
                <w:rFonts w:ascii="Times New Roman" w:hAnsi="Times New Roman"/>
                <w:sz w:val="20"/>
                <w:szCs w:val="20"/>
              </w:rPr>
              <w:t>6</w:t>
            </w:r>
            <w:r>
              <w:rPr>
                <w:rFonts w:ascii="Times New Roman" w:hAnsi="Times New Roman"/>
                <w:sz w:val="20"/>
                <w:szCs w:val="20"/>
              </w:rPr>
              <w:t xml:space="preserve"> luni», în cazul în care termenul pentru substituibilitate depășește o lună, dar nu depășește </w:t>
            </w:r>
            <w:r w:rsidRPr="002A58D3">
              <w:rPr>
                <w:rFonts w:ascii="Times New Roman" w:hAnsi="Times New Roman"/>
                <w:sz w:val="20"/>
                <w:szCs w:val="20"/>
              </w:rPr>
              <w:t>6</w:t>
            </w:r>
            <w:r>
              <w:rPr>
                <w:rFonts w:ascii="Times New Roman" w:hAnsi="Times New Roman"/>
                <w:sz w:val="20"/>
                <w:szCs w:val="20"/>
              </w:rPr>
              <w:t xml:space="preserve"> luni;</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 xml:space="preserve">«între </w:t>
            </w:r>
            <w:r w:rsidRPr="002A58D3">
              <w:rPr>
                <w:rFonts w:ascii="Times New Roman" w:hAnsi="Times New Roman"/>
                <w:sz w:val="20"/>
                <w:szCs w:val="20"/>
              </w:rPr>
              <w:t>6</w:t>
            </w:r>
            <w:r>
              <w:rPr>
                <w:rFonts w:ascii="Times New Roman" w:hAnsi="Times New Roman"/>
                <w:sz w:val="20"/>
                <w:szCs w:val="20"/>
              </w:rPr>
              <w:t xml:space="preserve"> luni și </w:t>
            </w:r>
            <w:r w:rsidRPr="002A58D3">
              <w:rPr>
                <w:rFonts w:ascii="Times New Roman" w:hAnsi="Times New Roman"/>
                <w:sz w:val="20"/>
                <w:szCs w:val="20"/>
              </w:rPr>
              <w:t>12</w:t>
            </w:r>
            <w:r>
              <w:rPr>
                <w:rFonts w:ascii="Times New Roman" w:hAnsi="Times New Roman"/>
                <w:sz w:val="20"/>
                <w:szCs w:val="20"/>
              </w:rPr>
              <w:t xml:space="preserve"> luni», în cazul în care termenul pentru substituibilitate depășește </w:t>
            </w:r>
            <w:r w:rsidRPr="002A58D3">
              <w:rPr>
                <w:rFonts w:ascii="Times New Roman" w:hAnsi="Times New Roman"/>
                <w:sz w:val="20"/>
                <w:szCs w:val="20"/>
              </w:rPr>
              <w:t>6</w:t>
            </w:r>
            <w:r>
              <w:rPr>
                <w:rFonts w:ascii="Times New Roman" w:hAnsi="Times New Roman"/>
                <w:sz w:val="20"/>
                <w:szCs w:val="20"/>
              </w:rPr>
              <w:t xml:space="preserve"> luni, dar nu depășește un an;</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«mai mult de </w:t>
            </w:r>
            <w:r w:rsidRPr="002A58D3">
              <w:rPr>
                <w:rFonts w:ascii="Times New Roman" w:hAnsi="Times New Roman"/>
                <w:sz w:val="20"/>
                <w:szCs w:val="20"/>
              </w:rPr>
              <w:t>1</w:t>
            </w:r>
            <w:r>
              <w:rPr>
                <w:rFonts w:ascii="Times New Roman" w:hAnsi="Times New Roman"/>
                <w:sz w:val="20"/>
                <w:szCs w:val="20"/>
              </w:rPr>
              <w:t xml:space="preserve"> an», în cazul în care termenul pentru substituibilitate depășește un an.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Termenul estimat pentru accesul la contracte</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Termenul estimat necesar pentru extragerea următoarelor informații privind contractul de servicii, în urma unei solicitări din partea autorității de rezoluție:</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durata contractului;</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părțile la contract (autorul contractului și furnizorul, persoanele de contact) și competența acestora;</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natura serviciului (și anume, o scurtă descriere a naturii tranzacției dintre părți, inclusiv prețurile);</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dacă același serviciu poate fi oferit de orice alt furnizor intern/extern (și identificarea potențialilor candidați);</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jurisdicția contractului;</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serviciul responsabil cu gestionarea principalelor operațiuni care fac obiectul contractului;</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principalele sancțiuni incluse în contract în caz de suspendare sau de întârziere a plăților;</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motivele de reziliere anticipată și termenul permis pentru reziliere;</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sprijin operațional în urma rezilierii;</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funcțiile critice și liniile de activitate pentru care contractul este relevant.</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raporta una dintre următoarele valori:</w:t>
            </w:r>
          </w:p>
          <w:p w14:paraId="1A34D4E0" w14:textId="77777777" w:rsidR="000713A0" w:rsidRPr="00CF3B41" w:rsidRDefault="000713A0">
            <w:pPr>
              <w:pStyle w:val="List1"/>
              <w:rPr>
                <w:rFonts w:ascii="Times New Roman" w:eastAsia="Cambria" w:hAnsi="Times New Roman" w:cs="Times New Roman"/>
                <w:w w:val="95"/>
                <w:sz w:val="20"/>
                <w:szCs w:val="20"/>
              </w:rPr>
            </w:pPr>
            <w:r w:rsidRPr="002A58D3">
              <w:rPr>
                <w:rFonts w:ascii="Times New Roman" w:hAnsi="Times New Roman"/>
                <w:sz w:val="20"/>
                <w:szCs w:val="20"/>
              </w:rPr>
              <w:t>1</w:t>
            </w:r>
            <w:r>
              <w:rPr>
                <w:rFonts w:ascii="Times New Roman" w:hAnsi="Times New Roman"/>
                <w:sz w:val="20"/>
                <w:szCs w:val="20"/>
              </w:rPr>
              <w:t> zi;</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 xml:space="preserve">între </w:t>
            </w:r>
            <w:r w:rsidRPr="002A58D3">
              <w:rPr>
                <w:rFonts w:ascii="Times New Roman" w:hAnsi="Times New Roman"/>
                <w:sz w:val="20"/>
                <w:szCs w:val="20"/>
              </w:rPr>
              <w:t>1</w:t>
            </w:r>
            <w:r>
              <w:rPr>
                <w:rFonts w:ascii="Times New Roman" w:hAnsi="Times New Roman"/>
                <w:sz w:val="20"/>
                <w:szCs w:val="20"/>
              </w:rPr>
              <w:t xml:space="preserve"> zi și </w:t>
            </w:r>
            <w:r w:rsidRPr="002A58D3">
              <w:rPr>
                <w:rFonts w:ascii="Times New Roman" w:hAnsi="Times New Roman"/>
                <w:sz w:val="20"/>
                <w:szCs w:val="20"/>
              </w:rPr>
              <w:t>1</w:t>
            </w:r>
            <w:r>
              <w:rPr>
                <w:rFonts w:ascii="Times New Roman" w:hAnsi="Times New Roman"/>
                <w:sz w:val="20"/>
                <w:szCs w:val="20"/>
              </w:rPr>
              <w:t> săptămână;</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 xml:space="preserve">mai mult de </w:t>
            </w:r>
            <w:r w:rsidRPr="002A58D3">
              <w:rPr>
                <w:rFonts w:ascii="Times New Roman" w:hAnsi="Times New Roman"/>
                <w:sz w:val="20"/>
                <w:szCs w:val="20"/>
              </w:rPr>
              <w:t>1</w:t>
            </w:r>
            <w:r>
              <w:rPr>
                <w:rFonts w:ascii="Times New Roman" w:hAnsi="Times New Roman"/>
                <w:sz w:val="20"/>
                <w:szCs w:val="20"/>
              </w:rPr>
              <w:t> săptămână;</w:t>
            </w:r>
          </w:p>
          <w:p w14:paraId="4BD39BFA" w14:textId="77777777" w:rsidR="000713A0" w:rsidRPr="00D92B3C" w:rsidRDefault="000713A0">
            <w:pPr>
              <w:pStyle w:val="List1"/>
              <w:rPr>
                <w:rFonts w:eastAsia="Cambria"/>
                <w:w w:val="95"/>
              </w:rPr>
            </w:pPr>
            <w:r>
              <w:rPr>
                <w:rFonts w:ascii="Times New Roman" w:hAnsi="Times New Roman"/>
                <w:sz w:val="20"/>
                <w:szCs w:val="20"/>
              </w:rPr>
              <w:t>nu există niciun contract de reglementare a serviciului.</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Legislația aplicabilă</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Codul ISO al țării a cărei legislație se aplică în cazul contractului.</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Contract compatibil cu o rezoluție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Reflectă evaluarea măsurii în care contractul ar putea fi continuat și transferat în cadrul unei proceduri de rezoluție.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Evaluarea ia în considerare, printre alți factori:</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orice clauză care ar conferi unei contrapărți dreptul să rezilieze contractul doar ca urmare a unei proceduri de rezoluție, a unor măsuri de intervenție timpurie sau a unor scenarii «cross-default», chiar dacă obligațiile esențiale continuă să fie îndeplinite;</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orice clauză care ar conferi unei contrapărți dreptul să modifice condițiile de utilizare sau prețurile doar ca urmare a unei proceduri de rezoluție, a unei intervenții timpurii sau a unor scenarii «cross-default», chiar dacă obligațiile esențiale continuă să fie îndeplinite;</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recunoașterea, în contract, a drepturilor de suspendare ale autorităților de rezoluție.</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raporta una dintre următoarele valori:</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 – în cazul în care contractul este evaluat ca fiind compatibil cu o rezoluție;</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 – în cazul în care contractul nu este evaluat ca fiind compatibil cu o rezoluție;</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«Neevaluat» – în cazul în care nu a fost efectuată nicio evaluare.</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005863"/>
      <w:r>
        <w:rPr>
          <w:rFonts w:ascii="Times New Roman" w:hAnsi="Times New Roman"/>
          <w:color w:val="000000" w:themeColor="text1"/>
          <w:szCs w:val="20"/>
        </w:rPr>
        <w:t>Z </w:t>
      </w:r>
      <w:r w:rsidRPr="002A58D3">
        <w:rPr>
          <w:rFonts w:ascii="Times New Roman" w:hAnsi="Times New Roman"/>
          <w:color w:val="000000" w:themeColor="text1"/>
          <w:szCs w:val="20"/>
        </w:rPr>
        <w:t>09</w:t>
      </w:r>
      <w:r>
        <w:rPr>
          <w:rFonts w:ascii="Times New Roman" w:hAnsi="Times New Roman"/>
          <w:color w:val="000000" w:themeColor="text1"/>
          <w:szCs w:val="20"/>
        </w:rPr>
        <w:t>.</w:t>
      </w:r>
      <w:r w:rsidRPr="002A58D3">
        <w:rPr>
          <w:rFonts w:ascii="Times New Roman" w:hAnsi="Times New Roman"/>
          <w:color w:val="000000" w:themeColor="text1"/>
          <w:szCs w:val="20"/>
        </w:rPr>
        <w:t>00</w:t>
      </w:r>
      <w:r>
        <w:rPr>
          <w:rFonts w:ascii="Times New Roman" w:hAnsi="Times New Roman"/>
          <w:color w:val="000000" w:themeColor="text1"/>
          <w:szCs w:val="20"/>
        </w:rPr>
        <w:t xml:space="preserve"> – Servicii IPF – Furnizori și utilizatori – Punerea în corespondență cu funcțiile </w:t>
      </w:r>
      <w:bookmarkEnd w:id="26"/>
      <w:r>
        <w:rPr>
          <w:rFonts w:ascii="Times New Roman" w:hAnsi="Times New Roman"/>
          <w:color w:val="000000" w:themeColor="text1"/>
          <w:szCs w:val="20"/>
        </w:rPr>
        <w:t>critice</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Observații generale</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Această machetă identifică activitățile, funcțiile sau serviciile de compensare, de plăți, de decontare a titlurilor de valoare și de custodie a căror întrerupere poate constitui un impediment grav pentru exercitarea uneia sau mai multor funcții critice ori poate împiedica în totalitate exercitarea funcției/funcțiilor respective.</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Această machetă se raportează o singură dată pentru întreaga instituție sau întregul grup.</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identifică numai infrastructurile pieței financiare a căror întrerupere ar constitui un impediment grav pentru exercitarea unei funcții critice sau ar împiedica exercitarea acesteia.</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0020</w:t>
      </w:r>
      <w:r>
        <w:rPr>
          <w:rFonts w:ascii="Times New Roman" w:hAnsi="Times New Roman"/>
          <w:sz w:val="20"/>
          <w:szCs w:val="20"/>
        </w:rPr>
        <w:t xml:space="preserve">, </w:t>
      </w:r>
      <w:r w:rsidRPr="002A58D3">
        <w:rPr>
          <w:rFonts w:ascii="Times New Roman" w:hAnsi="Times New Roman"/>
          <w:sz w:val="20"/>
          <w:szCs w:val="20"/>
        </w:rPr>
        <w:t>0030</w:t>
      </w:r>
      <w:r>
        <w:rPr>
          <w:rFonts w:ascii="Times New Roman" w:hAnsi="Times New Roman"/>
          <w:sz w:val="20"/>
          <w:szCs w:val="20"/>
        </w:rPr>
        <w:t xml:space="preserve">, </w:t>
      </w:r>
      <w:r w:rsidRPr="002A58D3">
        <w:rPr>
          <w:rFonts w:ascii="Times New Roman" w:hAnsi="Times New Roman"/>
          <w:sz w:val="20"/>
          <w:szCs w:val="20"/>
        </w:rPr>
        <w:t>0040</w:t>
      </w:r>
      <w:r>
        <w:rPr>
          <w:rFonts w:ascii="Times New Roman" w:hAnsi="Times New Roman"/>
          <w:sz w:val="20"/>
          <w:szCs w:val="20"/>
        </w:rPr>
        <w:t xml:space="preserve">, </w:t>
      </w:r>
      <w:r w:rsidRPr="002A58D3">
        <w:rPr>
          <w:rFonts w:ascii="Times New Roman" w:hAnsi="Times New Roman"/>
          <w:sz w:val="20"/>
          <w:szCs w:val="20"/>
        </w:rPr>
        <w:t>0070</w:t>
      </w:r>
      <w:r>
        <w:rPr>
          <w:rFonts w:ascii="Times New Roman" w:hAnsi="Times New Roman"/>
          <w:sz w:val="20"/>
          <w:szCs w:val="20"/>
        </w:rPr>
        <w:t xml:space="preserve"> și </w:t>
      </w:r>
      <w:r w:rsidRPr="002A58D3">
        <w:rPr>
          <w:rFonts w:ascii="Times New Roman" w:hAnsi="Times New Roman"/>
          <w:sz w:val="20"/>
          <w:szCs w:val="20"/>
        </w:rPr>
        <w:t>0100</w:t>
      </w:r>
      <w:r>
        <w:rPr>
          <w:rFonts w:ascii="Times New Roman" w:hAnsi="Times New Roman"/>
          <w:sz w:val="20"/>
          <w:szCs w:val="20"/>
        </w:rPr>
        <w:t xml:space="preserve"> din prezenta machetă constituie o cheie primară care trebuie să fie unică pentru fiecare rând din machetă.</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Instrucțiuni privind anumite poziții</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Utilizator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Entitatea din grup care utilizează</w:t>
            </w:r>
            <w:r>
              <w:rPr>
                <w:rFonts w:ascii="Times New Roman" w:hAnsi="Times New Roman"/>
                <w:color w:val="000000" w:themeColor="text1"/>
                <w:sz w:val="20"/>
                <w:szCs w:val="20"/>
              </w:rPr>
              <w:t xml:space="preserve"> serviciile de plăți, de compensare, de decontare, de custodie sau de registru central de tranzacții, astfel cum este raportată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Denumirea entității care utilizează serviciile de plăți, de compensare, de decontare, de custodie sau de registru central de tranzacții, astfel cum este raportată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raportează numai entitățile care sunt identificate în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02</w:t>
            </w:r>
            <w:r>
              <w:rPr>
                <w:rFonts w:ascii="Times New Roman" w:hAnsi="Times New Roman"/>
                <w:color w:val="000000" w:themeColor="text1"/>
                <w:sz w:val="20"/>
                <w:szCs w:val="20"/>
              </w:rPr>
              <w:t xml:space="preserve"> ca exercitând funcții critice.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entității care utilizează serviciile de plăți, de compensare, de decontare, de custodie sau de registru central de tranzacții, astfel cum este raportat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Funcția critică</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Cs/>
                <w:color w:val="000000" w:themeColor="text1"/>
                <w:sz w:val="20"/>
                <w:szCs w:val="20"/>
              </w:rPr>
              <w:t xml:space="preserve">Funcția critică exercitată de entitate, a cărei exercitare ar fi afectată sau împiedicată de perturbarea accesului la serviciul de </w:t>
            </w:r>
            <w:r>
              <w:rPr>
                <w:rFonts w:ascii="Times New Roman" w:hAnsi="Times New Roman"/>
                <w:color w:val="000000" w:themeColor="text1"/>
                <w:sz w:val="20"/>
                <w:szCs w:val="20"/>
              </w:rPr>
              <w:t xml:space="preserve">plăți, de custodie, de decontare, de compensare sau de </w:t>
            </w:r>
            <w:r>
              <w:rPr>
                <w:rFonts w:ascii="Times New Roman" w:hAnsi="Times New Roman"/>
                <w:bCs/>
                <w:color w:val="000000" w:themeColor="text1"/>
                <w:sz w:val="20"/>
                <w:szCs w:val="20"/>
              </w:rPr>
              <w:t>registru</w:t>
            </w:r>
            <w:r>
              <w:rPr>
                <w:rFonts w:ascii="Times New Roman" w:hAnsi="Times New Roman"/>
                <w:color w:val="000000" w:themeColor="text1"/>
                <w:sz w:val="20"/>
                <w:szCs w:val="20"/>
              </w:rPr>
              <w:t xml:space="preserve"> central de tranzacții.</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Țara pentru care funcția este critică, astfel cum este raportată în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Numărul de identificare al funcțiilor critice, astfel cum sunt definite în capitolul II.</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mai sus și menționate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Infrastructura pieței financiare (IPF)</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Referință: CPMI, </w:t>
            </w:r>
            <w:hyperlink r:id="rId8" w:history="1">
              <w:r>
                <w:rPr>
                  <w:rFonts w:ascii="Times New Roman" w:hAnsi="Times New Roman"/>
                  <w:i/>
                  <w:iCs/>
                  <w:color w:val="000000" w:themeColor="text1"/>
                  <w:sz w:val="20"/>
                  <w:szCs w:val="20"/>
                </w:rPr>
                <w:t>Principles for financial market infrastructures</w:t>
              </w:r>
              <w:r>
                <w:rPr>
                  <w:rFonts w:ascii="Times New Roman" w:hAnsi="Times New Roman"/>
                  <w:color w:val="000000" w:themeColor="text1"/>
                  <w:sz w:val="20"/>
                  <w:szCs w:val="20"/>
                </w:rPr>
                <w:t xml:space="preserve"> (Principii pentru infrastructurile pieței financiare)</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Un sistem multilateral între instituțiile financiare participante, inclusiv operatorul sistemului, utilizat în scopul înregistrării, compensării sau decontării plăților, a titlurilor de valoare, a instrumentelor derivate sau a altor tranzacții financiare.</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Tipul de sistem</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raporta una dintre următoarele valori:</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sistem de plată</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depozitar central (internațional) de titluri de valoare, inclusiv (I) CSD care furnizează servicii de decontare (la nivel intern sau externalizate)</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sistem de decontare a titlurilor de valoare fără custodie</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w:t>
            </w:r>
            <w:r>
              <w:tab/>
            </w:r>
            <w:r>
              <w:rPr>
                <w:rFonts w:ascii="Times New Roman" w:hAnsi="Times New Roman"/>
                <w:color w:val="000000" w:themeColor="text1"/>
                <w:sz w:val="20"/>
                <w:szCs w:val="20"/>
              </w:rPr>
              <w:t xml:space="preserve">contrapartea centrală pentru compensarea titlurilor de valoare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w:t>
            </w:r>
            <w:r>
              <w:tab/>
            </w:r>
            <w:r>
              <w:rPr>
                <w:rFonts w:ascii="Times New Roman" w:hAnsi="Times New Roman"/>
                <w:color w:val="000000" w:themeColor="text1"/>
                <w:sz w:val="20"/>
                <w:szCs w:val="20"/>
              </w:rPr>
              <w:t>contrapartea centrală pentru compensarea instrumentelor financiare derivate</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registrul central de tranzacții</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«Altele»</w:t>
            </w:r>
            <w:r>
              <w:tab/>
            </w:r>
            <w:r>
              <w:rPr>
                <w:rFonts w:ascii="Times New Roman" w:hAnsi="Times New Roman"/>
                <w:color w:val="000000" w:themeColor="text1"/>
                <w:sz w:val="20"/>
                <w:szCs w:val="20"/>
              </w:rPr>
              <w:t>atunci când tipul de sistem al IPF nu corespunde niciunuia dintre tipurile predefinite menționate mai sus.</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atunci când serviciile critice de plăți, de compensare, de decontare sau de custodie sunt furnizate de o entitate care nu este o infrastructură a pieței financiare menționată mai sus, de exemplu băncile custode.</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Denumirea comercială a infrastructurii pieței financiare</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Atunci când se raportează «NA» în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nu se completează această coloană.</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Codul IPF</w:t>
            </w:r>
          </w:p>
          <w:p w14:paraId="7483B67E" w14:textId="3100196E"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Codul IPF-ului. Atunci când este disponibil, acest cod este codul LEI alfanumeric format din </w:t>
            </w:r>
            <w:r w:rsidRPr="002A58D3">
              <w:rPr>
                <w:rFonts w:ascii="Times New Roman" w:hAnsi="Times New Roman"/>
                <w:color w:val="000000" w:themeColor="text1"/>
                <w:sz w:val="20"/>
                <w:szCs w:val="20"/>
              </w:rPr>
              <w:t>20</w:t>
            </w:r>
            <w:r w:rsidR="002A58D3">
              <w:rPr>
                <w:rFonts w:ascii="Times New Roman" w:hAnsi="Times New Roman"/>
                <w:color w:val="000000" w:themeColor="text1"/>
                <w:sz w:val="20"/>
                <w:szCs w:val="20"/>
              </w:rPr>
              <w:t> </w:t>
            </w:r>
            <w:r>
              <w:rPr>
                <w:rFonts w:ascii="Times New Roman" w:hAnsi="Times New Roman"/>
                <w:color w:val="000000" w:themeColor="text1"/>
                <w:sz w:val="20"/>
                <w:szCs w:val="20"/>
              </w:rPr>
              <w:t>de cifre. În cazurile în care codul LEI nu este disponibil, un cod conform unei codificări uniforme aplicabile în Uniune sau, în cazul în care un astfel de cod nu este disponibil, un cod național.</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Atunci când se raportează «NA» în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nu se completează această coloană.</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Modul de participare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raporta una dintre următoarele valori:</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«Direct»</w:t>
            </w:r>
            <w:r>
              <w:tab/>
            </w:r>
            <w:r>
              <w:rPr>
                <w:rFonts w:ascii="Times New Roman" w:hAnsi="Times New Roman"/>
                <w:color w:val="000000" w:themeColor="text1"/>
                <w:sz w:val="20"/>
                <w:szCs w:val="20"/>
              </w:rPr>
              <w:t>în cazul statutului de membru direct sau al participării directe</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«Indirect»</w:t>
            </w:r>
            <w:r>
              <w:tab/>
            </w:r>
            <w:r>
              <w:rPr>
                <w:rFonts w:ascii="Times New Roman" w:hAnsi="Times New Roman"/>
                <w:color w:val="000000" w:themeColor="text1"/>
                <w:sz w:val="20"/>
                <w:szCs w:val="20"/>
              </w:rPr>
              <w:t>în cazul statutului de membru indirect sau al participării indirecte</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 xml:space="preserve">Atunci când în coloana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se raportează «NA».</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Denumire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Denumirea comercială a intermediarului atunci când în coloana </w:t>
            </w:r>
            <w:r w:rsidRPr="002A58D3">
              <w:rPr>
                <w:rFonts w:ascii="Times New Roman" w:hAnsi="Times New Roman"/>
                <w:color w:val="000000" w:themeColor="text1"/>
                <w:sz w:val="20"/>
                <w:szCs w:val="20"/>
              </w:rPr>
              <w:t>0080</w:t>
            </w:r>
            <w:r>
              <w:rPr>
                <w:rFonts w:ascii="Times New Roman" w:hAnsi="Times New Roman"/>
                <w:color w:val="000000" w:themeColor="text1"/>
                <w:sz w:val="20"/>
                <w:szCs w:val="20"/>
              </w:rPr>
              <w:t xml:space="preserve"> se raportează «Indirect» sau «NA».</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Atunci când în coloana </w:t>
            </w:r>
            <w:r w:rsidRPr="002A58D3">
              <w:rPr>
                <w:rFonts w:ascii="Times New Roman" w:hAnsi="Times New Roman"/>
                <w:color w:val="000000" w:themeColor="text1"/>
                <w:sz w:val="20"/>
                <w:szCs w:val="20"/>
              </w:rPr>
              <w:t>0080</w:t>
            </w:r>
            <w:r>
              <w:rPr>
                <w:rFonts w:ascii="Times New Roman" w:hAnsi="Times New Roman"/>
                <w:color w:val="000000" w:themeColor="text1"/>
                <w:sz w:val="20"/>
                <w:szCs w:val="20"/>
              </w:rPr>
              <w:t xml:space="preserve"> se raportează «Direct», se completează «NA» (prescurtare pentru «nu se aplică»).</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Intermediarul poate să facă parte din grupul căruia îi aparține entitatea raportoare sau poate fi o altă instituție de credit care nu are legătură cu grupul respectiv. </w:t>
            </w:r>
          </w:p>
          <w:p w14:paraId="7A140109" w14:textId="43BB7139" w:rsidR="00772F88" w:rsidRPr="00D92B3C" w:rsidRDefault="00772F88" w:rsidP="002A58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 intermediar poate fi o societate care furnizează altor societăți servicii de compensare, de plăți, de decontare a titlurilor de valoare și/sau de custodie (în special atunci când în coloana</w:t>
            </w:r>
            <w:r w:rsidR="002A58D3">
              <w:rPr>
                <w:rFonts w:ascii="Times New Roman" w:hAnsi="Times New Roman"/>
                <w:color w:val="000000" w:themeColor="text1"/>
                <w:sz w:val="20"/>
                <w:szCs w:val="20"/>
              </w:rPr>
              <w:t> </w:t>
            </w: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 xml:space="preserve"> se completează «NA»); poate fi membru direct al uneia sau mai multor IPF și oferă acces indirect la serviciile oferite de o astfel de IPF (în special atunci când în coloana </w:t>
            </w:r>
            <w:r w:rsidRPr="002A58D3">
              <w:rPr>
                <w:rFonts w:ascii="Times New Roman" w:hAnsi="Times New Roman"/>
                <w:color w:val="000000" w:themeColor="text1"/>
                <w:sz w:val="20"/>
                <w:szCs w:val="20"/>
              </w:rPr>
              <w:t>0080</w:t>
            </w:r>
            <w:r>
              <w:rPr>
                <w:rFonts w:ascii="Times New Roman" w:hAnsi="Times New Roman"/>
                <w:color w:val="000000" w:themeColor="text1"/>
                <w:sz w:val="20"/>
                <w:szCs w:val="20"/>
              </w:rPr>
              <w:t xml:space="preserve"> se completează «Indirect»).</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Codul intermediarului. Atunci când este disponibil, acest cod este codul LEI alfanumeric format din </w:t>
            </w:r>
            <w:r w:rsidRPr="002A58D3">
              <w:rPr>
                <w:rFonts w:ascii="Times New Roman" w:hAnsi="Times New Roman"/>
                <w:color w:val="000000" w:themeColor="text1"/>
                <w:sz w:val="20"/>
                <w:szCs w:val="20"/>
              </w:rPr>
              <w:t>20</w:t>
            </w:r>
            <w:r>
              <w:rPr>
                <w:rFonts w:ascii="Times New Roman" w:hAnsi="Times New Roman"/>
                <w:color w:val="000000" w:themeColor="text1"/>
                <w:sz w:val="20"/>
                <w:szCs w:val="20"/>
              </w:rPr>
              <w:t xml:space="preserve"> de cifre. În cazurile în care codul LEI nu este disponibil, un cod conform unei codificări uniforme aplicabile în Uniune sau, în cazul în care un astfel de cod nu este disponibil, un cod național.</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 xml:space="preserve">Atunci când în coloana </w:t>
            </w:r>
            <w:r w:rsidRPr="002A58D3">
              <w:rPr>
                <w:rFonts w:ascii="Times New Roman" w:hAnsi="Times New Roman"/>
                <w:color w:val="000000" w:themeColor="text1"/>
                <w:sz w:val="20"/>
                <w:szCs w:val="20"/>
              </w:rPr>
              <w:t>0090</w:t>
            </w:r>
            <w:r>
              <w:rPr>
                <w:rFonts w:ascii="Times New Roman" w:hAnsi="Times New Roman"/>
                <w:color w:val="000000" w:themeColor="text1"/>
                <w:sz w:val="20"/>
                <w:szCs w:val="20"/>
              </w:rPr>
              <w:t xml:space="preserve"> se raportează «Direct», se completează «NA» (prescurtare pentru «nu se aplică»).</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Descrierea serviciului</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Descrierea serviciului, în cazul în care tipul de sistem raportat în coloana </w:t>
            </w:r>
            <w:r w:rsidRPr="002A58D3">
              <w:rPr>
                <w:rFonts w:ascii="Times New Roman" w:hAnsi="Times New Roman"/>
                <w:color w:val="000000" w:themeColor="text1"/>
                <w:sz w:val="20"/>
                <w:szCs w:val="20"/>
              </w:rPr>
              <w:t>050</w:t>
            </w:r>
            <w:r>
              <w:rPr>
                <w:rFonts w:ascii="Times New Roman" w:hAnsi="Times New Roman"/>
                <w:color w:val="000000" w:themeColor="text1"/>
                <w:sz w:val="20"/>
                <w:szCs w:val="20"/>
              </w:rPr>
              <w:t xml:space="preserve"> este «Altele» sau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Legislația aplicabilă</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Identificarea ISO </w:t>
            </w:r>
            <w:r w:rsidRPr="002A58D3">
              <w:rPr>
                <w:rFonts w:ascii="Times New Roman" w:hAnsi="Times New Roman"/>
                <w:color w:val="000000" w:themeColor="text1"/>
                <w:sz w:val="20"/>
                <w:szCs w:val="20"/>
              </w:rPr>
              <w:t>3166</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alfa-</w:t>
            </w:r>
            <w:r w:rsidRPr="002A58D3">
              <w:rPr>
                <w:rFonts w:ascii="Times New Roman" w:hAnsi="Times New Roman"/>
                <w:color w:val="000000" w:themeColor="text1"/>
                <w:sz w:val="20"/>
                <w:szCs w:val="20"/>
              </w:rPr>
              <w:t>2</w:t>
            </w:r>
            <w:r>
              <w:rPr>
                <w:rFonts w:ascii="Times New Roman" w:hAnsi="Times New Roman"/>
                <w:color w:val="000000" w:themeColor="text1"/>
                <w:sz w:val="20"/>
                <w:szCs w:val="20"/>
              </w:rPr>
              <w:t xml:space="preserve"> a țării a cărei legislație se aplică în cazul accesului la IPF.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În cazul statutului de membru direct sau al participării directe, trebuie să se raporteze legislația aplicabilă contractului dintre infrastructura pieței financiare și utilizator. În cazul statutului de membru indirect sau al participării indirecte, trebuie să se raporteze legislația aplicabilă contractului dintre instituția cu rol de reprezentant și utilizator.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005864"/>
      <w:r>
        <w:rPr>
          <w:rFonts w:ascii="Times New Roman" w:hAnsi="Times New Roman"/>
          <w:color w:val="000000" w:themeColor="text1"/>
          <w:szCs w:val="20"/>
        </w:rPr>
        <w:t>Sistemele informatice critice</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Observații generale</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Această secțiune cuprinde următoarele machete:</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 xml:space="preserve">Z </w:t>
      </w:r>
      <w:r w:rsidRPr="002A58D3">
        <w:rPr>
          <w:rFonts w:ascii="Times New Roman" w:hAnsi="Times New Roman"/>
          <w:sz w:val="20"/>
        </w:rPr>
        <w:t>10</w:t>
      </w:r>
      <w:r>
        <w:rPr>
          <w:rFonts w:ascii="Times New Roman" w:hAnsi="Times New Roman"/>
          <w:sz w:val="20"/>
        </w:rPr>
        <w:t>.</w:t>
      </w:r>
      <w:r w:rsidRPr="002A58D3">
        <w:rPr>
          <w:rFonts w:ascii="Times New Roman" w:hAnsi="Times New Roman"/>
          <w:sz w:val="20"/>
        </w:rPr>
        <w:t>01</w:t>
      </w:r>
      <w:r>
        <w:rPr>
          <w:rFonts w:ascii="Times New Roman" w:hAnsi="Times New Roman"/>
          <w:sz w:val="20"/>
        </w:rPr>
        <w:t xml:space="preserve"> – Sistemele informatice critice (informații generale) (CIS </w:t>
      </w:r>
      <w:r w:rsidRPr="002A58D3">
        <w:rPr>
          <w:rFonts w:ascii="Times New Roman" w:hAnsi="Times New Roman"/>
          <w:sz w:val="20"/>
        </w:rPr>
        <w:t>1</w:t>
      </w:r>
      <w:r>
        <w:rPr>
          <w:rFonts w:ascii="Times New Roman" w:hAnsi="Times New Roman"/>
          <w:sz w:val="20"/>
        </w:rPr>
        <w:t>), în care sunt enumerate toate sistemele informatice critice din cadrul grupului;</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 xml:space="preserve">Z </w:t>
      </w:r>
      <w:r w:rsidRPr="002A58D3">
        <w:rPr>
          <w:rFonts w:ascii="Times New Roman" w:hAnsi="Times New Roman"/>
          <w:sz w:val="20"/>
        </w:rPr>
        <w:t>10</w:t>
      </w:r>
      <w:r>
        <w:rPr>
          <w:rFonts w:ascii="Times New Roman" w:hAnsi="Times New Roman"/>
          <w:sz w:val="20"/>
        </w:rPr>
        <w:t>.</w:t>
      </w:r>
      <w:r w:rsidRPr="002A58D3">
        <w:rPr>
          <w:rFonts w:ascii="Times New Roman" w:hAnsi="Times New Roman"/>
          <w:sz w:val="20"/>
        </w:rPr>
        <w:t>02</w:t>
      </w:r>
      <w:r>
        <w:rPr>
          <w:rFonts w:ascii="Times New Roman" w:hAnsi="Times New Roman"/>
          <w:sz w:val="20"/>
        </w:rPr>
        <w:t xml:space="preserve"> – Punerea în corespondență a sistemelor informatice critice (CIS </w:t>
      </w:r>
      <w:r w:rsidRPr="002A58D3">
        <w:rPr>
          <w:rFonts w:ascii="Times New Roman" w:hAnsi="Times New Roman"/>
          <w:sz w:val="20"/>
        </w:rPr>
        <w:t>2</w:t>
      </w:r>
      <w:r>
        <w:rPr>
          <w:rFonts w:ascii="Times New Roman" w:hAnsi="Times New Roman"/>
          <w:sz w:val="20"/>
        </w:rPr>
        <w:t>), care stabilește corespondența dintre sistemele informatice critice, pe de o parte, și entitățile utilizatoare din cadrul grupului și funcțiile critice, pe de altă parte.</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Prin sistem informatic critic («CIS») se înțelege o aplicație informatică sau un software care sprijină un serviciu critic a cărui perturbare ar constitui un impediment grav pentru exercitarea unei funcții critice sau ar împiedica exercitarea unei astfel de funcții.</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Aceste machete se raportează pentru întregul grup.</w:t>
      </w:r>
    </w:p>
    <w:p w14:paraId="70CC17BA" w14:textId="77777777" w:rsidR="00AD4B22" w:rsidRPr="00D1040F" w:rsidRDefault="00AD4B22" w:rsidP="00EA3B0A">
      <w:pPr>
        <w:pStyle w:val="Numberedtitlelevel3"/>
        <w:numPr>
          <w:ilvl w:val="0"/>
          <w:numId w:val="0"/>
        </w:numPr>
        <w:rPr>
          <w:rFonts w:ascii="Times New Roman" w:hAnsi="Times New Roman" w:cs="Times New Roman"/>
          <w:color w:val="000000" w:themeColor="text1"/>
          <w:sz w:val="20"/>
          <w:szCs w:val="20"/>
          <w:lang w:val="fr-BE"/>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 xml:space="preserve">Z </w:t>
      </w:r>
      <w:r w:rsidRPr="002A58D3">
        <w:rPr>
          <w:rFonts w:ascii="Times New Roman" w:hAnsi="Times New Roman"/>
          <w:b w:val="0"/>
          <w:color w:val="000000" w:themeColor="text1"/>
          <w:sz w:val="20"/>
          <w:szCs w:val="20"/>
          <w:u w:val="single"/>
        </w:rPr>
        <w:t>10</w:t>
      </w:r>
      <w:r>
        <w:rPr>
          <w:rFonts w:ascii="Times New Roman" w:hAnsi="Times New Roman"/>
          <w:b w:val="0"/>
          <w:color w:val="000000" w:themeColor="text1"/>
          <w:sz w:val="20"/>
          <w:szCs w:val="20"/>
          <w:u w:val="single"/>
        </w:rPr>
        <w:t>.</w:t>
      </w:r>
      <w:r w:rsidRPr="002A58D3">
        <w:rPr>
          <w:rFonts w:ascii="Times New Roman" w:hAnsi="Times New Roman"/>
          <w:b w:val="0"/>
          <w:color w:val="000000" w:themeColor="text1"/>
          <w:sz w:val="20"/>
          <w:szCs w:val="20"/>
          <w:u w:val="single"/>
        </w:rPr>
        <w:t>01</w:t>
      </w:r>
      <w:r>
        <w:rPr>
          <w:rFonts w:ascii="Times New Roman" w:hAnsi="Times New Roman"/>
          <w:b w:val="0"/>
          <w:color w:val="000000" w:themeColor="text1"/>
          <w:sz w:val="20"/>
          <w:szCs w:val="20"/>
          <w:u w:val="single"/>
        </w:rPr>
        <w:t xml:space="preserve"> – Sistemele informatice critice (informații generale) (CIS </w:t>
      </w:r>
      <w:r w:rsidRPr="002A58D3">
        <w:rPr>
          <w:rFonts w:ascii="Times New Roman" w:hAnsi="Times New Roman"/>
          <w:b w:val="0"/>
          <w:color w:val="000000" w:themeColor="text1"/>
          <w:sz w:val="20"/>
          <w:szCs w:val="20"/>
          <w:u w:val="single"/>
        </w:rPr>
        <w:t>1</w:t>
      </w:r>
      <w:r>
        <w:rPr>
          <w:rFonts w:ascii="Times New Roman" w:hAnsi="Times New Roman"/>
          <w:b w:val="0"/>
          <w:color w:val="000000" w:themeColor="text1"/>
          <w:sz w:val="20"/>
          <w:szCs w:val="20"/>
          <w:u w:val="single"/>
        </w:rPr>
        <w:t>): Instrucțiuni privind anumite poziții</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Valoarea raportată în coloana </w:t>
      </w:r>
      <w:r w:rsidRPr="002A58D3">
        <w:rPr>
          <w:rFonts w:ascii="Times New Roman" w:hAnsi="Times New Roman"/>
          <w:sz w:val="20"/>
          <w:szCs w:val="20"/>
        </w:rPr>
        <w:t>0010</w:t>
      </w:r>
      <w:r>
        <w:rPr>
          <w:rFonts w:ascii="Times New Roman" w:hAnsi="Times New Roman"/>
          <w:sz w:val="20"/>
          <w:szCs w:val="20"/>
        </w:rPr>
        <w:t xml:space="preserve"> din prezenta machetă constituie o cheie primară care trebuie să fie unică pentru fiecare rând din machetă. </w:t>
      </w:r>
    </w:p>
    <w:p w14:paraId="06AD164E" w14:textId="77777777" w:rsidR="000B75A6" w:rsidRPr="00D1040F"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Sistemul informatic critic</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Codul de identificare a sistemului</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Codul de identificare a sistemului este un acronim stabilit de instituție care identifică în mod neechivoc sistemul informatic critic.</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Acest cod este un număr de identificare a rândului și este unic pentru fiecare rând din machetă.</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sistemului</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Denumirea comercială sau internă a sistemului</w:t>
            </w:r>
            <w:r>
              <w:rPr>
                <w:rFonts w:ascii="Times New Roman" w:hAnsi="Times New Roman"/>
                <w:bCs/>
                <w:color w:val="000000" w:themeColor="text1"/>
                <w:sz w:val="20"/>
                <w:szCs w:val="20"/>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Tipul de sistem</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 raporta una dintre următoarele valori:</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«Software personalizat pentru sprijinirea întreprinderilor»</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Aplicații care au fost dezvoltate în conformitate cu specificațiile detaliate ale întreprinderii. Aceste aplicații pot să fie dezvoltate la nivel intern sau de către contractanți externi, dar întotdeauna cu scopul de a sprijini întreprinderile.</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«Software achiziționat ca atare (As-Is)»</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Aplicațiile achiziționate de pe piață, care de obicei sunt vândute sau cedate sub licență de către un vânzător, care nu au fost modificate astfel încât să se opereze personalizări specifice pentru activitatea organizației. Se includ în această categorie aplicațiile care au fost supuse unor mecanisme de configurare normală.</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«Software achiziționat cu modificări personalizate»</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Aplicațiile achiziționate de pe piață, dar în cazul cărora vânzătorul (sau reprezentantul acestuia) a creat o versiune specifică pentru contextul instalării respective. Această versiune specifică se caracterizează prin modificări ale comportamentului aplicației, prin noi funcționalități sau prin includerea unor module de extensie non-standard elaborate în funcție de activitatea organizației.</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«Aplicație/portal extern»</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Portaluri externe sau aplicații furnizate de terți, de obicei de parteneri, pentru a avea acces la serviciile pe care le oferă. În mod normal, acestea nu intră în sfera de aplicare a gestionării sistemelor informatice din cadrul organizației și sunt instalate, întreținute și gestionate de partenerul respectiv. Aceste aplicații se prezintă adesea sub formă de portaluri (accesibile prin internet sau prin rețele private) și, cu toate că sunt în afara domeniului de aplicare al serviciilor de gestionare a sistemelor informatice ale organizației, acestea sunt importante (sau critice) pentru anumite funcții ale întreprinderii.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Descriere</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Descrierea scopului principal al sistemului informatic în contextul întreprinderii.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Entitatea din grup responsabilă de sistem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Denumirea entității juridice responsabile de sistem în cadrul grupului.</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Aceasta este entitatea responsabilă, în mod global, cu achiziționarea, dezvoltarea, integrarea, modificarea, funcționarea, întreținerea și retragerea unui sistem informatic; aceasta contribuie în mod esențial la elaborarea unor specificații de proiectare a sistemului, pentru a asigura faptul că securitatea și nevoile operaționale ale utilizatorilor sunt documentate, testate și puse în aplicare.</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Codul entității juridice responsabile de sistem în cadrul grupului, astfel cum este raportat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tc>
      </w:tr>
    </w:tbl>
    <w:p w14:paraId="70CC4DE4" w14:textId="77777777" w:rsidR="00AD4B22" w:rsidRPr="00D1040F" w:rsidRDefault="00AD4B22" w:rsidP="00AD4B22">
      <w:pPr>
        <w:pStyle w:val="body"/>
        <w:rPr>
          <w:rFonts w:ascii="Times New Roman" w:hAnsi="Times New Roman" w:cs="Times New Roman"/>
          <w:color w:val="000000" w:themeColor="text1"/>
          <w:sz w:val="20"/>
          <w:szCs w:val="20"/>
          <w:lang w:val="fr-BE"/>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w:t>
      </w:r>
      <w:r w:rsidRPr="002A58D3">
        <w:rPr>
          <w:rFonts w:ascii="Times New Roman" w:hAnsi="Times New Roman"/>
          <w:b w:val="0"/>
          <w:color w:val="000000" w:themeColor="text1"/>
          <w:sz w:val="20"/>
          <w:szCs w:val="20"/>
          <w:u w:val="single"/>
        </w:rPr>
        <w:t>10</w:t>
      </w:r>
      <w:r>
        <w:rPr>
          <w:rFonts w:ascii="Times New Roman" w:hAnsi="Times New Roman"/>
          <w:b w:val="0"/>
          <w:color w:val="000000" w:themeColor="text1"/>
          <w:sz w:val="20"/>
          <w:szCs w:val="20"/>
          <w:u w:val="single"/>
        </w:rPr>
        <w:t>-</w:t>
      </w:r>
      <w:r w:rsidRPr="002A58D3">
        <w:rPr>
          <w:rFonts w:ascii="Times New Roman" w:hAnsi="Times New Roman"/>
          <w:b w:val="0"/>
          <w:color w:val="000000" w:themeColor="text1"/>
          <w:sz w:val="20"/>
          <w:szCs w:val="20"/>
          <w:u w:val="single"/>
        </w:rPr>
        <w:t>02</w:t>
      </w:r>
      <w:r>
        <w:rPr>
          <w:rFonts w:ascii="Times New Roman" w:hAnsi="Times New Roman"/>
          <w:b w:val="0"/>
          <w:color w:val="000000" w:themeColor="text1"/>
          <w:sz w:val="20"/>
          <w:szCs w:val="20"/>
          <w:u w:val="single"/>
        </w:rPr>
        <w:t xml:space="preserve"> – Punerea în corespondență a sistemelor informatice (CIS </w:t>
      </w:r>
      <w:r w:rsidRPr="002A58D3">
        <w:rPr>
          <w:rFonts w:ascii="Times New Roman" w:hAnsi="Times New Roman"/>
          <w:b w:val="0"/>
          <w:color w:val="000000" w:themeColor="text1"/>
          <w:sz w:val="20"/>
          <w:szCs w:val="20"/>
          <w:u w:val="single"/>
        </w:rPr>
        <w:t>2</w:t>
      </w:r>
      <w:r>
        <w:rPr>
          <w:rFonts w:ascii="Times New Roman" w:hAnsi="Times New Roman"/>
          <w:b w:val="0"/>
          <w:color w:val="000000" w:themeColor="text1"/>
          <w:sz w:val="20"/>
          <w:szCs w:val="20"/>
          <w:u w:val="single"/>
        </w:rPr>
        <w:t>): Instrucțiuni privind anumite poziții</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Combinația dintre valorile raportate în coloanele </w:t>
      </w:r>
      <w:r w:rsidRPr="002A58D3">
        <w:rPr>
          <w:rFonts w:ascii="Times New Roman" w:hAnsi="Times New Roman"/>
          <w:sz w:val="20"/>
          <w:szCs w:val="20"/>
        </w:rPr>
        <w:t>0010</w:t>
      </w:r>
      <w:r>
        <w:rPr>
          <w:rFonts w:ascii="Times New Roman" w:hAnsi="Times New Roman"/>
          <w:sz w:val="20"/>
          <w:szCs w:val="20"/>
        </w:rPr>
        <w:t xml:space="preserve">, </w:t>
      </w:r>
      <w:r w:rsidRPr="002A58D3">
        <w:rPr>
          <w:rFonts w:ascii="Times New Roman" w:hAnsi="Times New Roman"/>
          <w:sz w:val="20"/>
          <w:szCs w:val="20"/>
        </w:rPr>
        <w:t>0030</w:t>
      </w:r>
      <w:r>
        <w:rPr>
          <w:rFonts w:ascii="Times New Roman" w:hAnsi="Times New Roman"/>
          <w:sz w:val="20"/>
          <w:szCs w:val="20"/>
        </w:rPr>
        <w:t xml:space="preserve">, </w:t>
      </w:r>
      <w:r w:rsidRPr="002A58D3">
        <w:rPr>
          <w:rFonts w:ascii="Times New Roman" w:hAnsi="Times New Roman"/>
          <w:sz w:val="20"/>
          <w:szCs w:val="20"/>
        </w:rPr>
        <w:t>0040</w:t>
      </w:r>
      <w:r>
        <w:rPr>
          <w:rFonts w:ascii="Times New Roman" w:hAnsi="Times New Roman"/>
          <w:sz w:val="20"/>
          <w:szCs w:val="20"/>
        </w:rPr>
        <w:t xml:space="preserve">, </w:t>
      </w:r>
      <w:r w:rsidRPr="002A58D3">
        <w:rPr>
          <w:rFonts w:ascii="Times New Roman" w:hAnsi="Times New Roman"/>
          <w:sz w:val="20"/>
          <w:szCs w:val="20"/>
        </w:rPr>
        <w:t>0050</w:t>
      </w:r>
      <w:r>
        <w:rPr>
          <w:rFonts w:ascii="Times New Roman" w:hAnsi="Times New Roman"/>
          <w:sz w:val="20"/>
          <w:szCs w:val="20"/>
        </w:rPr>
        <w:t xml:space="preserve"> și </w:t>
      </w:r>
      <w:r w:rsidRPr="002A58D3">
        <w:rPr>
          <w:rFonts w:ascii="Times New Roman" w:hAnsi="Times New Roman"/>
          <w:sz w:val="20"/>
          <w:szCs w:val="20"/>
        </w:rPr>
        <w:t>0060</w:t>
      </w:r>
      <w:r>
        <w:rPr>
          <w:rFonts w:ascii="Times New Roman" w:hAnsi="Times New Roman"/>
          <w:sz w:val="20"/>
          <w:szCs w:val="20"/>
        </w:rPr>
        <w:t xml:space="preserve"> din prezenta machetă constituie o cheie primară care trebuie să fie unică pentru fiecare rând din machetă. </w:t>
      </w:r>
    </w:p>
    <w:p w14:paraId="3AB449B8" w14:textId="77777777" w:rsidR="00720344" w:rsidRPr="00D1040F"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Coloane</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Instrucțiuni</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Codul de identificare a sistemului</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Codul de identificare a sistemului informatic, astfel cum este raportat în coloana </w:t>
            </w:r>
            <w:r w:rsidRPr="002A58D3">
              <w:rPr>
                <w:rFonts w:ascii="Times New Roman" w:hAnsi="Times New Roman"/>
                <w:color w:val="000000" w:themeColor="text1"/>
                <w:sz w:val="20"/>
                <w:szCs w:val="20"/>
              </w:rPr>
              <w:t>010</w:t>
            </w:r>
            <w:r>
              <w:rPr>
                <w:rFonts w:ascii="Times New Roman" w:hAnsi="Times New Roman"/>
                <w:color w:val="000000" w:themeColor="text1"/>
                <w:sz w:val="20"/>
                <w:szCs w:val="20"/>
              </w:rPr>
              <w:t xml:space="preserve"> din macheta Z </w:t>
            </w:r>
            <w:r w:rsidRPr="002A58D3">
              <w:rPr>
                <w:rFonts w:ascii="Times New Roman" w:hAnsi="Times New Roman"/>
                <w:color w:val="000000" w:themeColor="text1"/>
                <w:sz w:val="20"/>
                <w:szCs w:val="20"/>
              </w:rPr>
              <w:t>10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(CIS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Entitatea din grup care utilizează sistemul</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Entitatea care utilizează sistemul în cadrul grupului („utilizatorul”). În cazul mai multor utilizatori, se raportează un rând separat pentru fiecare utilizator al aceluiași sistem informatic.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Denumirea entității</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Denumirea entității care utilizează sistemul, astfel cum este raportată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Codul entității care utilizează sistemul, astfel cum este raportat în Z </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 Structura organizatorică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Serviciul critic</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 xml:space="preserve">Codul de identificare a serviciului critic, astfel cum este raportat în Z </w:t>
            </w:r>
            <w:r w:rsidRPr="002A58D3">
              <w:rPr>
                <w:rFonts w:ascii="Times New Roman" w:hAnsi="Times New Roman"/>
                <w:color w:val="000000" w:themeColor="text1"/>
                <w:sz w:val="20"/>
                <w:szCs w:val="20"/>
              </w:rPr>
              <w:t>08</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w:t>
            </w:r>
            <w:r>
              <w:rPr>
                <w:rFonts w:ascii="Times New Roman" w:hAnsi="Times New Roman"/>
                <w:color w:val="000000" w:themeColor="text1"/>
                <w:sz w:val="20"/>
                <w:szCs w:val="20"/>
              </w:rPr>
              <w:t xml:space="preserve"> (coloana </w:t>
            </w:r>
            <w:r w:rsidRPr="002A58D3">
              <w:rPr>
                <w:rFonts w:ascii="Times New Roman" w:hAnsi="Times New Roman"/>
                <w:color w:val="000000" w:themeColor="text1"/>
                <w:sz w:val="20"/>
                <w:szCs w:val="20"/>
              </w:rPr>
              <w:t>0005</w:t>
            </w:r>
            <w:r>
              <w:rPr>
                <w:rFonts w:ascii="Times New Roman" w:hAnsi="Times New Roman"/>
                <w:color w:val="000000" w:themeColor="text1"/>
                <w:sz w:val="20"/>
                <w:szCs w:val="20"/>
              </w:rPr>
              <w:t>), pe care îl sprijină sistemul. Serviciul critic poate fi el însuși un serviciu informatic sau un alt tip de serviciu pe care îl sprijină sistemul informatic (de exemplu, prelucrarea tranzacțiilor).</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0060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Funcția critică</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Funcția critică ce ar fi grav afectată sau împiedicată în totalitate de o întrerupere a serviciilor sprijinite de sistemul informatic. Pot exista mai multe funcții critice, caz în care se raportează mai multe rânduri pentru același sistem informatic.</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Țara</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Țara pentru care funcția este critică, astfel cum este raportată în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2A58D3">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Numărul de identificare al funcțiilor critice, astfel cum sunt definite în capitolul II.</w:t>
            </w:r>
            <w:r w:rsidRPr="002A58D3">
              <w:rPr>
                <w:rFonts w:ascii="Times New Roman" w:hAnsi="Times New Roman"/>
                <w:color w:val="000000" w:themeColor="text1"/>
                <w:sz w:val="20"/>
                <w:szCs w:val="20"/>
              </w:rPr>
              <w:t>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 xml:space="preserve"> de mai sus și menționate în macheta Z </w:t>
            </w:r>
            <w:r w:rsidRPr="002A58D3">
              <w:rPr>
                <w:rFonts w:ascii="Times New Roman" w:hAnsi="Times New Roman"/>
                <w:color w:val="000000" w:themeColor="text1"/>
                <w:sz w:val="20"/>
                <w:szCs w:val="20"/>
              </w:rPr>
              <w:t>07</w:t>
            </w:r>
            <w:r>
              <w:rPr>
                <w:rFonts w:ascii="Times New Roman" w:hAnsi="Times New Roman"/>
                <w:color w:val="000000" w:themeColor="text1"/>
                <w:sz w:val="20"/>
                <w:szCs w:val="20"/>
              </w:rPr>
              <w:t>.</w:t>
            </w:r>
            <w:r w:rsidRPr="002A58D3">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2A58D3">
              <w:rPr>
                <w:rFonts w:ascii="Times New Roman" w:hAnsi="Times New Roman"/>
                <w:color w:val="000000" w:themeColor="text1"/>
                <w:sz w:val="20"/>
                <w:szCs w:val="20"/>
              </w:rPr>
              <w:t>1</w:t>
            </w:r>
            <w:r>
              <w:rPr>
                <w:rFonts w:ascii="Times New Roman" w:hAnsi="Times New Roman"/>
                <w:color w:val="000000" w:themeColor="text1"/>
                <w:sz w:val="20"/>
                <w:szCs w:val="20"/>
              </w:rPr>
              <w:t>).</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107862" w:rsidRDefault="00107862" w:rsidP="001E5EDF">
      <w:r>
        <w:separator/>
      </w:r>
    </w:p>
  </w:endnote>
  <w:endnote w:type="continuationSeparator" w:id="0">
    <w:p w14:paraId="1C0A2E66" w14:textId="77777777" w:rsidR="00107862" w:rsidRDefault="00107862"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32E78C8C" w:rsidR="00107862" w:rsidRDefault="00107862" w:rsidP="000E60D6">
        <w:pPr>
          <w:pStyle w:val="Footer"/>
          <w:jc w:val="center"/>
        </w:pPr>
        <w:r>
          <w:fldChar w:fldCharType="begin"/>
        </w:r>
        <w:r>
          <w:instrText xml:space="preserve"> PAGE   \* MERGEFORMAT </w:instrText>
        </w:r>
        <w:r>
          <w:fldChar w:fldCharType="separate"/>
        </w:r>
        <w:r w:rsidR="00986AD8">
          <w:rPr>
            <w:noProof/>
          </w:rPr>
          <w:t>1</w:t>
        </w:r>
        <w:r>
          <w:fldChar w:fldCharType="end"/>
        </w:r>
      </w:p>
    </w:sdtContent>
  </w:sdt>
  <w:p w14:paraId="2B922E4C" w14:textId="77777777" w:rsidR="00107862" w:rsidRDefault="001078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107862" w:rsidRDefault="00107862" w:rsidP="001E5EDF">
      <w:r>
        <w:separator/>
      </w:r>
    </w:p>
  </w:footnote>
  <w:footnote w:type="continuationSeparator" w:id="0">
    <w:p w14:paraId="15FE5011" w14:textId="77777777" w:rsidR="00107862" w:rsidRDefault="00107862" w:rsidP="001E5EDF">
      <w:r>
        <w:continuationSeparator/>
      </w:r>
    </w:p>
  </w:footnote>
  <w:footnote w:id="1">
    <w:p w14:paraId="56760551" w14:textId="08561B46" w:rsidR="00107862" w:rsidRPr="008E5458" w:rsidRDefault="00107862" w:rsidP="0090323D">
      <w:pPr>
        <w:pStyle w:val="FootnoteText"/>
      </w:pPr>
      <w:r>
        <w:rPr>
          <w:rStyle w:val="FootnoteReference"/>
          <w:rFonts w:ascii="Times New Roman" w:hAnsi="Times New Roman"/>
        </w:rPr>
        <w:footnoteRef/>
      </w:r>
      <w:r>
        <w:t xml:space="preserve"> Regulamentul de punere în aplicare (UE) </w:t>
      </w:r>
      <w:r w:rsidRPr="002A58D3">
        <w:t>2021</w:t>
      </w:r>
      <w:r>
        <w:t>/</w:t>
      </w:r>
      <w:r w:rsidRPr="002A58D3">
        <w:t>451</w:t>
      </w:r>
      <w:r>
        <w:t xml:space="preserve"> al Comisiei din </w:t>
      </w:r>
      <w:r w:rsidRPr="002A58D3">
        <w:t>17</w:t>
      </w:r>
      <w:r>
        <w:t xml:space="preserve"> decembrie </w:t>
      </w:r>
      <w:r w:rsidRPr="002A58D3">
        <w:t>2020</w:t>
      </w:r>
      <w:r>
        <w:t xml:space="preserve"> de stabilire a standardelor tehnice de punere în aplicare pentru aplicarea Regulamentului (UE) nr. </w:t>
      </w:r>
      <w:r w:rsidRPr="002A58D3">
        <w:t>575</w:t>
      </w:r>
      <w:r>
        <w:t>/</w:t>
      </w:r>
      <w:r w:rsidRPr="002A58D3">
        <w:t>2013</w:t>
      </w:r>
      <w:r>
        <w:t xml:space="preserve"> al Parlamentului European și al Consiliului în ceea ce privește raportarea în scopuri de supraveghere a instituțiilor și de abrogare a Regulamentului de punere în aplicare (UE) nr. </w:t>
      </w:r>
      <w:r w:rsidRPr="002A58D3">
        <w:t>680</w:t>
      </w:r>
      <w:r>
        <w:t>/</w:t>
      </w:r>
      <w:r w:rsidRPr="002A58D3">
        <w:t>2014</w:t>
      </w:r>
      <w:r>
        <w:t xml:space="preserve"> (JO L </w:t>
      </w:r>
      <w:r w:rsidRPr="002A58D3">
        <w:t>97</w:t>
      </w:r>
      <w:r>
        <w:t xml:space="preserve">, </w:t>
      </w:r>
      <w:r w:rsidRPr="002A58D3">
        <w:t>19</w:t>
      </w:r>
      <w:r>
        <w:t>.</w:t>
      </w:r>
      <w:r w:rsidRPr="002A58D3">
        <w:t>3</w:t>
      </w:r>
      <w:r>
        <w:t>.</w:t>
      </w:r>
      <w:r w:rsidRPr="002A58D3">
        <w:t>2021</w:t>
      </w:r>
      <w:r>
        <w:t>, p. </w:t>
      </w:r>
      <w:r w:rsidRPr="002A58D3">
        <w:t>1</w:t>
      </w:r>
      <w:r>
        <w:t>).</w:t>
      </w:r>
    </w:p>
  </w:footnote>
  <w:footnote w:id="2">
    <w:p w14:paraId="733D3558" w14:textId="77777777" w:rsidR="00107862" w:rsidRPr="00E17940" w:rsidRDefault="00107862">
      <w:pPr>
        <w:pStyle w:val="FootnoteText"/>
      </w:pPr>
      <w:r>
        <w:rPr>
          <w:rStyle w:val="FootnoteReference"/>
          <w:rFonts w:ascii="Times New Roman" w:hAnsi="Times New Roman"/>
        </w:rPr>
        <w:footnoteRef/>
      </w:r>
      <w:r>
        <w:t xml:space="preserve"> Regulamentul (CE) nr. </w:t>
      </w:r>
      <w:r w:rsidRPr="002A58D3">
        <w:t>1606</w:t>
      </w:r>
      <w:r>
        <w:t>/</w:t>
      </w:r>
      <w:r w:rsidRPr="002A58D3">
        <w:t>2002</w:t>
      </w:r>
      <w:r>
        <w:t xml:space="preserve"> al Parlamentului European și al Consiliului din </w:t>
      </w:r>
      <w:r w:rsidRPr="002A58D3">
        <w:t>19</w:t>
      </w:r>
      <w:r>
        <w:t> iulie </w:t>
      </w:r>
      <w:r w:rsidRPr="002A58D3">
        <w:t>2002</w:t>
      </w:r>
      <w:r>
        <w:t xml:space="preserve"> privind aplicarea standardelor internaționale de contabilitate (JO L </w:t>
      </w:r>
      <w:r w:rsidRPr="002A58D3">
        <w:t>243</w:t>
      </w:r>
      <w:r>
        <w:t xml:space="preserve">, </w:t>
      </w:r>
      <w:r w:rsidRPr="002A58D3">
        <w:t>11</w:t>
      </w:r>
      <w:r>
        <w:t>.</w:t>
      </w:r>
      <w:r w:rsidRPr="002A58D3">
        <w:t>9</w:t>
      </w:r>
      <w:r>
        <w:t>.</w:t>
      </w:r>
      <w:r w:rsidRPr="002A58D3">
        <w:t>2002</w:t>
      </w:r>
      <w:r>
        <w:t>, p. </w:t>
      </w:r>
      <w:r w:rsidRPr="002A58D3">
        <w:t>1</w:t>
      </w:r>
      <w:r>
        <w:t>).</w:t>
      </w:r>
    </w:p>
  </w:footnote>
  <w:footnote w:id="3">
    <w:p w14:paraId="3BD45C59" w14:textId="6A60F93C" w:rsidR="00107862" w:rsidRPr="0090323D" w:rsidRDefault="00107862">
      <w:pPr>
        <w:pStyle w:val="FootnoteText"/>
      </w:pPr>
      <w:r>
        <w:rPr>
          <w:rStyle w:val="FootnoteReference"/>
        </w:rPr>
        <w:footnoteRef/>
      </w:r>
      <w:r>
        <w:t xml:space="preserve"> Pentru informații detaliate accesați următorul site web: </w:t>
      </w:r>
      <w:hyperlink r:id="rId1" w:history="1">
        <w:r>
          <w:t>www.leiroc.org</w:t>
        </w:r>
      </w:hyperlink>
      <w:r>
        <w:t>.</w:t>
      </w:r>
    </w:p>
  </w:footnote>
  <w:footnote w:id="4">
    <w:p w14:paraId="0A6B3364" w14:textId="77777777" w:rsidR="00107862" w:rsidRPr="00BB34DC" w:rsidRDefault="00107862">
      <w:pPr>
        <w:pStyle w:val="FootnoteText"/>
      </w:pPr>
      <w:r>
        <w:rPr>
          <w:rStyle w:val="FootnoteReference"/>
          <w:rFonts w:ascii="Times New Roman" w:hAnsi="Times New Roman"/>
        </w:rPr>
        <w:footnoteRef/>
      </w:r>
      <w:r>
        <w:t xml:space="preserve"> Directiva </w:t>
      </w:r>
      <w:r w:rsidRPr="002A58D3">
        <w:t>86</w:t>
      </w:r>
      <w:r>
        <w:t>/</w:t>
      </w:r>
      <w:r w:rsidRPr="002A58D3">
        <w:t>635</w:t>
      </w:r>
      <w:r>
        <w:t xml:space="preserve">/CEE a Consiliului din </w:t>
      </w:r>
      <w:r w:rsidRPr="002A58D3">
        <w:t>8</w:t>
      </w:r>
      <w:r>
        <w:t> decembrie </w:t>
      </w:r>
      <w:r w:rsidRPr="002A58D3">
        <w:t>1986</w:t>
      </w:r>
      <w:r>
        <w:t xml:space="preserve"> privind conturile anuale și conturile consolidate ale băncilor și ale altor instituții financiare (JO L </w:t>
      </w:r>
      <w:r w:rsidRPr="002A58D3">
        <w:t>372</w:t>
      </w:r>
      <w:r>
        <w:t xml:space="preserve">, </w:t>
      </w:r>
      <w:r w:rsidRPr="002A58D3">
        <w:t>31</w:t>
      </w:r>
      <w:r>
        <w:t>.</w:t>
      </w:r>
      <w:r w:rsidRPr="002A58D3">
        <w:t>12</w:t>
      </w:r>
      <w:r>
        <w:t>.</w:t>
      </w:r>
      <w:r w:rsidRPr="002A58D3">
        <w:t>1986</w:t>
      </w:r>
      <w:r>
        <w:t>, p. </w:t>
      </w:r>
      <w:r w:rsidRPr="002A58D3">
        <w:t>1</w:t>
      </w:r>
      <w:r>
        <w:t>).</w:t>
      </w:r>
    </w:p>
  </w:footnote>
  <w:footnote w:id="5">
    <w:p w14:paraId="4D9F3A53" w14:textId="77777777" w:rsidR="00107862" w:rsidRPr="00E17940" w:rsidRDefault="00107862">
      <w:pPr>
        <w:pStyle w:val="FootnoteText"/>
      </w:pPr>
      <w:r>
        <w:rPr>
          <w:rStyle w:val="FootnoteReference"/>
          <w:rFonts w:ascii="Times New Roman" w:hAnsi="Times New Roman"/>
        </w:rPr>
        <w:footnoteRef/>
      </w:r>
      <w:r>
        <w:t xml:space="preserve"> Regulamentul (UE) nr. </w:t>
      </w:r>
      <w:r w:rsidRPr="002A58D3">
        <w:t>575</w:t>
      </w:r>
      <w:r>
        <w:t>/</w:t>
      </w:r>
      <w:r w:rsidRPr="002A58D3">
        <w:t>2013</w:t>
      </w:r>
      <w:r>
        <w:t xml:space="preserve"> al Parlamentului European și al Consiliului din </w:t>
      </w:r>
      <w:r w:rsidRPr="002A58D3">
        <w:t>26</w:t>
      </w:r>
      <w:r>
        <w:t xml:space="preserve"> iunie </w:t>
      </w:r>
      <w:r w:rsidRPr="002A58D3">
        <w:t>2013</w:t>
      </w:r>
      <w:r>
        <w:t xml:space="preserve"> privind cerințele prudențiale pentru instituțiile de credit și firmele de investiții și de modificare a Regulamentului (UE) nr. </w:t>
      </w:r>
      <w:r w:rsidRPr="002A58D3">
        <w:t>648</w:t>
      </w:r>
      <w:r>
        <w:t>/</w:t>
      </w:r>
      <w:r w:rsidRPr="002A58D3">
        <w:t>2012</w:t>
      </w:r>
      <w:r>
        <w:t xml:space="preserve"> (JO L </w:t>
      </w:r>
      <w:r w:rsidRPr="002A58D3">
        <w:t>176</w:t>
      </w:r>
      <w:r>
        <w:t xml:space="preserve">, </w:t>
      </w:r>
      <w:r w:rsidRPr="002A58D3">
        <w:t>27</w:t>
      </w:r>
      <w:r>
        <w:t>.</w:t>
      </w:r>
      <w:r w:rsidRPr="002A58D3">
        <w:t>6</w:t>
      </w:r>
      <w:r>
        <w:t>.</w:t>
      </w:r>
      <w:r w:rsidRPr="002A58D3">
        <w:t>2013</w:t>
      </w:r>
      <w:r>
        <w:t>, p. </w:t>
      </w:r>
      <w:r w:rsidRPr="002A58D3">
        <w:t>1</w:t>
      </w:r>
      <w:r>
        <w:t>).</w:t>
      </w:r>
    </w:p>
  </w:footnote>
  <w:footnote w:id="6">
    <w:p w14:paraId="708D686D" w14:textId="77777777" w:rsidR="00107862" w:rsidRPr="00E17940" w:rsidRDefault="00107862">
      <w:pPr>
        <w:pStyle w:val="FootnoteText"/>
      </w:pPr>
      <w:r>
        <w:rPr>
          <w:rStyle w:val="FootnoteReference"/>
        </w:rPr>
        <w:footnoteRef/>
      </w:r>
      <w:r>
        <w:t xml:space="preserve"> Directiva </w:t>
      </w:r>
      <w:r w:rsidRPr="002A58D3">
        <w:t>2013</w:t>
      </w:r>
      <w:r>
        <w:t>/</w:t>
      </w:r>
      <w:r w:rsidRPr="002A58D3">
        <w:t>36</w:t>
      </w:r>
      <w:r>
        <w:t xml:space="preserve">/UE a Parlamentului European și a Consiliului din </w:t>
      </w:r>
      <w:r w:rsidRPr="002A58D3">
        <w:t>26</w:t>
      </w:r>
      <w:r>
        <w:t> iunie </w:t>
      </w:r>
      <w:r w:rsidRPr="002A58D3">
        <w:t>2013</w:t>
      </w:r>
      <w:r>
        <w:t xml:space="preserve"> cu privire la accesul la activitatea instituțiilor de credit și supravegherea prudențială a instituțiilor de credit și a firmelor de investiții, de modificare a Directivei </w:t>
      </w:r>
      <w:r w:rsidRPr="002A58D3">
        <w:t>2002</w:t>
      </w:r>
      <w:r>
        <w:t>/</w:t>
      </w:r>
      <w:r w:rsidRPr="002A58D3">
        <w:t>87</w:t>
      </w:r>
      <w:r>
        <w:t xml:space="preserve">/CE și de abrogare a Directivelor </w:t>
      </w:r>
      <w:r w:rsidRPr="002A58D3">
        <w:t>2006</w:t>
      </w:r>
      <w:r>
        <w:t>/</w:t>
      </w:r>
      <w:r w:rsidRPr="002A58D3">
        <w:t>48</w:t>
      </w:r>
      <w:r>
        <w:t xml:space="preserve">/CE și </w:t>
      </w:r>
      <w:r w:rsidRPr="002A58D3">
        <w:t>2006</w:t>
      </w:r>
      <w:r>
        <w:t>/</w:t>
      </w:r>
      <w:r w:rsidRPr="002A58D3">
        <w:t>49</w:t>
      </w:r>
      <w:r>
        <w:t>/CE (JO L </w:t>
      </w:r>
      <w:r w:rsidRPr="002A58D3">
        <w:t>176</w:t>
      </w:r>
      <w:r>
        <w:t xml:space="preserve">, </w:t>
      </w:r>
      <w:r w:rsidRPr="002A58D3">
        <w:t>27</w:t>
      </w:r>
      <w:r>
        <w:t>.</w:t>
      </w:r>
      <w:r w:rsidRPr="002A58D3">
        <w:t>6</w:t>
      </w:r>
      <w:r>
        <w:t>.</w:t>
      </w:r>
      <w:r w:rsidRPr="002A58D3">
        <w:t>2013</w:t>
      </w:r>
      <w:r>
        <w:t>, p. </w:t>
      </w:r>
      <w:r w:rsidRPr="002A58D3">
        <w:t>338</w:t>
      </w:r>
      <w:r>
        <w:t>).</w:t>
      </w:r>
    </w:p>
  </w:footnote>
  <w:footnote w:id="7">
    <w:p w14:paraId="7BEC1B79" w14:textId="49B4DD17" w:rsidR="00107862" w:rsidRPr="00CF3EBF" w:rsidRDefault="00107862">
      <w:pPr>
        <w:pStyle w:val="FootnoteText"/>
      </w:pPr>
      <w:r>
        <w:rPr>
          <w:rStyle w:val="FootnoteReference"/>
          <w:rFonts w:ascii="Times New Roman" w:hAnsi="Times New Roman"/>
        </w:rPr>
        <w:footnoteRef/>
      </w:r>
      <w:r>
        <w:t xml:space="preserve"> Directiva </w:t>
      </w:r>
      <w:r w:rsidRPr="002A58D3">
        <w:t>2009</w:t>
      </w:r>
      <w:r>
        <w:t>/</w:t>
      </w:r>
      <w:r w:rsidRPr="002A58D3">
        <w:t>138</w:t>
      </w:r>
      <w:r>
        <w:t xml:space="preserve">/CE a Parlamentului European și a Consiliului din </w:t>
      </w:r>
      <w:r w:rsidRPr="002A58D3">
        <w:t>25</w:t>
      </w:r>
      <w:r>
        <w:t xml:space="preserve"> noiembrie </w:t>
      </w:r>
      <w:r w:rsidRPr="002A58D3">
        <w:t>2009</w:t>
      </w:r>
      <w:r>
        <w:t xml:space="preserve"> privind accesul la activitate și desfășurarea activității de asigurare și de reasigurare (Solvabilitate II) (JO L </w:t>
      </w:r>
      <w:r w:rsidRPr="002A58D3">
        <w:t>335</w:t>
      </w:r>
      <w:r>
        <w:t xml:space="preserve">, </w:t>
      </w:r>
      <w:r w:rsidRPr="002A58D3">
        <w:t>17</w:t>
      </w:r>
      <w:r>
        <w:t>.</w:t>
      </w:r>
      <w:r w:rsidRPr="002A58D3">
        <w:t>12</w:t>
      </w:r>
      <w:r>
        <w:t>.</w:t>
      </w:r>
      <w:r w:rsidRPr="002A58D3">
        <w:t>2009</w:t>
      </w:r>
      <w:r>
        <w:t xml:space="preserve">, p. </w:t>
      </w:r>
      <w:r w:rsidRPr="002A58D3">
        <w:t>1</w:t>
      </w:r>
      <w:r>
        <w:t>).</w:t>
      </w:r>
    </w:p>
  </w:footnote>
  <w:footnote w:id="8">
    <w:p w14:paraId="2BE6F728" w14:textId="3AB24581" w:rsidR="00107862" w:rsidRPr="00113543" w:rsidRDefault="00107862">
      <w:pPr>
        <w:pStyle w:val="FootnoteText"/>
      </w:pPr>
      <w:r>
        <w:rPr>
          <w:rStyle w:val="FootnoteReference"/>
          <w:rFonts w:ascii="Times New Roman" w:hAnsi="Times New Roman"/>
        </w:rPr>
        <w:footnoteRef/>
      </w:r>
      <w:r>
        <w:t xml:space="preserve"> Recomandarea Comisiei din </w:t>
      </w:r>
      <w:r w:rsidRPr="002A58D3">
        <w:t>6</w:t>
      </w:r>
      <w:r>
        <w:t xml:space="preserve"> mai </w:t>
      </w:r>
      <w:r w:rsidRPr="002A58D3">
        <w:t>2003</w:t>
      </w:r>
      <w:r>
        <w:t xml:space="preserve"> privind definirea microîntreprinderilor și a întreprinderilor mici și mijlocii (JO L </w:t>
      </w:r>
      <w:r w:rsidRPr="002A58D3">
        <w:t>124</w:t>
      </w:r>
      <w:r>
        <w:t xml:space="preserve">, </w:t>
      </w:r>
      <w:r w:rsidRPr="002A58D3">
        <w:t>20</w:t>
      </w:r>
      <w:r>
        <w:t>.</w:t>
      </w:r>
      <w:r w:rsidRPr="002A58D3">
        <w:t>5</w:t>
      </w:r>
      <w:r>
        <w:t>.</w:t>
      </w:r>
      <w:r w:rsidRPr="002A58D3">
        <w:t>2003</w:t>
      </w:r>
      <w:r>
        <w:t xml:space="preserve">, p. </w:t>
      </w:r>
      <w:r w:rsidRPr="002A58D3">
        <w:t>36</w:t>
      </w:r>
      <w:r>
        <w:t>).</w:t>
      </w:r>
    </w:p>
  </w:footnote>
  <w:footnote w:id="9">
    <w:p w14:paraId="56A4794B" w14:textId="1D36E5BD" w:rsidR="00107862" w:rsidRDefault="00107862">
      <w:pPr>
        <w:pStyle w:val="FootnoteText"/>
      </w:pPr>
      <w:r>
        <w:rPr>
          <w:rStyle w:val="FootnoteReference"/>
          <w:rFonts w:ascii="Times New Roman" w:hAnsi="Times New Roman"/>
        </w:rPr>
        <w:footnoteRef/>
      </w:r>
      <w:r>
        <w:t xml:space="preserve"> Regulamentul (UE) </w:t>
      </w:r>
      <w:r w:rsidRPr="002A58D3">
        <w:t>2021</w:t>
      </w:r>
      <w:r>
        <w:t>/</w:t>
      </w:r>
      <w:r w:rsidRPr="002A58D3">
        <w:t>379</w:t>
      </w:r>
      <w:r>
        <w:t xml:space="preserve"> al Băncii Centrale Europene privind posturile din bilanț ale instituțiilor de credit și ale sectorului instituții financiare monetare (reformare) (JO L </w:t>
      </w:r>
      <w:r w:rsidRPr="002A58D3">
        <w:t>73</w:t>
      </w:r>
      <w:r>
        <w:t xml:space="preserve">, </w:t>
      </w:r>
      <w:r w:rsidRPr="002A58D3">
        <w:t>3</w:t>
      </w:r>
      <w:r>
        <w:t>.</w:t>
      </w:r>
      <w:r w:rsidRPr="002A58D3">
        <w:t>3</w:t>
      </w:r>
      <w:r>
        <w:t>.</w:t>
      </w:r>
      <w:r w:rsidRPr="002A58D3">
        <w:t>2021</w:t>
      </w:r>
      <w:r>
        <w:t xml:space="preserve">, p. </w:t>
      </w:r>
      <w:r w:rsidRPr="002A58D3">
        <w:t>16</w:t>
      </w:r>
      <w:r>
        <w:t>).</w:t>
      </w:r>
    </w:p>
  </w:footnote>
  <w:footnote w:id="10">
    <w:p w14:paraId="33320726" w14:textId="397F1E31" w:rsidR="00107862" w:rsidRPr="00433423" w:rsidRDefault="00107862">
      <w:pPr>
        <w:pStyle w:val="FootnoteText"/>
      </w:pPr>
      <w:r>
        <w:rPr>
          <w:rStyle w:val="FootnoteReference"/>
        </w:rPr>
        <w:footnoteRef/>
      </w:r>
      <w:r>
        <w:t xml:space="preserve">Directiva </w:t>
      </w:r>
      <w:r w:rsidRPr="002A58D3">
        <w:t>2014</w:t>
      </w:r>
      <w:r>
        <w:t>/</w:t>
      </w:r>
      <w:r w:rsidRPr="002A58D3">
        <w:t>65</w:t>
      </w:r>
      <w:r>
        <w:t xml:space="preserve">/UE a Parlamentului European și a Consiliului din </w:t>
      </w:r>
      <w:r w:rsidRPr="002A58D3">
        <w:t>15</w:t>
      </w:r>
      <w:r>
        <w:t xml:space="preserve"> mai </w:t>
      </w:r>
      <w:r w:rsidRPr="002A58D3">
        <w:t>2014</w:t>
      </w:r>
      <w:r>
        <w:t xml:space="preserve"> privind piețele instrumentelor financiare și de modificare a Directivei </w:t>
      </w:r>
      <w:r w:rsidRPr="002A58D3">
        <w:t>2002</w:t>
      </w:r>
      <w:r>
        <w:t>/</w:t>
      </w:r>
      <w:r w:rsidRPr="002A58D3">
        <w:t>92</w:t>
      </w:r>
      <w:r>
        <w:t xml:space="preserve">/CE și a Directivei </w:t>
      </w:r>
      <w:r w:rsidRPr="002A58D3">
        <w:t>2011</w:t>
      </w:r>
      <w:r>
        <w:t>/</w:t>
      </w:r>
      <w:r w:rsidRPr="002A58D3">
        <w:t>61</w:t>
      </w:r>
      <w:r>
        <w:t xml:space="preserve">/UE (JO L </w:t>
      </w:r>
      <w:r w:rsidRPr="002A58D3">
        <w:t>173</w:t>
      </w:r>
      <w:r>
        <w:t xml:space="preserve">, </w:t>
      </w:r>
      <w:r w:rsidRPr="002A58D3">
        <w:t>12</w:t>
      </w:r>
      <w:r>
        <w:t>.</w:t>
      </w:r>
      <w:r w:rsidRPr="002A58D3">
        <w:t>6</w:t>
      </w:r>
      <w:r>
        <w:t>.</w:t>
      </w:r>
      <w:r w:rsidRPr="002A58D3">
        <w:t>2014</w:t>
      </w:r>
      <w:r>
        <w:t xml:space="preserve">, p. </w:t>
      </w:r>
      <w:r w:rsidRPr="002A58D3">
        <w:t>349</w:t>
      </w:r>
      <w:r>
        <w:t>).</w:t>
      </w:r>
    </w:p>
  </w:footnote>
  <w:footnote w:id="11">
    <w:p w14:paraId="7ECE222F" w14:textId="77777777" w:rsidR="00107862" w:rsidRPr="00B77FC7" w:rsidRDefault="00107862">
      <w:pPr>
        <w:pStyle w:val="FootnoteText"/>
      </w:pPr>
      <w:r>
        <w:rPr>
          <w:rStyle w:val="FootnoteReference"/>
        </w:rPr>
        <w:footnoteRef/>
      </w:r>
      <w:r>
        <w:t xml:space="preserve"> Directiva </w:t>
      </w:r>
      <w:r w:rsidRPr="002A58D3">
        <w:t>2014</w:t>
      </w:r>
      <w:r>
        <w:t>/</w:t>
      </w:r>
      <w:r w:rsidRPr="002A58D3">
        <w:t>59</w:t>
      </w:r>
      <w:r>
        <w:t xml:space="preserve">/UE a Parlamentului European și a Consiliului din </w:t>
      </w:r>
      <w:r w:rsidRPr="002A58D3">
        <w:t>15</w:t>
      </w:r>
      <w:r>
        <w:t xml:space="preserve"> mai </w:t>
      </w:r>
      <w:r w:rsidRPr="002A58D3">
        <w:t>2014</w:t>
      </w:r>
      <w:r>
        <w:t xml:space="preserve"> de instituire a unui cadru pentru redresarea și rezoluția instituțiilor de credit și a firmelor de investiții și de modificare a Directivei </w:t>
      </w:r>
      <w:r w:rsidRPr="002A58D3">
        <w:t>82</w:t>
      </w:r>
      <w:r>
        <w:t>/</w:t>
      </w:r>
      <w:r w:rsidRPr="002A58D3">
        <w:t>891</w:t>
      </w:r>
      <w:r>
        <w:t xml:space="preserve">/CEE a Consiliului și a Directivelor </w:t>
      </w:r>
      <w:r w:rsidRPr="002A58D3">
        <w:t>2001</w:t>
      </w:r>
      <w:r>
        <w:t>/</w:t>
      </w:r>
      <w:r w:rsidRPr="002A58D3">
        <w:t>24</w:t>
      </w:r>
      <w:r>
        <w:t xml:space="preserve">/CE, </w:t>
      </w:r>
      <w:r w:rsidRPr="002A58D3">
        <w:t>2002</w:t>
      </w:r>
      <w:r>
        <w:t>/</w:t>
      </w:r>
      <w:r w:rsidRPr="002A58D3">
        <w:t>47</w:t>
      </w:r>
      <w:r>
        <w:t xml:space="preserve">/CE, </w:t>
      </w:r>
      <w:r w:rsidRPr="002A58D3">
        <w:t>2004</w:t>
      </w:r>
      <w:r>
        <w:t>/</w:t>
      </w:r>
      <w:r w:rsidRPr="002A58D3">
        <w:t>25</w:t>
      </w:r>
      <w:r>
        <w:t xml:space="preserve">/CE, </w:t>
      </w:r>
      <w:r w:rsidRPr="002A58D3">
        <w:t>2005</w:t>
      </w:r>
      <w:r>
        <w:t>/</w:t>
      </w:r>
      <w:r w:rsidRPr="002A58D3">
        <w:t>56</w:t>
      </w:r>
      <w:r>
        <w:t xml:space="preserve">/CE, </w:t>
      </w:r>
      <w:r w:rsidRPr="002A58D3">
        <w:t>2007</w:t>
      </w:r>
      <w:r>
        <w:t>/</w:t>
      </w:r>
      <w:r w:rsidRPr="002A58D3">
        <w:t>36</w:t>
      </w:r>
      <w:r>
        <w:t xml:space="preserve">/CE, </w:t>
      </w:r>
      <w:r w:rsidRPr="002A58D3">
        <w:t>2011</w:t>
      </w:r>
      <w:r>
        <w:t>/</w:t>
      </w:r>
      <w:r w:rsidRPr="002A58D3">
        <w:t>35</w:t>
      </w:r>
      <w:r>
        <w:t xml:space="preserve">/UE, </w:t>
      </w:r>
      <w:r w:rsidRPr="002A58D3">
        <w:t>2012</w:t>
      </w:r>
      <w:r>
        <w:t>/</w:t>
      </w:r>
      <w:r w:rsidRPr="002A58D3">
        <w:t>30</w:t>
      </w:r>
      <w:r>
        <w:t xml:space="preserve">/UE și </w:t>
      </w:r>
      <w:r w:rsidRPr="002A58D3">
        <w:t>2013</w:t>
      </w:r>
      <w:r>
        <w:t>/</w:t>
      </w:r>
      <w:r w:rsidRPr="002A58D3">
        <w:t>36</w:t>
      </w:r>
      <w:r>
        <w:t xml:space="preserve">/UE ale Parlamentului European și ale Consiliului, precum și a Regulamentelor (UE) nr. </w:t>
      </w:r>
      <w:r w:rsidRPr="002A58D3">
        <w:t>1093</w:t>
      </w:r>
      <w:r>
        <w:t>/</w:t>
      </w:r>
      <w:r w:rsidRPr="002A58D3">
        <w:t>2010</w:t>
      </w:r>
      <w:r>
        <w:t xml:space="preserve"> și (UE) nr. </w:t>
      </w:r>
      <w:r w:rsidRPr="002A58D3">
        <w:t>648</w:t>
      </w:r>
      <w:r>
        <w:t>/</w:t>
      </w:r>
      <w:r w:rsidRPr="002A58D3">
        <w:t>2012</w:t>
      </w:r>
      <w:r>
        <w:t xml:space="preserve"> ale Parlamentului European și ale Consiliului (JO L </w:t>
      </w:r>
      <w:r w:rsidRPr="002A58D3">
        <w:t>173</w:t>
      </w:r>
      <w:r>
        <w:t xml:space="preserve">, </w:t>
      </w:r>
      <w:r w:rsidRPr="002A58D3">
        <w:t>12</w:t>
      </w:r>
      <w:r>
        <w:t>.</w:t>
      </w:r>
      <w:r w:rsidRPr="002A58D3">
        <w:t>6</w:t>
      </w:r>
      <w:r>
        <w:t>.</w:t>
      </w:r>
      <w:r w:rsidRPr="002A58D3">
        <w:t>2014</w:t>
      </w:r>
      <w:r>
        <w:t xml:space="preserve">, p. </w:t>
      </w:r>
      <w:r w:rsidRPr="002A58D3">
        <w:t>190</w:t>
      </w:r>
      <w:r>
        <w:t>).</w:t>
      </w:r>
    </w:p>
  </w:footnote>
  <w:footnote w:id="12">
    <w:p w14:paraId="45027383" w14:textId="7473EDB5" w:rsidR="00107862" w:rsidRPr="001D3665" w:rsidRDefault="00107862">
      <w:pPr>
        <w:pStyle w:val="FootnoteText"/>
      </w:pPr>
      <w:r>
        <w:rPr>
          <w:rStyle w:val="FootnoteReference"/>
        </w:rPr>
        <w:footnoteRef/>
      </w:r>
      <w:r>
        <w:t xml:space="preserve"> Directiva </w:t>
      </w:r>
      <w:r w:rsidRPr="002A58D3">
        <w:t>2014</w:t>
      </w:r>
      <w:r>
        <w:t>/</w:t>
      </w:r>
      <w:r w:rsidRPr="002A58D3">
        <w:t>49</w:t>
      </w:r>
      <w:r>
        <w:t xml:space="preserve">/UE a Parlamentului European și a Consiliului din </w:t>
      </w:r>
      <w:r w:rsidRPr="002A58D3">
        <w:t>16</w:t>
      </w:r>
      <w:r>
        <w:t xml:space="preserve"> aprilie </w:t>
      </w:r>
      <w:r w:rsidRPr="002A58D3">
        <w:t>2014</w:t>
      </w:r>
      <w:r>
        <w:t xml:space="preserve"> privind schemele de garantare a depozitelor (JO L </w:t>
      </w:r>
      <w:r w:rsidRPr="002A58D3">
        <w:t>173</w:t>
      </w:r>
      <w:r>
        <w:t xml:space="preserve">, </w:t>
      </w:r>
      <w:r w:rsidRPr="002A58D3">
        <w:t>12</w:t>
      </w:r>
      <w:r>
        <w:t>.</w:t>
      </w:r>
      <w:r w:rsidRPr="002A58D3">
        <w:t>6</w:t>
      </w:r>
      <w:r>
        <w:t>.</w:t>
      </w:r>
      <w:r w:rsidRPr="002A58D3">
        <w:t>2014</w:t>
      </w:r>
      <w:r>
        <w:t xml:space="preserve">, p. </w:t>
      </w:r>
      <w:r w:rsidRPr="002A58D3">
        <w:t>149</w:t>
      </w:r>
      <w:r>
        <w:t>).</w:t>
      </w:r>
    </w:p>
  </w:footnote>
  <w:footnote w:id="13">
    <w:p w14:paraId="0A164DF9" w14:textId="77777777" w:rsidR="00107862" w:rsidRPr="00EB1AD3" w:rsidRDefault="00107862">
      <w:pPr>
        <w:pStyle w:val="FootnoteText"/>
      </w:pPr>
      <w:r>
        <w:rPr>
          <w:rStyle w:val="FootnoteReference"/>
        </w:rPr>
        <w:footnoteRef/>
      </w:r>
      <w:r>
        <w:t xml:space="preserve"> Directiva </w:t>
      </w:r>
      <w:r w:rsidRPr="002A58D3">
        <w:t>2009</w:t>
      </w:r>
      <w:r>
        <w:t>/</w:t>
      </w:r>
      <w:r w:rsidRPr="002A58D3">
        <w:t>65</w:t>
      </w:r>
      <w:r>
        <w:t xml:space="preserve">/CE a Parlamentului European și a Consiliului din </w:t>
      </w:r>
      <w:r w:rsidRPr="002A58D3">
        <w:t>13</w:t>
      </w:r>
      <w:r>
        <w:t> iulie </w:t>
      </w:r>
      <w:r w:rsidRPr="002A58D3">
        <w:t>2009</w:t>
      </w:r>
      <w:r>
        <w:t xml:space="preserve"> de coordonare a actelor cu putere de lege și a actelor administrative privind organismele de plasament colectiv în valori mobiliare (OPCVM) (JO L </w:t>
      </w:r>
      <w:r w:rsidRPr="002A58D3">
        <w:t>302</w:t>
      </w:r>
      <w:r>
        <w:t xml:space="preserve">, </w:t>
      </w:r>
      <w:r w:rsidRPr="002A58D3">
        <w:t>17</w:t>
      </w:r>
      <w:r>
        <w:t>.</w:t>
      </w:r>
      <w:r w:rsidRPr="002A58D3">
        <w:t>11</w:t>
      </w:r>
      <w:r>
        <w:t>.</w:t>
      </w:r>
      <w:r w:rsidRPr="002A58D3">
        <w:t>2009</w:t>
      </w:r>
      <w:r>
        <w:t>, p. </w:t>
      </w:r>
      <w:r w:rsidRPr="002A58D3">
        <w:t>32</w:t>
      </w:r>
      <w:r>
        <w:t>).</w:t>
      </w:r>
    </w:p>
  </w:footnote>
  <w:footnote w:id="14">
    <w:p w14:paraId="14B9F3B8" w14:textId="59942C0A" w:rsidR="00107862" w:rsidRPr="00EB1AD3" w:rsidRDefault="00107862">
      <w:pPr>
        <w:pStyle w:val="FootnoteText"/>
      </w:pPr>
      <w:r>
        <w:rPr>
          <w:rStyle w:val="FootnoteReference"/>
        </w:rPr>
        <w:footnoteRef/>
      </w:r>
      <w:r>
        <w:t xml:space="preserve"> Directiva </w:t>
      </w:r>
      <w:r w:rsidRPr="002A58D3">
        <w:t>2011</w:t>
      </w:r>
      <w:r>
        <w:t>/</w:t>
      </w:r>
      <w:r w:rsidRPr="002A58D3">
        <w:t>61</w:t>
      </w:r>
      <w:r>
        <w:t xml:space="preserve">/UE a Parlamentului European și a Consiliului din </w:t>
      </w:r>
      <w:r w:rsidRPr="002A58D3">
        <w:t>8</w:t>
      </w:r>
      <w:r>
        <w:t xml:space="preserve"> iunie </w:t>
      </w:r>
      <w:r w:rsidRPr="002A58D3">
        <w:t>2011</w:t>
      </w:r>
      <w:r>
        <w:t xml:space="preserve"> privind administratorii fondurilor de investiții alternative și de modificare a Directivelor </w:t>
      </w:r>
      <w:r w:rsidRPr="002A58D3">
        <w:t>2003</w:t>
      </w:r>
      <w:r>
        <w:t>/</w:t>
      </w:r>
      <w:r w:rsidRPr="002A58D3">
        <w:t>41</w:t>
      </w:r>
      <w:r>
        <w:t xml:space="preserve">/CE și </w:t>
      </w:r>
      <w:r w:rsidRPr="002A58D3">
        <w:t>2009</w:t>
      </w:r>
      <w:r>
        <w:t>/</w:t>
      </w:r>
      <w:r w:rsidRPr="002A58D3">
        <w:t>65</w:t>
      </w:r>
      <w:r>
        <w:t xml:space="preserve">/CE și a Regulamentelor (CE) nr. </w:t>
      </w:r>
      <w:r w:rsidRPr="002A58D3">
        <w:t>1060</w:t>
      </w:r>
      <w:r>
        <w:t>/</w:t>
      </w:r>
      <w:r w:rsidRPr="002A58D3">
        <w:t>2009</w:t>
      </w:r>
      <w:r>
        <w:t xml:space="preserve"> și (UE) nr. </w:t>
      </w:r>
      <w:r w:rsidRPr="002A58D3">
        <w:t>1095</w:t>
      </w:r>
      <w:r>
        <w:t>/</w:t>
      </w:r>
      <w:r w:rsidRPr="002A58D3">
        <w:t>2010</w:t>
      </w:r>
      <w:r>
        <w:t xml:space="preserve"> (JO L </w:t>
      </w:r>
      <w:r w:rsidRPr="002A58D3">
        <w:t>174</w:t>
      </w:r>
      <w:r>
        <w:t xml:space="preserve">, </w:t>
      </w:r>
      <w:r w:rsidRPr="002A58D3">
        <w:t>1</w:t>
      </w:r>
      <w:r>
        <w:t>.</w:t>
      </w:r>
      <w:r w:rsidRPr="002A58D3">
        <w:t>7</w:t>
      </w:r>
      <w:r>
        <w:t>.</w:t>
      </w:r>
      <w:r w:rsidRPr="002A58D3">
        <w:t>2011</w:t>
      </w:r>
      <w:r>
        <w:t xml:space="preserve">, p. </w:t>
      </w:r>
      <w:r w:rsidRPr="002A58D3">
        <w:t>1</w:t>
      </w:r>
      <w:r>
        <w:t>).</w:t>
      </w:r>
    </w:p>
  </w:footnote>
  <w:footnote w:id="15">
    <w:p w14:paraId="7EA8BC4D" w14:textId="4A625A59" w:rsidR="00107862" w:rsidRPr="002B0D5A" w:rsidRDefault="00107862">
      <w:pPr>
        <w:pStyle w:val="FootnoteText"/>
      </w:pPr>
      <w:r>
        <w:rPr>
          <w:rStyle w:val="FootnoteReference"/>
        </w:rPr>
        <w:footnoteRef/>
      </w:r>
      <w:r>
        <w:t xml:space="preserve"> Directiva </w:t>
      </w:r>
      <w:r w:rsidRPr="002A58D3">
        <w:t>98</w:t>
      </w:r>
      <w:r>
        <w:t>/</w:t>
      </w:r>
      <w:r w:rsidRPr="002A58D3">
        <w:t>26</w:t>
      </w:r>
      <w:r>
        <w:t xml:space="preserve">/CE a Parlamentului European și a Consiliului din </w:t>
      </w:r>
      <w:r w:rsidRPr="002A58D3">
        <w:t>19</w:t>
      </w:r>
      <w:r>
        <w:t> mai </w:t>
      </w:r>
      <w:r w:rsidRPr="002A58D3">
        <w:t>1998</w:t>
      </w:r>
      <w:r>
        <w:t xml:space="preserve"> privind caracterul definitiv al decontării în sistemele de plăți și de decontare a titlurilor de valoare (JO L </w:t>
      </w:r>
      <w:r w:rsidRPr="002A58D3">
        <w:t>166</w:t>
      </w:r>
      <w:r>
        <w:t xml:space="preserve">, </w:t>
      </w:r>
      <w:r w:rsidRPr="002A58D3">
        <w:t>11</w:t>
      </w:r>
      <w:r>
        <w:t>.</w:t>
      </w:r>
      <w:r w:rsidRPr="002A58D3">
        <w:t>6</w:t>
      </w:r>
      <w:r>
        <w:t>.</w:t>
      </w:r>
      <w:r w:rsidRPr="002A58D3">
        <w:t>1998</w:t>
      </w:r>
      <w:r>
        <w:t>, p. </w:t>
      </w:r>
      <w:r w:rsidRPr="002A58D3">
        <w:t>45</w:t>
      </w:r>
      <w:r>
        <w:t>)</w:t>
      </w:r>
      <w:r>
        <w:rPr>
          <w:i/>
          <w:iCs/>
        </w:rPr>
        <w:t>.</w:t>
      </w:r>
    </w:p>
  </w:footnote>
  <w:footnote w:id="16">
    <w:p w14:paraId="55D8C4D7" w14:textId="234F6046" w:rsidR="00107862" w:rsidRPr="00D90DF8" w:rsidRDefault="00107862">
      <w:pPr>
        <w:pStyle w:val="FootnoteText"/>
      </w:pPr>
      <w:r>
        <w:rPr>
          <w:rStyle w:val="FootnoteReference"/>
        </w:rPr>
        <w:footnoteRef/>
      </w:r>
      <w:r>
        <w:t xml:space="preserve"> Regulamentul (UE) nr. </w:t>
      </w:r>
      <w:r w:rsidRPr="002A58D3">
        <w:t>648</w:t>
      </w:r>
      <w:r>
        <w:t>/</w:t>
      </w:r>
      <w:r w:rsidRPr="002A58D3">
        <w:t>2012</w:t>
      </w:r>
      <w:r>
        <w:t xml:space="preserve"> al Parlamentului European și al Consiliului din </w:t>
      </w:r>
      <w:r w:rsidRPr="002A58D3">
        <w:t>4</w:t>
      </w:r>
      <w:r>
        <w:t> iulie </w:t>
      </w:r>
      <w:r w:rsidRPr="002A58D3">
        <w:t>2012</w:t>
      </w:r>
      <w:r>
        <w:t xml:space="preserve"> privind instrumentele financiare derivate extrabursiere, contrapărțile centrale și registrele centrale de tranzacții (JO L </w:t>
      </w:r>
      <w:r w:rsidRPr="002A58D3">
        <w:t>201</w:t>
      </w:r>
      <w:r>
        <w:t xml:space="preserve">, </w:t>
      </w:r>
      <w:r w:rsidRPr="002A58D3">
        <w:t>27</w:t>
      </w:r>
      <w:r>
        <w:t>.</w:t>
      </w:r>
      <w:r w:rsidRPr="002A58D3">
        <w:t>7</w:t>
      </w:r>
      <w:r>
        <w:t>.</w:t>
      </w:r>
      <w:r w:rsidRPr="002A58D3">
        <w:t>2012</w:t>
      </w:r>
      <w:r>
        <w:t>, p. </w:t>
      </w:r>
      <w:r w:rsidRPr="002A58D3">
        <w:t>1</w:t>
      </w:r>
      <w:r>
        <w:t>).</w:t>
      </w:r>
    </w:p>
  </w:footnote>
  <w:footnote w:id="17">
    <w:p w14:paraId="5114B6F9" w14:textId="6C053CDD" w:rsidR="00107862" w:rsidRPr="00CD04C7" w:rsidRDefault="00107862">
      <w:pPr>
        <w:pStyle w:val="FootnoteText"/>
      </w:pPr>
      <w:r>
        <w:rPr>
          <w:rStyle w:val="FootnoteReference"/>
          <w:rFonts w:ascii="Times New Roman" w:hAnsi="Times New Roman"/>
        </w:rPr>
        <w:footnoteRef/>
      </w:r>
      <w:r>
        <w:t xml:space="preserve"> Regulamentul delegat (UE) </w:t>
      </w:r>
      <w:r w:rsidRPr="002A58D3">
        <w:t>2016</w:t>
      </w:r>
      <w:r>
        <w:t>/</w:t>
      </w:r>
      <w:r w:rsidRPr="002A58D3">
        <w:t>1401</w:t>
      </w:r>
      <w:r>
        <w:t xml:space="preserve"> al Comisiei din </w:t>
      </w:r>
      <w:r w:rsidRPr="002A58D3">
        <w:t>23</w:t>
      </w:r>
      <w:r>
        <w:t> mai </w:t>
      </w:r>
      <w:r w:rsidRPr="002A58D3">
        <w:t>2016</w:t>
      </w:r>
      <w:r>
        <w:t xml:space="preserve"> de completare a Directivei </w:t>
      </w:r>
      <w:r w:rsidRPr="002A58D3">
        <w:t>2014</w:t>
      </w:r>
      <w:r>
        <w:t>/</w:t>
      </w:r>
      <w:r w:rsidRPr="002A58D3">
        <w:t>59</w:t>
      </w:r>
      <w:r>
        <w:t>/UE a Parlamentului</w:t>
      </w:r>
      <w:r w:rsidR="001B4859">
        <w:t> </w:t>
      </w:r>
      <w:r>
        <w:t>European și a Consiliului de instituire a unui cadru pentru redresarea și rezoluția instituțiilor de credit și a firmelor de investiții în ceea ce privește standardele tehnice de reglementare pentru metodologiile și principiile referitoare la evaluarea pasivelor care provin din instrumente financiare derivate (JO L </w:t>
      </w:r>
      <w:r w:rsidRPr="002A58D3">
        <w:t>228</w:t>
      </w:r>
      <w:r>
        <w:t xml:space="preserve">, </w:t>
      </w:r>
      <w:r w:rsidRPr="002A58D3">
        <w:t>23</w:t>
      </w:r>
      <w:r>
        <w:t>.</w:t>
      </w:r>
      <w:r w:rsidRPr="002A58D3">
        <w:t>8</w:t>
      </w:r>
      <w:r>
        <w:t>.</w:t>
      </w:r>
      <w:r w:rsidRPr="002A58D3">
        <w:t>2016</w:t>
      </w:r>
      <w:r>
        <w:t>, p. </w:t>
      </w:r>
      <w:r w:rsidRPr="002A58D3">
        <w:t>7</w:t>
      </w:r>
      <w:r>
        <w:t>).</w:t>
      </w:r>
    </w:p>
  </w:footnote>
  <w:footnote w:id="18">
    <w:p w14:paraId="22BC5B54" w14:textId="77777777" w:rsidR="00107862" w:rsidRPr="00CF2751" w:rsidRDefault="00107862">
      <w:pPr>
        <w:pStyle w:val="FootnoteText"/>
      </w:pPr>
      <w:r>
        <w:rPr>
          <w:rStyle w:val="FootnoteReference"/>
          <w:rFonts w:ascii="Times New Roman" w:hAnsi="Times New Roman"/>
          <w:sz w:val="18"/>
        </w:rPr>
        <w:footnoteRef/>
      </w:r>
      <w:r>
        <w:rPr>
          <w:sz w:val="14"/>
        </w:rPr>
        <w:t xml:space="preserve"> </w:t>
      </w:r>
      <w:r>
        <w:t xml:space="preserve">Regulamentul delegat (UE) </w:t>
      </w:r>
      <w:r w:rsidRPr="002A58D3">
        <w:t>2016</w:t>
      </w:r>
      <w:r>
        <w:t>/</w:t>
      </w:r>
      <w:r w:rsidRPr="002A58D3">
        <w:t>778</w:t>
      </w:r>
      <w:r>
        <w:t xml:space="preserve"> al Comisiei din </w:t>
      </w:r>
      <w:r w:rsidRPr="002A58D3">
        <w:t>2</w:t>
      </w:r>
      <w:r>
        <w:t> februarie </w:t>
      </w:r>
      <w:r w:rsidRPr="002A58D3">
        <w:t>2016</w:t>
      </w:r>
      <w:r>
        <w:t xml:space="preserve"> de completare a Directivei </w:t>
      </w:r>
      <w:r w:rsidRPr="002A58D3">
        <w:t>2014</w:t>
      </w:r>
      <w:r>
        <w:t>/</w:t>
      </w:r>
      <w:r w:rsidRPr="002A58D3">
        <w:t>59</w:t>
      </w:r>
      <w:r>
        <w:t>/UE a Parlamentului European și a Consiliului în ceea ce privește circumstanțele și condițiile în care plata contribuțiilor ex post extraordinare poate fi amânată parțial sau integral și în ceea ce privește criteriile de stabilire a activităților, serviciilor și operațiunilor pentru funcțiile critice și de stabilire a liniilor de activitate și a serviciilor asociate pentru liniile de activitate esențiale (JO L </w:t>
      </w:r>
      <w:r w:rsidRPr="002A58D3">
        <w:t>131</w:t>
      </w:r>
      <w:r>
        <w:t xml:space="preserve">, </w:t>
      </w:r>
      <w:r w:rsidRPr="002A58D3">
        <w:t>20</w:t>
      </w:r>
      <w:r>
        <w:t>.</w:t>
      </w:r>
      <w:r w:rsidRPr="002A58D3">
        <w:t>5</w:t>
      </w:r>
      <w:r>
        <w:t>.</w:t>
      </w:r>
      <w:r w:rsidRPr="002A58D3">
        <w:t>2016</w:t>
      </w:r>
      <w:r>
        <w:t>, p. </w:t>
      </w:r>
      <w:r w:rsidRPr="002A58D3">
        <w:t>41</w:t>
      </w:r>
      <w:r>
        <w:t>).</w:t>
      </w:r>
    </w:p>
  </w:footnote>
  <w:footnote w:id="19">
    <w:p w14:paraId="2F087C6F" w14:textId="77777777" w:rsidR="00107862" w:rsidRPr="00D66550" w:rsidRDefault="00107862">
      <w:pPr>
        <w:pStyle w:val="FootnoteText"/>
      </w:pPr>
      <w:r>
        <w:rPr>
          <w:rStyle w:val="FootnoteReference"/>
          <w:rFonts w:ascii="Times New Roman" w:hAnsi="Times New Roman"/>
          <w:sz w:val="18"/>
        </w:rPr>
        <w:footnoteRef/>
      </w:r>
      <w:r>
        <w:rPr>
          <w:sz w:val="14"/>
        </w:rPr>
        <w:t xml:space="preserve"> </w:t>
      </w:r>
      <w:r>
        <w:t xml:space="preserve">Directiva (UE) </w:t>
      </w:r>
      <w:r w:rsidRPr="002A58D3">
        <w:t>2015</w:t>
      </w:r>
      <w:r>
        <w:t>/</w:t>
      </w:r>
      <w:r w:rsidRPr="002A58D3">
        <w:t>2366</w:t>
      </w:r>
      <w:r>
        <w:t xml:space="preserve"> a Parlamentului European și a Consiliului din </w:t>
      </w:r>
      <w:r w:rsidRPr="002A58D3">
        <w:t>25</w:t>
      </w:r>
      <w:r>
        <w:t xml:space="preserve"> noiembrie </w:t>
      </w:r>
      <w:r w:rsidRPr="002A58D3">
        <w:t>2015</w:t>
      </w:r>
      <w:r>
        <w:t xml:space="preserve"> privind serviciile de plată în cadrul pieței interne, de modificare a Directivelor </w:t>
      </w:r>
      <w:r w:rsidRPr="002A58D3">
        <w:t>2002</w:t>
      </w:r>
      <w:r>
        <w:t>/</w:t>
      </w:r>
      <w:r w:rsidRPr="002A58D3">
        <w:t>65</w:t>
      </w:r>
      <w:r>
        <w:t xml:space="preserve">/CE, </w:t>
      </w:r>
      <w:r w:rsidRPr="002A58D3">
        <w:t>2009</w:t>
      </w:r>
      <w:r>
        <w:t>/</w:t>
      </w:r>
      <w:r w:rsidRPr="002A58D3">
        <w:t>110</w:t>
      </w:r>
      <w:r>
        <w:t xml:space="preserve">/CE și </w:t>
      </w:r>
      <w:r w:rsidRPr="002A58D3">
        <w:t>2013</w:t>
      </w:r>
      <w:r>
        <w:t>/</w:t>
      </w:r>
      <w:r w:rsidRPr="002A58D3">
        <w:t>36</w:t>
      </w:r>
      <w:r>
        <w:t>/UE și a Regulamentului (UE) nr. </w:t>
      </w:r>
      <w:r w:rsidRPr="002A58D3">
        <w:t>1093</w:t>
      </w:r>
      <w:r>
        <w:t>/</w:t>
      </w:r>
      <w:r w:rsidRPr="002A58D3">
        <w:t>2010</w:t>
      </w:r>
      <w:r>
        <w:t xml:space="preserve">, și de abrogare a Directivei </w:t>
      </w:r>
      <w:r w:rsidRPr="002A58D3">
        <w:t>2007</w:t>
      </w:r>
      <w:r>
        <w:t>/</w:t>
      </w:r>
      <w:r w:rsidRPr="002A58D3">
        <w:t>64</w:t>
      </w:r>
      <w:r>
        <w:t>/CE (JO L </w:t>
      </w:r>
      <w:r w:rsidRPr="002A58D3">
        <w:t>337</w:t>
      </w:r>
      <w:r>
        <w:t xml:space="preserve">, </w:t>
      </w:r>
      <w:r w:rsidRPr="002A58D3">
        <w:t>23</w:t>
      </w:r>
      <w:r>
        <w:t>.</w:t>
      </w:r>
      <w:r w:rsidRPr="002A58D3">
        <w:t>12</w:t>
      </w:r>
      <w:r>
        <w:t>.</w:t>
      </w:r>
      <w:r w:rsidRPr="002A58D3">
        <w:t>2015</w:t>
      </w:r>
      <w:r>
        <w:t>, p. </w:t>
      </w:r>
      <w:r w:rsidRPr="002A58D3">
        <w:t>35</w:t>
      </w:r>
      <w:r>
        <w:t>).</w:t>
      </w:r>
    </w:p>
  </w:footnote>
  <w:footnote w:id="20">
    <w:p w14:paraId="17404B79" w14:textId="34E49F40" w:rsidR="00107862" w:rsidRPr="00CF3B41" w:rsidRDefault="00107862">
      <w:pPr>
        <w:pStyle w:val="FootnoteText"/>
      </w:pPr>
      <w:r>
        <w:rPr>
          <w:rStyle w:val="FootnoteReference"/>
        </w:rPr>
        <w:footnoteRef/>
      </w:r>
      <w:r>
        <w:t xml:space="preserve"> Regulamentul (CE) nr. </w:t>
      </w:r>
      <w:r w:rsidRPr="002A58D3">
        <w:t>1287</w:t>
      </w:r>
      <w:r>
        <w:t>/</w:t>
      </w:r>
      <w:r w:rsidRPr="002A58D3">
        <w:t>2006</w:t>
      </w:r>
      <w:r>
        <w:t xml:space="preserve"> al Comisiei din </w:t>
      </w:r>
      <w:r w:rsidRPr="002A58D3">
        <w:t>10</w:t>
      </w:r>
      <w:r>
        <w:t xml:space="preserve"> august </w:t>
      </w:r>
      <w:r w:rsidRPr="002A58D3">
        <w:t>2006</w:t>
      </w:r>
      <w:r>
        <w:t xml:space="preserve"> de punere în aplicare a Directivei </w:t>
      </w:r>
      <w:r w:rsidRPr="002A58D3">
        <w:t>2004</w:t>
      </w:r>
      <w:r>
        <w:t>/</w:t>
      </w:r>
      <w:r w:rsidRPr="002A58D3">
        <w:t>39</w:t>
      </w:r>
      <w:r>
        <w:t>/CE a Parlamentului European și a Consiliului privind obligațiile întreprinderilor de investiții de păstrare a evidenței și înregistrărilor, raportarea tranzacțiilor, transparența pieței, admiterea de instrumente financiare în tranzacții și definiția termenilor în sensul directivei în cauză (JO L </w:t>
      </w:r>
      <w:r w:rsidRPr="002A58D3">
        <w:t>241</w:t>
      </w:r>
      <w:r>
        <w:t xml:space="preserve">, </w:t>
      </w:r>
      <w:r w:rsidRPr="002A58D3">
        <w:t>2</w:t>
      </w:r>
      <w:r>
        <w:t>.</w:t>
      </w:r>
      <w:r w:rsidRPr="002A58D3">
        <w:t>9</w:t>
      </w:r>
      <w:r>
        <w:t>.</w:t>
      </w:r>
      <w:r w:rsidRPr="002A58D3">
        <w:t>2006</w:t>
      </w:r>
      <w:r>
        <w:t>, p. </w:t>
      </w:r>
      <w:r w:rsidRPr="002A58D3">
        <w:t>1</w:t>
      </w:r>
      <w:r>
        <w:t>).</w:t>
      </w:r>
    </w:p>
  </w:footnote>
  <w:footnote w:id="21">
    <w:p w14:paraId="1556A3CF" w14:textId="00EE3CBB" w:rsidR="00107862" w:rsidRPr="00264CA3" w:rsidRDefault="00107862">
      <w:pPr>
        <w:pStyle w:val="FootnoteText"/>
      </w:pPr>
      <w:r>
        <w:rPr>
          <w:rStyle w:val="FootnoteReference"/>
        </w:rPr>
        <w:footnoteRef/>
      </w:r>
      <w:r>
        <w:t xml:space="preserve"> Regulamentul (UE) nr. </w:t>
      </w:r>
      <w:r w:rsidRPr="002A58D3">
        <w:t>1409</w:t>
      </w:r>
      <w:r>
        <w:t>/</w:t>
      </w:r>
      <w:r w:rsidRPr="002A58D3">
        <w:t>2013</w:t>
      </w:r>
      <w:r>
        <w:t xml:space="preserve"> al Băncii Centrale Europene din </w:t>
      </w:r>
      <w:r w:rsidRPr="002A58D3">
        <w:t>28</w:t>
      </w:r>
      <w:r>
        <w:t xml:space="preserve"> noiembrie </w:t>
      </w:r>
      <w:r w:rsidRPr="002A58D3">
        <w:t>2013</w:t>
      </w:r>
      <w:r>
        <w:t xml:space="preserve"> privind statisticile referitoare la plăți (JO L </w:t>
      </w:r>
      <w:r w:rsidRPr="002A58D3">
        <w:t>352</w:t>
      </w:r>
      <w:r>
        <w:t xml:space="preserve">, </w:t>
      </w:r>
      <w:r w:rsidRPr="002A58D3">
        <w:t>24</w:t>
      </w:r>
      <w:r>
        <w:t>.</w:t>
      </w:r>
      <w:r w:rsidRPr="002A58D3">
        <w:t>12</w:t>
      </w:r>
      <w:r>
        <w:t>.</w:t>
      </w:r>
      <w:r w:rsidRPr="002A58D3">
        <w:t>2013</w:t>
      </w:r>
      <w:r>
        <w:t xml:space="preserve">, p. </w:t>
      </w:r>
      <w:r w:rsidRPr="002A58D3">
        <w:t>18</w:t>
      </w:r>
      <w:r>
        <w:t>).</w:t>
      </w:r>
    </w:p>
  </w:footnote>
  <w:footnote w:id="22">
    <w:p w14:paraId="19BD785A" w14:textId="266D260C" w:rsidR="00107862" w:rsidRPr="00264CA3" w:rsidRDefault="00107862" w:rsidP="00575F7D">
      <w:pPr>
        <w:pStyle w:val="FootnoteText"/>
      </w:pPr>
      <w:r>
        <w:rPr>
          <w:rStyle w:val="FootnoteReference"/>
        </w:rPr>
        <w:footnoteRef/>
      </w:r>
      <w:r>
        <w:t xml:space="preserve"> Orientarea Băncii Centrale Europene din </w:t>
      </w:r>
      <w:r w:rsidRPr="002A58D3">
        <w:t>4</w:t>
      </w:r>
      <w:r>
        <w:t xml:space="preserve"> aprilie </w:t>
      </w:r>
      <w:r w:rsidRPr="002A58D3">
        <w:t>2014</w:t>
      </w:r>
      <w:r>
        <w:t xml:space="preserve"> privind statisticile monetare și financiare (BCE/</w:t>
      </w:r>
      <w:r w:rsidRPr="002A58D3">
        <w:t>2014</w:t>
      </w:r>
      <w:r>
        <w:t>/</w:t>
      </w:r>
      <w:r w:rsidRPr="002A58D3">
        <w:t>15</w:t>
      </w:r>
      <w:r>
        <w:t>) (JO L </w:t>
      </w:r>
      <w:r w:rsidRPr="002A58D3">
        <w:t>340</w:t>
      </w:r>
      <w:r>
        <w:t xml:space="preserve">, </w:t>
      </w:r>
      <w:r w:rsidRPr="002A58D3">
        <w:t>26</w:t>
      </w:r>
      <w:r>
        <w:t>.</w:t>
      </w:r>
      <w:r w:rsidRPr="002A58D3">
        <w:t>11</w:t>
      </w:r>
      <w:r>
        <w:t>.</w:t>
      </w:r>
      <w:r w:rsidRPr="002A58D3">
        <w:t>2014</w:t>
      </w:r>
      <w:r>
        <w:t>, p. </w:t>
      </w:r>
      <w:r w:rsidRPr="002A58D3">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107862" w:rsidRPr="000E60D6" w:rsidRDefault="00107862" w:rsidP="000E60D6">
    <w:pPr>
      <w:pStyle w:val="Header"/>
      <w:jc w:val="center"/>
      <w:rPr>
        <w:rFonts w:ascii="Times New Roman" w:hAnsi="Times New Roman" w:cs="Times New Roman"/>
      </w:rPr>
    </w:pPr>
    <w:r>
      <w:rPr>
        <w:rFonts w:ascii="Times New Roman" w:hAnsi="Times New Roman"/>
      </w:rPr>
      <w:t>RO</w:t>
    </w:r>
  </w:p>
  <w:p w14:paraId="0BBD0984" w14:textId="77777777" w:rsidR="00107862" w:rsidRPr="000E60D6" w:rsidRDefault="00107862" w:rsidP="000E60D6">
    <w:pPr>
      <w:pStyle w:val="Header"/>
      <w:jc w:val="center"/>
      <w:rPr>
        <w:rFonts w:ascii="Times New Roman" w:hAnsi="Times New Roman" w:cs="Times New Roman"/>
      </w:rPr>
    </w:pPr>
    <w:r>
      <w:rPr>
        <w:rFonts w:ascii="Times New Roman" w:hAnsi="Times New Roman"/>
      </w:rPr>
      <w:t>ANEXA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1CC"/>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862"/>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4859"/>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8D3"/>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AD8"/>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40F"/>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ro-RO"/>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ro-RO"/>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ro-RO"/>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ro-RO"/>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ro-RO"/>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ro-RO"/>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ro-RO"/>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ro-RO"/>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ro-RO"/>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ro-RO"/>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ro-RO"/>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ro-RO"/>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ro-RO"/>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ro-RO"/>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ro-RO"/>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ro-RO"/>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ro-RO"/>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ro-RO"/>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ro-RO"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1D458-3EF2-4891-B6C3-9AABE7F9F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17055</Words>
  <Characters>100969</Characters>
  <Application>Microsoft Office Word</Application>
  <DocSecurity>0</DocSecurity>
  <Lines>2103</Lines>
  <Paragraphs>1532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2022-03-08T15:48:00Z</dcterms:created>
  <dcterms:modified xsi:type="dcterms:W3CDTF">2022-03-08T15:48:00Z</dcterms:modified>
</cp:coreProperties>
</file>