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4399E" w14:textId="23F9FE9B" w:rsidR="001C2816" w:rsidRPr="003F044F" w:rsidRDefault="00BF3C4D" w:rsidP="00B65045">
      <w:pPr>
        <w:pStyle w:val="Pagedecouverture"/>
        <w:rPr>
          <w:noProof/>
        </w:rPr>
      </w:pPr>
      <w:bookmarkStart w:id="0" w:name="_GoBack"/>
      <w:bookmarkEnd w:id="0"/>
      <w:r>
        <w:rPr>
          <w:noProof/>
        </w:rPr>
        <w:pict w14:anchorId="44626D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E8A55B8-7FE1-48D1-BCA4-F02C66CAEF49" style="width:455.35pt;height:440.65pt">
            <v:imagedata r:id="rId7" o:title=""/>
          </v:shape>
        </w:pict>
      </w:r>
    </w:p>
    <w:p w14:paraId="66835F60" w14:textId="77777777" w:rsidR="00745799" w:rsidRPr="003F044F" w:rsidRDefault="00745799">
      <w:pPr>
        <w:rPr>
          <w:noProof/>
        </w:rPr>
        <w:sectPr w:rsidR="00745799" w:rsidRPr="003F044F" w:rsidSect="00B65045">
          <w:footerReference w:type="default" r:id="rId8"/>
          <w:pgSz w:w="11907" w:h="16839"/>
          <w:pgMar w:top="1134" w:right="1417" w:bottom="1134" w:left="1417" w:header="709" w:footer="709" w:gutter="0"/>
          <w:pgNumType w:start="0"/>
          <w:cols w:space="720"/>
          <w:docGrid w:linePitch="360"/>
        </w:sectPr>
      </w:pPr>
    </w:p>
    <w:p w14:paraId="58EEE52D" w14:textId="0B2840E1" w:rsidR="00745799" w:rsidRPr="003F044F" w:rsidRDefault="003F044F" w:rsidP="003F044F">
      <w:pPr>
        <w:pStyle w:val="Typedudocument"/>
        <w:rPr>
          <w:noProof/>
        </w:rPr>
      </w:pPr>
      <w:r w:rsidRPr="003F044F">
        <w:rPr>
          <w:noProof/>
        </w:rPr>
        <w:lastRenderedPageBreak/>
        <w:t>ΕΚΤΕΛΕΣΤΙΚΟΣ ΚΑΝΟΝΙΣΜΟΣ (ΕΕ) …/... ΤΗΣ ΕΠΙΤΡΟΠΗΣ</w:t>
      </w:r>
    </w:p>
    <w:p w14:paraId="5FDAE07D" w14:textId="58D03832" w:rsidR="00745799" w:rsidRPr="003F044F" w:rsidRDefault="00AE20C2" w:rsidP="003F044F">
      <w:pPr>
        <w:pStyle w:val="Datedadoption"/>
        <w:rPr>
          <w:noProof/>
        </w:rPr>
      </w:pPr>
      <w:r>
        <w:t>της 3.3.2022</w:t>
      </w:r>
    </w:p>
    <w:p w14:paraId="6AE2FFE3" w14:textId="19F7221C" w:rsidR="00745799" w:rsidRPr="003F044F" w:rsidRDefault="003F044F" w:rsidP="003F044F">
      <w:pPr>
        <w:pStyle w:val="Titreobjet"/>
        <w:rPr>
          <w:noProof/>
        </w:rPr>
      </w:pPr>
      <w:r w:rsidRPr="003F044F">
        <w:rPr>
          <w:noProof/>
        </w:rPr>
        <w:t xml:space="preserve">για την τροποποίηση του εκτελεστικού κανονισμού (ΕΕ) 2018/1624 σχετικά με τη θέσπιση εκτελεστικών τεχνικών προτύπων όσον αφορά τις διαδικασίες, τα τυποποιημένα έντυπα και τα υποδείγματα για την παροχή πληροφοριών για τους σκοπούς των σχεδίων εξυγίανσης πιστωτικών ιδρυμάτων και επιχειρήσεων επενδύσεων σύμφωνα με την οδηγία 2014/59/ΕΕ του Ευρωπαϊκού Κοινοβουλίου και του Συμβουλίου </w:t>
      </w:r>
      <w:r w:rsidRPr="003F044F">
        <w:rPr>
          <w:noProof/>
        </w:rPr>
        <w:br/>
      </w:r>
    </w:p>
    <w:p w14:paraId="217F978F" w14:textId="4F08C3FD" w:rsidR="00745799" w:rsidRPr="003F044F" w:rsidRDefault="003F044F" w:rsidP="003F044F">
      <w:pPr>
        <w:pStyle w:val="IntrtEEE"/>
        <w:rPr>
          <w:noProof/>
        </w:rPr>
      </w:pPr>
      <w:r w:rsidRPr="003F044F">
        <w:rPr>
          <w:noProof/>
        </w:rPr>
        <w:t>(Κείμενο που παρουσιάζει ενδιαφέρον για τον ΕΟΧ)</w:t>
      </w:r>
    </w:p>
    <w:p w14:paraId="36E61899" w14:textId="77777777" w:rsidR="00745799" w:rsidRPr="003F044F" w:rsidRDefault="00745799" w:rsidP="004E1EF9">
      <w:pPr>
        <w:pStyle w:val="Institutionquiagit"/>
        <w:rPr>
          <w:noProof/>
        </w:rPr>
      </w:pPr>
      <w:r w:rsidRPr="003F044F">
        <w:rPr>
          <w:noProof/>
        </w:rPr>
        <w:t>Η ΕΥΡΩΠΑΪΚΗ ΕΠΙΤΡΟΠΗ,</w:t>
      </w:r>
    </w:p>
    <w:p w14:paraId="344A82A5" w14:textId="77777777" w:rsidR="00745799" w:rsidRPr="003F044F" w:rsidRDefault="00745799" w:rsidP="004E1EF9">
      <w:pPr>
        <w:rPr>
          <w:noProof/>
        </w:rPr>
      </w:pPr>
      <w:r w:rsidRPr="003F044F">
        <w:rPr>
          <w:noProof/>
          <w:color w:val="000000"/>
        </w:rPr>
        <w:t>Έχοντας υπόψη τη Συνθήκη για τη λειτουργία της Ευρωπαϊκής Ένωσης,</w:t>
      </w:r>
    </w:p>
    <w:p w14:paraId="2982BE59" w14:textId="5250076C" w:rsidR="00745799" w:rsidRPr="003F044F" w:rsidRDefault="00745799" w:rsidP="004E1EF9">
      <w:pPr>
        <w:rPr>
          <w:noProof/>
        </w:rPr>
      </w:pPr>
      <w:r w:rsidRPr="003F044F">
        <w:rPr>
          <w:noProof/>
        </w:rPr>
        <w:t>Έχοντας υπόψη την οδηγία 2014/59/ΕΕ του Ευρωπαϊκού Κοινοβουλίου και του Συμβουλίου για τη θέσπιση πλαισίου για την ανάκαμψη και την εξυγίανση πιστωτικών ιδρυμάτων και επιχειρήσεων επενδύσεων και για την τροποποίηση της οδηγίας 82/891/ΕΟΚ του Συμβουλίου, και των οδηγιών 2001/24/ΕΚ, 2002/47/ΕΚ, 2004/25/ΕΚ, 2005/56/ΕΚ, 2007/36/ΕΚ, 2011/35/ΕΕ, 2012/30/ΕΕ και 2013/36/ΕΕ, καθώς και των κανονισμών του Ευρωπαϊκού Κοινοβουλίου και του Συμβουλίου (ΕΕ) αριθ. 1093/2010 και (ΕΕ) αριθ. 648/2012</w:t>
      </w:r>
      <w:r w:rsidRPr="003F044F">
        <w:rPr>
          <w:rStyle w:val="FootnoteReference"/>
          <w:noProof/>
        </w:rPr>
        <w:footnoteReference w:id="1"/>
      </w:r>
      <w:r w:rsidRPr="003F044F">
        <w:rPr>
          <w:noProof/>
        </w:rPr>
        <w:t>, και ιδίως το άρθρο 11 παράγραφος 3,</w:t>
      </w:r>
    </w:p>
    <w:p w14:paraId="3303916E" w14:textId="77777777" w:rsidR="00745799" w:rsidRPr="003F044F" w:rsidRDefault="00745799" w:rsidP="004E1EF9">
      <w:pPr>
        <w:rPr>
          <w:noProof/>
        </w:rPr>
      </w:pPr>
      <w:r w:rsidRPr="003F044F">
        <w:rPr>
          <w:noProof/>
        </w:rPr>
        <w:t>Εκτιμώντας τα ακόλουθα:</w:t>
      </w:r>
    </w:p>
    <w:p w14:paraId="2AEEF6BD" w14:textId="46559E8C" w:rsidR="00745799" w:rsidRPr="003F044F" w:rsidRDefault="005C58ED" w:rsidP="005C58ED">
      <w:pPr>
        <w:pStyle w:val="ManualConsidrant"/>
        <w:rPr>
          <w:noProof/>
        </w:rPr>
      </w:pPr>
      <w:r w:rsidRPr="005C58ED">
        <w:t>(1)</w:t>
      </w:r>
      <w:r w:rsidRPr="005C58ED">
        <w:tab/>
      </w:r>
      <w:r w:rsidR="00745799" w:rsidRPr="003F044F">
        <w:rPr>
          <w:noProof/>
        </w:rPr>
        <w:t>Η οδηγία (ΕΕ) 2019/879 του Ευρωπαϊκού Κοινοβουλίου και του Συμβουλίου</w:t>
      </w:r>
      <w:r w:rsidR="00745799" w:rsidRPr="003F044F">
        <w:rPr>
          <w:rStyle w:val="FootnoteReference"/>
          <w:noProof/>
        </w:rPr>
        <w:footnoteReference w:id="2"/>
      </w:r>
      <w:r w:rsidR="00745799" w:rsidRPr="003F044F">
        <w:rPr>
          <w:noProof/>
        </w:rPr>
        <w:t xml:space="preserve"> εισήγαγε ορισμένες τροποποιήσεις στην ελάχιστη απαίτηση ιδίων κεφαλαίων και επιλέξιμων υποχρεώσεων που προβλέπεται στην οδηγία 2014/59/ΕΕ. Οι πληροφορίες σχετικά με την ικανότητα των ιδρυμάτων να εκπληρώνουν την εν λόγω απαίτηση λαμβάνονται επίσης υπόψη, σε περιορισμένο βαθμό, στο πλαίσιο του σχεδιασμού της εξυγίανσης.</w:t>
      </w:r>
    </w:p>
    <w:p w14:paraId="4C198264" w14:textId="1599BF89" w:rsidR="00745799" w:rsidRPr="003F044F" w:rsidRDefault="005C58ED" w:rsidP="005C58ED">
      <w:pPr>
        <w:pStyle w:val="ManualConsidrant"/>
        <w:rPr>
          <w:noProof/>
        </w:rPr>
      </w:pPr>
      <w:r w:rsidRPr="005C58ED">
        <w:t>(2)</w:t>
      </w:r>
      <w:r w:rsidRPr="005C58ED">
        <w:tab/>
      </w:r>
      <w:r w:rsidR="005F79AB" w:rsidRPr="003F044F">
        <w:rPr>
          <w:noProof/>
        </w:rPr>
        <w:t>Επομένως, ο εκτελεστικός κανονισμός (ΕΕ) 2018/1624 της Επιτροπής</w:t>
      </w:r>
      <w:r w:rsidR="005F79AB" w:rsidRPr="003F044F">
        <w:rPr>
          <w:rStyle w:val="FootnoteReference"/>
          <w:noProof/>
        </w:rPr>
        <w:footnoteReference w:id="3"/>
      </w:r>
      <w:r w:rsidR="005F79AB" w:rsidRPr="003F044F">
        <w:rPr>
          <w:noProof/>
        </w:rPr>
        <w:t xml:space="preserve"> θα πρέπει να τροποποιηθεί αναλόγως.</w:t>
      </w:r>
    </w:p>
    <w:p w14:paraId="2F996AE9" w14:textId="3435F8E2" w:rsidR="00745799" w:rsidRPr="003F044F" w:rsidRDefault="005C58ED" w:rsidP="005C58ED">
      <w:pPr>
        <w:pStyle w:val="ManualConsidrant"/>
        <w:rPr>
          <w:noProof/>
        </w:rPr>
      </w:pPr>
      <w:r w:rsidRPr="005C58ED">
        <w:t>(3)</w:t>
      </w:r>
      <w:r w:rsidRPr="005C58ED">
        <w:tab/>
      </w:r>
      <w:r w:rsidR="00745799" w:rsidRPr="003F044F">
        <w:rPr>
          <w:noProof/>
        </w:rPr>
        <w:t xml:space="preserve">Ο παρών κανονισμός βασίζεται στα σχέδια εκτελεστικών τεχνικών προτύπων που υπέβαλε η Ευρωπαϊκή Αρχή Τραπεζών (ΕΑΤ) στην Επιτροπή. </w:t>
      </w:r>
    </w:p>
    <w:p w14:paraId="505703BE" w14:textId="51CCADD7" w:rsidR="00745799" w:rsidRPr="003F044F" w:rsidRDefault="005C58ED" w:rsidP="005C58ED">
      <w:pPr>
        <w:pStyle w:val="ManualConsidrant"/>
        <w:rPr>
          <w:noProof/>
        </w:rPr>
      </w:pPr>
      <w:r w:rsidRPr="005C58ED">
        <w:lastRenderedPageBreak/>
        <w:t>(4)</w:t>
      </w:r>
      <w:r w:rsidRPr="005C58ED">
        <w:tab/>
      </w:r>
      <w:r w:rsidR="00745799" w:rsidRPr="003F044F">
        <w:rPr>
          <w:noProof/>
        </w:rPr>
        <w:t>Η ΕΑΤ δεν διενήργησε ανοικτές δημόσιες διαβουλεύσεις όσον αφορά τα σχέδια εκτελεστικών τεχνικών προτύπων στα οποία βασίζεται ο παρών κανονισμός, ούτε ανέλυσε τα ενδεχόμενα συναφή κόστη και τις ωφέλειες, καθώς έκρινε ότι αυτό θα ήταν ιδιαίτερα δυσανάλογο σε σχέση με το πολύ περιορισμένο πεδίο εφαρμογής, τον μικρό αριθμό και τον περιορισμένο αντίκτυπο των τροποποιήσεων, λαμβάνοντας υπόψη το γεγονός ότι οι εν λόγω τροποποιήσεις περιλαμβάνουν μόνο επικαιροποιήσεις των παραπομπών στην οδηγία 2014/59/ΕΕ, δύο νέα στοιχεία προς αναφορά και ήσσονος σημασίας τροποποιήσεις για την άρση των τεχνικών εμποδίων στην υποβολή αναφορών. Η ΕΑΤ ζήτησε τις συμβουλές της ομάδας τραπεζικών συμφεροντούχων, η οποία συστάθηκε σύμφωνα με το άρθρο 37 του κανονισμού (ΕΕ) αριθ. 1093/2010 του Ευρωπαϊκού Κοινοβουλίου και του Συμβουλίου</w:t>
      </w:r>
      <w:r w:rsidR="00745799" w:rsidRPr="003F044F">
        <w:rPr>
          <w:rStyle w:val="FootnoteReference"/>
          <w:noProof/>
        </w:rPr>
        <w:footnoteReference w:id="4"/>
      </w:r>
      <w:r w:rsidR="00745799" w:rsidRPr="003F044F">
        <w:rPr>
          <w:noProof/>
        </w:rPr>
        <w:t>,</w:t>
      </w:r>
    </w:p>
    <w:p w14:paraId="3F0100F6" w14:textId="77777777" w:rsidR="00745799" w:rsidRPr="003F044F" w:rsidRDefault="00745799" w:rsidP="004E1EF9">
      <w:pPr>
        <w:pStyle w:val="Formuledadoption"/>
        <w:rPr>
          <w:noProof/>
        </w:rPr>
      </w:pPr>
      <w:r w:rsidRPr="003F044F">
        <w:rPr>
          <w:noProof/>
        </w:rPr>
        <w:t>ΕΞΕΔΩΣΕ ΤΟΝ ΠΑΡΟΝΤΑ ΚΑΝΟΝΙΣΜΟ:</w:t>
      </w:r>
    </w:p>
    <w:p w14:paraId="248EA0A8" w14:textId="77777777" w:rsidR="00745799" w:rsidRPr="003F044F" w:rsidRDefault="00745799" w:rsidP="004E1EF9">
      <w:pPr>
        <w:pStyle w:val="Titrearticle"/>
        <w:rPr>
          <w:noProof/>
        </w:rPr>
      </w:pPr>
      <w:r w:rsidRPr="003F044F">
        <w:rPr>
          <w:noProof/>
        </w:rPr>
        <w:t>Άρθρο 1</w:t>
      </w:r>
    </w:p>
    <w:p w14:paraId="0EB604DB" w14:textId="07D2792D" w:rsidR="00745799" w:rsidRPr="003F044F" w:rsidRDefault="00745799" w:rsidP="004E1EF9">
      <w:pPr>
        <w:rPr>
          <w:noProof/>
        </w:rPr>
      </w:pPr>
      <w:r w:rsidRPr="003F044F">
        <w:rPr>
          <w:noProof/>
        </w:rPr>
        <w:t>Ο εκτελεστικός κανονισμός (ΕΕ) 2018/1624 τροποποιείται ως εξής:</w:t>
      </w:r>
    </w:p>
    <w:p w14:paraId="6C2E9789" w14:textId="1B041154" w:rsidR="002E04D0" w:rsidRPr="003F044F" w:rsidRDefault="003F044F" w:rsidP="003F044F">
      <w:pPr>
        <w:pStyle w:val="Point0"/>
        <w:rPr>
          <w:noProof/>
        </w:rPr>
      </w:pPr>
      <w:r>
        <w:rPr>
          <w:noProof/>
        </w:rPr>
        <w:t>1)</w:t>
      </w:r>
      <w:r>
        <w:rPr>
          <w:noProof/>
        </w:rPr>
        <w:tab/>
      </w:r>
      <w:r w:rsidR="00745799" w:rsidRPr="003F044F">
        <w:rPr>
          <w:noProof/>
        </w:rPr>
        <w:t>Το παράρτημα Ι τροποποιείται ως εξής:</w:t>
      </w:r>
    </w:p>
    <w:p w14:paraId="307F7177" w14:textId="1FA7BE54" w:rsidR="00745799" w:rsidRPr="003F044F" w:rsidRDefault="003F044F" w:rsidP="003F044F">
      <w:pPr>
        <w:pStyle w:val="Point0"/>
        <w:rPr>
          <w:noProof/>
        </w:rPr>
      </w:pPr>
      <w:r>
        <w:rPr>
          <w:noProof/>
        </w:rPr>
        <w:t>α)</w:t>
      </w:r>
      <w:r>
        <w:rPr>
          <w:noProof/>
        </w:rPr>
        <w:tab/>
      </w:r>
      <w:r w:rsidR="002E04D0" w:rsidRPr="003F044F">
        <w:rPr>
          <w:noProof/>
        </w:rPr>
        <w:t>το υπόδειγμα Z 02.00 αντικαθίσταται από το υπόδειγμα Z 02.00 του παραρτήματος I του παρόντος κανονισμού·</w:t>
      </w:r>
    </w:p>
    <w:p w14:paraId="2AC11875" w14:textId="3F95DC1F" w:rsidR="002E04D0" w:rsidRPr="003F044F" w:rsidRDefault="003F044F" w:rsidP="003F044F">
      <w:pPr>
        <w:pStyle w:val="Point0"/>
        <w:rPr>
          <w:noProof/>
        </w:rPr>
      </w:pPr>
      <w:r>
        <w:rPr>
          <w:noProof/>
        </w:rPr>
        <w:t>β)</w:t>
      </w:r>
      <w:r>
        <w:rPr>
          <w:noProof/>
        </w:rPr>
        <w:tab/>
      </w:r>
      <w:r w:rsidR="002E04D0" w:rsidRPr="003F044F">
        <w:rPr>
          <w:noProof/>
        </w:rPr>
        <w:t>το υπόδειγμα Z 03.00 αντικαθίσταται από το υπόδειγμα Z 03.00 του παραρτήματος I του παρόντος κανονισμού.</w:t>
      </w:r>
    </w:p>
    <w:p w14:paraId="60F6BC37" w14:textId="24D78C95" w:rsidR="00745799" w:rsidRPr="003F044F" w:rsidRDefault="003F044F" w:rsidP="003F044F">
      <w:pPr>
        <w:pStyle w:val="Point0"/>
        <w:rPr>
          <w:noProof/>
        </w:rPr>
      </w:pPr>
      <w:r>
        <w:rPr>
          <w:noProof/>
        </w:rPr>
        <w:t>2)</w:t>
      </w:r>
      <w:r>
        <w:rPr>
          <w:noProof/>
        </w:rPr>
        <w:tab/>
      </w:r>
      <w:r w:rsidR="00090F84" w:rsidRPr="003F044F">
        <w:rPr>
          <w:noProof/>
        </w:rPr>
        <w:t xml:space="preserve">Το παράρτημα II αντικαθίσταται από το κείμενο του παραρτήματος II του παρόντος κανονισμού. </w:t>
      </w:r>
    </w:p>
    <w:p w14:paraId="77E50565" w14:textId="37F839DE" w:rsidR="00745799" w:rsidRPr="003F044F" w:rsidRDefault="00745799" w:rsidP="004E1EF9">
      <w:pPr>
        <w:pStyle w:val="Titrearticle"/>
        <w:rPr>
          <w:noProof/>
          <w:color w:val="000000" w:themeColor="text1"/>
        </w:rPr>
      </w:pPr>
      <w:r w:rsidRPr="003F044F">
        <w:rPr>
          <w:noProof/>
        </w:rPr>
        <w:t>Άρθρο 2</w:t>
      </w:r>
    </w:p>
    <w:p w14:paraId="280CEA9B" w14:textId="288234FC" w:rsidR="00745799" w:rsidRPr="003F044F" w:rsidRDefault="00745799" w:rsidP="004E1EF9">
      <w:pPr>
        <w:rPr>
          <w:noProof/>
        </w:rPr>
      </w:pPr>
      <w:r w:rsidRPr="003F044F">
        <w:rPr>
          <w:noProof/>
        </w:rPr>
        <w:t xml:space="preserve">Ο παρών κανονισμός αρχίζει να ισχύει την εικοστή ημέρα από τη δημοσίευσή του στην </w:t>
      </w:r>
      <w:r w:rsidRPr="003F044F">
        <w:rPr>
          <w:i/>
          <w:noProof/>
        </w:rPr>
        <w:t>Επίσημη Εφημερίδα της Ευρωπαϊκής Ένωσης</w:t>
      </w:r>
      <w:r w:rsidRPr="003F044F">
        <w:rPr>
          <w:noProof/>
        </w:rPr>
        <w:t>.</w:t>
      </w:r>
    </w:p>
    <w:p w14:paraId="5ED2B21A" w14:textId="77777777" w:rsidR="00745799" w:rsidRPr="003F044F" w:rsidRDefault="00745799" w:rsidP="004E1EF9">
      <w:pPr>
        <w:pStyle w:val="Applicationdirecte"/>
        <w:rPr>
          <w:noProof/>
        </w:rPr>
      </w:pPr>
      <w:r w:rsidRPr="003F044F">
        <w:rPr>
          <w:noProof/>
        </w:rPr>
        <w:t>Ο παρών κανονισμός είναι δεσμευτικός ως προς όλα τα μέρη του και ισχύει άμεσα σε κάθε κράτος μέλος.</w:t>
      </w:r>
    </w:p>
    <w:p w14:paraId="3D8C8E1A" w14:textId="0BF3CDCE" w:rsidR="00745799" w:rsidRPr="003F044F" w:rsidRDefault="00666F73" w:rsidP="008302CD">
      <w:pPr>
        <w:pStyle w:val="Fait"/>
        <w:rPr>
          <w:noProof/>
        </w:rPr>
      </w:pPr>
      <w:r w:rsidRPr="00666F73">
        <w:t>Βρυξέλλες, 3.3.2022</w:t>
      </w:r>
    </w:p>
    <w:p w14:paraId="54345AFA" w14:textId="77777777" w:rsidR="00745799" w:rsidRPr="003F044F" w:rsidRDefault="00745799" w:rsidP="008302CD">
      <w:pPr>
        <w:pStyle w:val="Institutionquisigne"/>
        <w:rPr>
          <w:noProof/>
        </w:rPr>
      </w:pPr>
      <w:r w:rsidRPr="003F044F">
        <w:rPr>
          <w:noProof/>
        </w:rPr>
        <w:tab/>
        <w:t>Για την Επιτροπή</w:t>
      </w:r>
    </w:p>
    <w:p w14:paraId="77E16C5B" w14:textId="2A22019D" w:rsidR="008A5816" w:rsidRPr="003F044F" w:rsidRDefault="000F24FD" w:rsidP="008302CD">
      <w:pPr>
        <w:pStyle w:val="Personnequisigne"/>
        <w:keepNext/>
        <w:rPr>
          <w:noProof/>
        </w:rPr>
      </w:pPr>
      <w:r>
        <w:tab/>
        <w:t>Η Πρόεδρος</w:t>
      </w:r>
      <w:r>
        <w:br/>
      </w:r>
      <w:r>
        <w:tab/>
        <w:t>Ursula VON DER LEYEN</w:t>
      </w:r>
    </w:p>
    <w:p w14:paraId="7793195C" w14:textId="5D32FB63" w:rsidR="00745799" w:rsidRPr="003F044F" w:rsidRDefault="00745799" w:rsidP="00745799">
      <w:pPr>
        <w:pStyle w:val="Personnequisigne"/>
        <w:rPr>
          <w:noProof/>
        </w:rPr>
      </w:pPr>
    </w:p>
    <w:sectPr w:rsidR="00745799" w:rsidRPr="003F044F" w:rsidSect="00B65045">
      <w:footerReference w:type="default" r:id="rId9"/>
      <w:footerReference w:type="first" r:id="rId10"/>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7EA" w16cex:dateUtc="2021-12-01T07:59:00Z"/>
  <w16cex:commentExtensible w16cex:durableId="2551B819" w16cex:dateUtc="2021-12-01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4D896F" w16cid:durableId="2551B77F"/>
  <w16cid:commentId w16cid:paraId="1D538397" w16cid:durableId="2551B7EA"/>
  <w16cid:commentId w16cid:paraId="70775A79" w16cid:durableId="2551B780"/>
  <w16cid:commentId w16cid:paraId="639A1800" w16cid:durableId="2551B8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5EFD" w14:textId="77777777" w:rsidR="00745799" w:rsidRDefault="00745799" w:rsidP="00745799">
      <w:pPr>
        <w:spacing w:before="0" w:after="0"/>
      </w:pPr>
      <w:r>
        <w:separator/>
      </w:r>
    </w:p>
  </w:endnote>
  <w:endnote w:type="continuationSeparator" w:id="0">
    <w:p w14:paraId="675C0AA5" w14:textId="77777777" w:rsidR="00745799" w:rsidRDefault="00745799" w:rsidP="00745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5BA984" w14:textId="6B5E1A94" w:rsidR="003F044F" w:rsidRPr="00B65045" w:rsidRDefault="00B65045" w:rsidP="00B65045">
    <w:pPr>
      <w:pStyle w:val="Footer"/>
      <w:rPr>
        <w:rFonts w:ascii="Arial" w:hAnsi="Arial" w:cs="Arial"/>
        <w:b/>
        <w:sz w:val="48"/>
      </w:rPr>
    </w:pPr>
    <w:r w:rsidRPr="00B65045">
      <w:rPr>
        <w:rFonts w:ascii="Arial" w:hAnsi="Arial" w:cs="Arial"/>
        <w:b/>
        <w:sz w:val="48"/>
      </w:rPr>
      <w:t>EL</w:t>
    </w:r>
    <w:r w:rsidRPr="00B65045">
      <w:rPr>
        <w:rFonts w:ascii="Arial" w:hAnsi="Arial" w:cs="Arial"/>
        <w:b/>
        <w:sz w:val="48"/>
      </w:rPr>
      <w:tab/>
    </w:r>
    <w:r w:rsidRPr="00B65045">
      <w:rPr>
        <w:rFonts w:ascii="Arial" w:hAnsi="Arial" w:cs="Arial"/>
        <w:b/>
        <w:sz w:val="48"/>
      </w:rPr>
      <w:tab/>
    </w:r>
    <w:r w:rsidRPr="00B65045">
      <w:tab/>
    </w:r>
    <w:r w:rsidRPr="00B65045">
      <w:rPr>
        <w:rFonts w:ascii="Arial" w:hAnsi="Arial" w:cs="Arial"/>
        <w:b/>
        <w:sz w:val="48"/>
      </w:rPr>
      <w:t>EL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C6F18E" w14:textId="0B9C054C" w:rsidR="00B65045" w:rsidRPr="00B65045" w:rsidRDefault="00B65045" w:rsidP="00B65045">
    <w:pPr>
      <w:pStyle w:val="Footer"/>
      <w:rPr>
        <w:rFonts w:ascii="Arial" w:hAnsi="Arial" w:cs="Arial"/>
        <w:b/>
        <w:sz w:val="48"/>
      </w:rPr>
    </w:pPr>
    <w:r w:rsidRPr="00B65045">
      <w:rPr>
        <w:rFonts w:ascii="Arial" w:hAnsi="Arial" w:cs="Arial"/>
        <w:b/>
        <w:sz w:val="48"/>
      </w:rPr>
      <w:t>EL</w:t>
    </w:r>
    <w:r w:rsidRPr="00B65045">
      <w:rPr>
        <w:rFonts w:ascii="Arial" w:hAnsi="Arial" w:cs="Arial"/>
        <w:b/>
        <w:sz w:val="48"/>
      </w:rPr>
      <w:tab/>
    </w:r>
    <w:r>
      <w:fldChar w:fldCharType="begin"/>
    </w:r>
    <w:r>
      <w:instrText xml:space="preserve"> PAGE  \* MERGEFORMAT </w:instrText>
    </w:r>
    <w:r>
      <w:fldChar w:fldCharType="separate"/>
    </w:r>
    <w:r w:rsidR="00BF3C4D">
      <w:rPr>
        <w:noProof/>
      </w:rPr>
      <w:t>2</w:t>
    </w:r>
    <w:r>
      <w:fldChar w:fldCharType="end"/>
    </w:r>
    <w:r>
      <w:tab/>
    </w:r>
    <w:r w:rsidRPr="00B65045">
      <w:tab/>
    </w:r>
    <w:r w:rsidRPr="00B65045">
      <w:rPr>
        <w:rFonts w:ascii="Arial" w:hAnsi="Arial" w:cs="Arial"/>
        <w:b/>
        <w:sz w:val="48"/>
      </w:rPr>
      <w:t>EL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ECDBC8" w14:textId="77777777" w:rsidR="00B65045" w:rsidRPr="00B65045" w:rsidRDefault="00B65045" w:rsidP="00B650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6848F" w14:textId="77777777" w:rsidR="00745799" w:rsidRDefault="00745799" w:rsidP="00745799">
      <w:pPr>
        <w:spacing w:before="0" w:after="0"/>
      </w:pPr>
      <w:r>
        <w:separator/>
      </w:r>
    </w:p>
  </w:footnote>
  <w:footnote w:type="continuationSeparator" w:id="0">
    <w:p w14:paraId="3876E97E" w14:textId="77777777" w:rsidR="00745799" w:rsidRDefault="00745799" w:rsidP="00745799">
      <w:pPr>
        <w:spacing w:before="0" w:after="0"/>
      </w:pPr>
      <w:r>
        <w:continuationSeparator/>
      </w:r>
    </w:p>
  </w:footnote>
  <w:footnote w:id="1">
    <w:p w14:paraId="052E750F" w14:textId="77777777" w:rsidR="00745799" w:rsidRDefault="00745799" w:rsidP="00745799">
      <w:pPr>
        <w:pStyle w:val="FootnoteText"/>
      </w:pPr>
      <w:r>
        <w:rPr>
          <w:rStyle w:val="FootnoteReference"/>
        </w:rPr>
        <w:footnoteRef/>
      </w:r>
      <w:r>
        <w:tab/>
        <w:t>ΕΕ L 173 της 12.6.2014, σ. 190.</w:t>
      </w:r>
    </w:p>
  </w:footnote>
  <w:footnote w:id="2">
    <w:p w14:paraId="7F45B5AC" w14:textId="6DC04D10" w:rsidR="005F79AB" w:rsidRPr="005F79AB" w:rsidRDefault="005F79AB" w:rsidP="005F79AB">
      <w:pPr>
        <w:pStyle w:val="FootnoteText"/>
      </w:pPr>
      <w:r>
        <w:rPr>
          <w:rStyle w:val="FootnoteReference"/>
        </w:rPr>
        <w:footnoteRef/>
      </w:r>
      <w:r>
        <w:tab/>
        <w:t>Οδηγία (ΕΕ) 2019/879 του Ευρωπαϊκού Κοινοβουλίου και του Συμβουλίου, της 20ής Μαΐου 2019, για την τροποποίηση της οδηγίας 2014/59/ΕΕ σχετικά με την ικανότητα απορρόφησης των ζημιών και ανακεφαλαιοποίησης των πιστωτικών ιδρυμάτων και επιχειρήσεων επενδύσεων και της οδηγίας 98/26/ΕΚ (ΕΕ L 150 της 7.6.2019, σ. 296).</w:t>
      </w:r>
    </w:p>
  </w:footnote>
  <w:footnote w:id="3">
    <w:p w14:paraId="509F65CC" w14:textId="05595D25" w:rsidR="005F79AB" w:rsidRPr="005F79AB" w:rsidRDefault="005F79AB">
      <w:pPr>
        <w:pStyle w:val="FootnoteText"/>
      </w:pPr>
      <w:r>
        <w:rPr>
          <w:rStyle w:val="FootnoteReference"/>
        </w:rPr>
        <w:footnoteRef/>
      </w:r>
      <w:r>
        <w:tab/>
        <w:t>Εκτελεστικός κανονισμός (ΕΕ) 2018/1624 της Επιτροπής, της 23ης Οκτωβρίου 2018, σχετικά με τη θέσπιση εκτελεστικών τεχνικών προτύπων όσον αφορά τις διαδικασίες, τα τυποποιημένα έντυπα και τα υποδείγματα για την παροχή πληροφοριών για τους σκοπούς των σχεδίων εξυγίανσης πιστωτικών ιδρυμάτων και επιχειρήσεων επενδύσεων σύμφωνα με την οδηγία 2014/59/ΕΕ του Ευρωπαϊκού Κοινοβουλίου και του Συμβουλίου και για την κατάργηση του εκτελεστικού κανονισμού της Επιτροπής (ΕΕ) 2016/1066 (ΕΕ L 277 της 7.11.2018, σ. 1).</w:t>
      </w:r>
    </w:p>
  </w:footnote>
  <w:footnote w:id="4">
    <w:p w14:paraId="3537746E" w14:textId="50571182" w:rsidR="00745799" w:rsidRPr="00B64E68" w:rsidRDefault="00745799" w:rsidP="00745799">
      <w:pPr>
        <w:pStyle w:val="FootnoteText"/>
      </w:pPr>
      <w:r>
        <w:rPr>
          <w:rStyle w:val="FootnoteReference"/>
        </w:rPr>
        <w:footnoteRef/>
      </w:r>
      <w:r>
        <w:tab/>
        <w:t>Κανονισμός (ΕΕ) αριθ. 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 716/2009/ΕΚ και την κατάργηση της απόφασης 2009/78/ΕΚ της Επιτροπής (ΕΕ L 331 της 15.12.2010, σ.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93EC60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37E926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9F841BE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5D4AE1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E67FB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9E095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77C7BF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698DA0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9"/>
  </w:num>
  <w:num w:numId="16">
    <w:abstractNumId w:val="20"/>
  </w:num>
  <w:num w:numId="17">
    <w:abstractNumId w:val="8"/>
  </w:num>
  <w:num w:numId="18">
    <w:abstractNumId w:val="15"/>
  </w:num>
  <w:num w:numId="19">
    <w:abstractNumId w:val="17"/>
  </w:num>
  <w:num w:numId="20">
    <w:abstractNumId w:val="18"/>
  </w:num>
  <w:num w:numId="21">
    <w:abstractNumId w:val="10"/>
  </w:num>
  <w:num w:numId="22">
    <w:abstractNumId w:val="16"/>
  </w:num>
  <w:num w:numId="23">
    <w:abstractNumId w:val="22"/>
  </w:num>
  <w:num w:numId="24">
    <w:abstractNumId w:val="20"/>
  </w:num>
  <w:num w:numId="25">
    <w:abstractNumId w:val="20"/>
  </w:num>
  <w:num w:numId="26">
    <w:abstractNumId w:val="20"/>
  </w:num>
  <w:num w:numId="27">
    <w:abstractNumId w:val="14"/>
  </w:num>
  <w:num w:numId="28">
    <w:abstractNumId w:val="9"/>
  </w:num>
  <w:num w:numId="29">
    <w:abstractNumId w:val="9"/>
  </w:num>
  <w:num w:numId="30">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02-22 12:45:43"/>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CE8A55B8-7FE1-48D1-BCA4-F02C66CAEF49"/>
    <w:docVar w:name="LW_COVERPAGE_TYPE" w:val="1"/>
    <w:docVar w:name="LW_CROSSREFERENCE" w:val="&lt;UNUSED&gt;"/>
    <w:docVar w:name="LW_DATE.ADOPT.CP" w:val="\u964?\u951?\u962? 3.3.2022"/>
    <w:docVar w:name="LW_DATE.ADOPT.CP_DATEFORMAT" w:val="\u964?\u951?\u962? %DATE%"/>
    <w:docVar w:name="LW_DATE.ADOPT.CP_ISODATE" w:val="2022-03-03"/>
    <w:docVar w:name="LW_DocType" w:val="COM"/>
    <w:docVar w:name="LW_EMISSION" w:val="3.3.2022"/>
    <w:docVar w:name="LW_EMISSION_ISODATE" w:val="2022-03-03"/>
    <w:docVar w:name="LW_EMISSION_LOCATION" w:val="BRX"/>
    <w:docVar w:name="LW_EMISSION_PREFIX" w:val="\u914?\u961?\u965?\u958?\u941?\u955?\u955?\u949?\u962?, "/>
    <w:docVar w:name="LW_EMISSION_SUFFIX" w:val=" "/>
    <w:docVar w:name="LW_ID_DOCMODEL" w:val="SJ-004"/>
    <w:docVar w:name="LW_ID_DOCSIGNATURE" w:val="SJ-004"/>
    <w:docVar w:name="LW_ID_DOCSTRUCTURE" w:val="COM/AA"/>
    <w:docVar w:name="LW_ID_DOCTYPE" w:val="SJ-004"/>
    <w:docVar w:name="LW_INTERETEEE.CP" w:val="(Κείμενο που παρουσιάζει ενδιαφέρον για τον ΕΟΧ)"/>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C"/>
    <w:docVar w:name="LW_REF.INST.NEW_ADOPTED" w:val="final"/>
    <w:docVar w:name="LW_REF.INST.NEW_TEXT" w:val="(2022) 1227"/>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για την τροποποίηση του εκτελεστικού κανονισμού (ΕΕ) 2018/1624 σχετικά με τη θέσπιση εκτελεστικών τεχνικών προτύπων όσον αφορά τις διαδικασίες, τα τυποποιημένα έντυπα και τα υποδείγματα για την παροχή πληροφοριών για τους σκοπούς των σχεδίων εξυγίανσης πιστωτικών ιδρυμάτων και επιχειρήσεων επενδύσεων σύμφωνα με την οδηγία 2014/59/ΕΕ του Ευρωπαϊκού Κοινοβουλίου και του Συμβουλίου _x000b_"/>
    <w:docVar w:name="LW_TYPE.DOC.CP" w:val="ΕΚΤΕΛΕΣΤΙΚΟΣ ΚΑΝΟΝΙΣΜΟΣ (ΕΕ) …/... ΤΗΣ ΕΠΙΤΡΟΠΗΣ"/>
    <w:docVar w:name="LwApiVersions" w:val="LW4CoDe 1.23.2.0; LW 8.0, Build 20211117"/>
  </w:docVars>
  <w:rsids>
    <w:rsidRoot w:val="00745799"/>
    <w:rsid w:val="00030008"/>
    <w:rsid w:val="00077B5D"/>
    <w:rsid w:val="00090F84"/>
    <w:rsid w:val="00096F1E"/>
    <w:rsid w:val="000A5309"/>
    <w:rsid w:val="000A7517"/>
    <w:rsid w:val="000E198E"/>
    <w:rsid w:val="000E5A8D"/>
    <w:rsid w:val="000F0ADA"/>
    <w:rsid w:val="000F24FD"/>
    <w:rsid w:val="00123B47"/>
    <w:rsid w:val="001838A3"/>
    <w:rsid w:val="001C2816"/>
    <w:rsid w:val="001D72C1"/>
    <w:rsid w:val="00213F5B"/>
    <w:rsid w:val="00232E98"/>
    <w:rsid w:val="002529F8"/>
    <w:rsid w:val="00283253"/>
    <w:rsid w:val="002836DC"/>
    <w:rsid w:val="002E04D0"/>
    <w:rsid w:val="003053DC"/>
    <w:rsid w:val="003151E2"/>
    <w:rsid w:val="00333B7B"/>
    <w:rsid w:val="003D725F"/>
    <w:rsid w:val="003E38EA"/>
    <w:rsid w:val="003F044F"/>
    <w:rsid w:val="00426704"/>
    <w:rsid w:val="004B08D1"/>
    <w:rsid w:val="004F579B"/>
    <w:rsid w:val="00511345"/>
    <w:rsid w:val="005B1217"/>
    <w:rsid w:val="005C58ED"/>
    <w:rsid w:val="005F79AB"/>
    <w:rsid w:val="00603FDC"/>
    <w:rsid w:val="00666F73"/>
    <w:rsid w:val="006944A9"/>
    <w:rsid w:val="006B3BDB"/>
    <w:rsid w:val="006D5B8E"/>
    <w:rsid w:val="0070128F"/>
    <w:rsid w:val="007170E9"/>
    <w:rsid w:val="00745799"/>
    <w:rsid w:val="00753C08"/>
    <w:rsid w:val="0076684E"/>
    <w:rsid w:val="007C06F6"/>
    <w:rsid w:val="007E3268"/>
    <w:rsid w:val="007F3383"/>
    <w:rsid w:val="00813DCB"/>
    <w:rsid w:val="008302CD"/>
    <w:rsid w:val="00894E72"/>
    <w:rsid w:val="008A5816"/>
    <w:rsid w:val="008B152E"/>
    <w:rsid w:val="008F621A"/>
    <w:rsid w:val="00911DBE"/>
    <w:rsid w:val="009202AA"/>
    <w:rsid w:val="00945758"/>
    <w:rsid w:val="00986B33"/>
    <w:rsid w:val="00987AD5"/>
    <w:rsid w:val="009B7138"/>
    <w:rsid w:val="009B7751"/>
    <w:rsid w:val="009C3971"/>
    <w:rsid w:val="00A55B64"/>
    <w:rsid w:val="00AA7553"/>
    <w:rsid w:val="00AE20C2"/>
    <w:rsid w:val="00B63485"/>
    <w:rsid w:val="00B65045"/>
    <w:rsid w:val="00B85498"/>
    <w:rsid w:val="00BE246D"/>
    <w:rsid w:val="00BF17AA"/>
    <w:rsid w:val="00BF3C4D"/>
    <w:rsid w:val="00BF5167"/>
    <w:rsid w:val="00C24556"/>
    <w:rsid w:val="00C52AC5"/>
    <w:rsid w:val="00CA6AAF"/>
    <w:rsid w:val="00D4394C"/>
    <w:rsid w:val="00DF7421"/>
    <w:rsid w:val="00E578DB"/>
    <w:rsid w:val="00ED16CF"/>
    <w:rsid w:val="00ED66F1"/>
    <w:rsid w:val="00F20062"/>
    <w:rsid w:val="00FF2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832BA40"/>
  <w15:docId w15:val="{AB47458E-1441-4473-9270-EF532192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rsid w:val="009B7138"/>
    <w:pPr>
      <w:keepNext/>
      <w:numPr>
        <w:numId w:val="2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2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2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26"/>
      </w:numPr>
      <w:outlineLvl w:val="3"/>
    </w:pPr>
    <w:rPr>
      <w:rFonts w:eastAsiaTheme="majorEastAsia"/>
      <w:bCs/>
      <w:iCs/>
    </w:rPr>
  </w:style>
  <w:style w:type="paragraph" w:styleId="Heading5">
    <w:name w:val="heading 5"/>
    <w:basedOn w:val="Normal"/>
    <w:next w:val="Text2"/>
    <w:link w:val="Heading5Char"/>
    <w:uiPriority w:val="9"/>
    <w:semiHidden/>
    <w:unhideWhenUsed/>
    <w:qFormat/>
    <w:rsid w:val="00ED66F1"/>
    <w:pPr>
      <w:keepNext/>
      <w:numPr>
        <w:ilvl w:val="4"/>
        <w:numId w:val="26"/>
      </w:numPr>
      <w:outlineLvl w:val="4"/>
    </w:pPr>
    <w:rPr>
      <w:rFonts w:eastAsiaTheme="majorEastAsia"/>
    </w:rPr>
  </w:style>
  <w:style w:type="paragraph" w:styleId="Heading6">
    <w:name w:val="heading 6"/>
    <w:basedOn w:val="Normal"/>
    <w:next w:val="Text2"/>
    <w:link w:val="Heading6Char"/>
    <w:uiPriority w:val="9"/>
    <w:semiHidden/>
    <w:unhideWhenUsed/>
    <w:qFormat/>
    <w:rsid w:val="00ED66F1"/>
    <w:pPr>
      <w:keepNext/>
      <w:numPr>
        <w:ilvl w:val="5"/>
        <w:numId w:val="26"/>
      </w:numPr>
      <w:outlineLvl w:val="5"/>
    </w:pPr>
    <w:rPr>
      <w:rFonts w:eastAsiaTheme="majorEastAsia"/>
      <w:iCs/>
    </w:rPr>
  </w:style>
  <w:style w:type="paragraph" w:styleId="Heading7">
    <w:name w:val="heading 7"/>
    <w:basedOn w:val="Normal"/>
    <w:next w:val="Text2"/>
    <w:link w:val="Heading7Char"/>
    <w:uiPriority w:val="9"/>
    <w:semiHidden/>
    <w:unhideWhenUsed/>
    <w:qFormat/>
    <w:rsid w:val="00ED66F1"/>
    <w:pPr>
      <w:keepNext/>
      <w:numPr>
        <w:ilvl w:val="6"/>
        <w:numId w:val="26"/>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3151E2"/>
    <w:pPr>
      <w:numPr>
        <w:numId w:val="2"/>
      </w:numPr>
      <w:contextualSpacing/>
    </w:pPr>
  </w:style>
  <w:style w:type="paragraph" w:styleId="ListBullet2">
    <w:name w:val="List Bullet 2"/>
    <w:basedOn w:val="Normal"/>
    <w:uiPriority w:val="99"/>
    <w:semiHidden/>
    <w:unhideWhenUsed/>
    <w:rsid w:val="003151E2"/>
    <w:pPr>
      <w:numPr>
        <w:numId w:val="3"/>
      </w:numPr>
      <w:contextualSpacing/>
    </w:pPr>
  </w:style>
  <w:style w:type="paragraph" w:styleId="ListBullet3">
    <w:name w:val="List Bullet 3"/>
    <w:basedOn w:val="Normal"/>
    <w:uiPriority w:val="99"/>
    <w:semiHidden/>
    <w:unhideWhenUsed/>
    <w:rsid w:val="003151E2"/>
    <w:pPr>
      <w:numPr>
        <w:numId w:val="4"/>
      </w:numPr>
      <w:contextualSpacing/>
    </w:pPr>
  </w:style>
  <w:style w:type="paragraph" w:styleId="ListBullet4">
    <w:name w:val="List Bullet 4"/>
    <w:basedOn w:val="Normal"/>
    <w:uiPriority w:val="99"/>
    <w:semiHidden/>
    <w:unhideWhenUsed/>
    <w:rsid w:val="003151E2"/>
    <w:pPr>
      <w:numPr>
        <w:numId w:val="5"/>
      </w:numPr>
      <w:contextualSpacing/>
    </w:pPr>
  </w:style>
  <w:style w:type="paragraph" w:styleId="Caption">
    <w:name w:val="caption"/>
    <w:basedOn w:val="Normal"/>
    <w:next w:val="Normal"/>
    <w:uiPriority w:val="35"/>
    <w:semiHidden/>
    <w:unhideWhenUsed/>
    <w:qFormat/>
    <w:rsid w:val="0028325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83253"/>
    <w:pPr>
      <w:spacing w:after="0"/>
    </w:pPr>
  </w:style>
  <w:style w:type="paragraph" w:styleId="ListNumber">
    <w:name w:val="List Number"/>
    <w:basedOn w:val="Normal"/>
    <w:uiPriority w:val="99"/>
    <w:semiHidden/>
    <w:unhideWhenUsed/>
    <w:rsid w:val="00283253"/>
    <w:pPr>
      <w:numPr>
        <w:numId w:val="6"/>
      </w:numPr>
      <w:contextualSpacing/>
    </w:pPr>
  </w:style>
  <w:style w:type="paragraph" w:styleId="ListNumber2">
    <w:name w:val="List Number 2"/>
    <w:basedOn w:val="Normal"/>
    <w:uiPriority w:val="99"/>
    <w:semiHidden/>
    <w:unhideWhenUsed/>
    <w:rsid w:val="00283253"/>
    <w:pPr>
      <w:numPr>
        <w:numId w:val="7"/>
      </w:numPr>
      <w:contextualSpacing/>
    </w:pPr>
  </w:style>
  <w:style w:type="paragraph" w:styleId="ListNumber3">
    <w:name w:val="List Number 3"/>
    <w:basedOn w:val="Normal"/>
    <w:uiPriority w:val="99"/>
    <w:semiHidden/>
    <w:unhideWhenUsed/>
    <w:rsid w:val="00283253"/>
    <w:pPr>
      <w:numPr>
        <w:numId w:val="8"/>
      </w:numPr>
      <w:contextualSpacing/>
    </w:pPr>
  </w:style>
  <w:style w:type="paragraph" w:styleId="ListNumber4">
    <w:name w:val="List Number 4"/>
    <w:basedOn w:val="Normal"/>
    <w:uiPriority w:val="99"/>
    <w:semiHidden/>
    <w:unhideWhenUsed/>
    <w:rsid w:val="00283253"/>
    <w:pPr>
      <w:numPr>
        <w:numId w:val="9"/>
      </w:numPr>
      <w:contextualSpacing/>
    </w:pPr>
  </w:style>
  <w:style w:type="character" w:styleId="CommentReference">
    <w:name w:val="annotation reference"/>
    <w:basedOn w:val="DefaultParagraphFont"/>
    <w:uiPriority w:val="99"/>
    <w:semiHidden/>
    <w:unhideWhenUsed/>
    <w:rsid w:val="009C3971"/>
    <w:rPr>
      <w:sz w:val="16"/>
      <w:szCs w:val="16"/>
    </w:rPr>
  </w:style>
  <w:style w:type="paragraph" w:styleId="CommentText">
    <w:name w:val="annotation text"/>
    <w:basedOn w:val="Normal"/>
    <w:link w:val="CommentTextChar"/>
    <w:uiPriority w:val="99"/>
    <w:unhideWhenUsed/>
    <w:rsid w:val="009C3971"/>
    <w:rPr>
      <w:sz w:val="20"/>
      <w:szCs w:val="20"/>
    </w:rPr>
  </w:style>
  <w:style w:type="character" w:customStyle="1" w:styleId="CommentTextChar">
    <w:name w:val="Comment Text Char"/>
    <w:basedOn w:val="DefaultParagraphFont"/>
    <w:link w:val="CommentText"/>
    <w:uiPriority w:val="99"/>
    <w:rsid w:val="009C3971"/>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9C3971"/>
    <w:rPr>
      <w:b/>
      <w:bCs/>
    </w:rPr>
  </w:style>
  <w:style w:type="character" w:customStyle="1" w:styleId="CommentSubjectChar">
    <w:name w:val="Comment Subject Char"/>
    <w:basedOn w:val="CommentTextChar"/>
    <w:link w:val="CommentSubject"/>
    <w:uiPriority w:val="99"/>
    <w:semiHidden/>
    <w:rsid w:val="009C3971"/>
    <w:rPr>
      <w:rFonts w:ascii="Times New Roman" w:hAnsi="Times New Roman" w:cs="Times New Roman"/>
      <w:b/>
      <w:bCs/>
      <w:sz w:val="20"/>
      <w:szCs w:val="20"/>
      <w:lang w:val="el-GR"/>
    </w:rPr>
  </w:style>
  <w:style w:type="character" w:styleId="Hyperlink">
    <w:name w:val="Hyperlink"/>
    <w:basedOn w:val="DefaultParagraphFont"/>
    <w:uiPriority w:val="99"/>
    <w:unhideWhenUsed/>
    <w:rsid w:val="009C3971"/>
    <w:rPr>
      <w:color w:val="0000FF" w:themeColor="hyperlink"/>
      <w:u w:val="single"/>
    </w:rPr>
  </w:style>
  <w:style w:type="character" w:customStyle="1" w:styleId="UnresolvedMention1">
    <w:name w:val="Unresolved Mention1"/>
    <w:basedOn w:val="DefaultParagraphFont"/>
    <w:uiPriority w:val="99"/>
    <w:semiHidden/>
    <w:unhideWhenUsed/>
    <w:rsid w:val="009C3971"/>
    <w:rPr>
      <w:color w:val="605E5C"/>
      <w:shd w:val="clear" w:color="auto" w:fill="E1DFDD"/>
    </w:rPr>
  </w:style>
  <w:style w:type="paragraph" w:styleId="BalloonText">
    <w:name w:val="Balloon Text"/>
    <w:basedOn w:val="Normal"/>
    <w:link w:val="BalloonTextChar"/>
    <w:uiPriority w:val="99"/>
    <w:semiHidden/>
    <w:unhideWhenUsed/>
    <w:rsid w:val="005F79A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9AB"/>
    <w:rPr>
      <w:rFonts w:ascii="Segoe UI" w:hAnsi="Segoe UI" w:cs="Segoe UI"/>
      <w:sz w:val="18"/>
      <w:szCs w:val="18"/>
      <w:lang w:val="el-GR"/>
    </w:rPr>
  </w:style>
  <w:style w:type="paragraph" w:styleId="Revision">
    <w:name w:val="Revision"/>
    <w:hidden/>
    <w:uiPriority w:val="99"/>
    <w:semiHidden/>
    <w:rsid w:val="00090F84"/>
    <w:pPr>
      <w:spacing w:after="0" w:line="240" w:lineRule="auto"/>
    </w:pPr>
    <w:rPr>
      <w:rFonts w:ascii="Times New Roman" w:hAnsi="Times New Roman" w:cs="Times New Roman"/>
      <w:sz w:val="24"/>
    </w:rPr>
  </w:style>
  <w:style w:type="character" w:styleId="FollowedHyperlink">
    <w:name w:val="FollowedHyperlink"/>
    <w:basedOn w:val="DefaultParagraphFont"/>
    <w:uiPriority w:val="99"/>
    <w:semiHidden/>
    <w:unhideWhenUsed/>
    <w:rsid w:val="00426704"/>
    <w:rPr>
      <w:color w:val="800080" w:themeColor="followedHyperlink"/>
      <w:u w:val="single"/>
    </w:rPr>
  </w:style>
  <w:style w:type="paragraph" w:styleId="Header">
    <w:name w:val="header"/>
    <w:basedOn w:val="Normal"/>
    <w:link w:val="HeaderChar"/>
    <w:uiPriority w:val="99"/>
    <w:unhideWhenUsed/>
    <w:rsid w:val="00B65045"/>
    <w:pPr>
      <w:tabs>
        <w:tab w:val="center" w:pos="4535"/>
        <w:tab w:val="right" w:pos="9071"/>
      </w:tabs>
      <w:spacing w:before="0"/>
    </w:pPr>
  </w:style>
  <w:style w:type="character" w:customStyle="1" w:styleId="HeaderChar">
    <w:name w:val="Header Char"/>
    <w:basedOn w:val="DefaultParagraphFont"/>
    <w:link w:val="Header"/>
    <w:uiPriority w:val="99"/>
    <w:rsid w:val="00B65045"/>
    <w:rPr>
      <w:rFonts w:ascii="Times New Roman" w:hAnsi="Times New Roman" w:cs="Times New Roman"/>
      <w:sz w:val="24"/>
      <w:lang w:val="el-GR"/>
    </w:rPr>
  </w:style>
  <w:style w:type="paragraph" w:styleId="Footer">
    <w:name w:val="footer"/>
    <w:basedOn w:val="Normal"/>
    <w:link w:val="FooterChar"/>
    <w:uiPriority w:val="99"/>
    <w:unhideWhenUsed/>
    <w:rsid w:val="00B65045"/>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B65045"/>
    <w:rPr>
      <w:rFonts w:ascii="Times New Roman" w:hAnsi="Times New Roman" w:cs="Times New Roman"/>
      <w:sz w:val="24"/>
      <w:lang w:val="el-GR"/>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B65045"/>
    <w:pPr>
      <w:tabs>
        <w:tab w:val="center" w:pos="7285"/>
        <w:tab w:val="right" w:pos="14003"/>
      </w:tabs>
      <w:spacing w:before="0"/>
    </w:pPr>
  </w:style>
  <w:style w:type="paragraph" w:customStyle="1" w:styleId="FooterLandscape">
    <w:name w:val="FooterLandscape"/>
    <w:basedOn w:val="Normal"/>
    <w:rsid w:val="00B65045"/>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B65045"/>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B65045"/>
    <w:pPr>
      <w:spacing w:before="0"/>
      <w:jc w:val="right"/>
    </w:pPr>
    <w:rPr>
      <w:sz w:val="28"/>
    </w:rPr>
  </w:style>
  <w:style w:type="paragraph" w:customStyle="1" w:styleId="FooterSensitivity">
    <w:name w:val="Footer Sensitivity"/>
    <w:basedOn w:val="Normal"/>
    <w:rsid w:val="00B65045"/>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0"/>
      </w:numPr>
    </w:pPr>
  </w:style>
  <w:style w:type="paragraph" w:customStyle="1" w:styleId="Tiret1">
    <w:name w:val="Tiret 1"/>
    <w:basedOn w:val="Point1"/>
    <w:rsid w:val="009B7138"/>
    <w:pPr>
      <w:numPr>
        <w:numId w:val="11"/>
      </w:numPr>
    </w:pPr>
  </w:style>
  <w:style w:type="paragraph" w:customStyle="1" w:styleId="Tiret2">
    <w:name w:val="Tiret 2"/>
    <w:basedOn w:val="Point2"/>
    <w:rsid w:val="009B7138"/>
    <w:pPr>
      <w:numPr>
        <w:numId w:val="12"/>
      </w:numPr>
    </w:pPr>
  </w:style>
  <w:style w:type="paragraph" w:customStyle="1" w:styleId="Tiret3">
    <w:name w:val="Tiret 3"/>
    <w:basedOn w:val="Point3"/>
    <w:rsid w:val="009B7138"/>
    <w:pPr>
      <w:numPr>
        <w:numId w:val="13"/>
      </w:numPr>
    </w:pPr>
  </w:style>
  <w:style w:type="paragraph" w:customStyle="1" w:styleId="Tiret4">
    <w:name w:val="Tiret 4"/>
    <w:basedOn w:val="Point4"/>
    <w:rsid w:val="009B7138"/>
    <w:pPr>
      <w:numPr>
        <w:numId w:val="1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0"/>
      </w:numPr>
    </w:pPr>
  </w:style>
  <w:style w:type="paragraph" w:customStyle="1" w:styleId="NumPar2">
    <w:name w:val="NumPar 2"/>
    <w:basedOn w:val="Normal"/>
    <w:next w:val="Text1"/>
    <w:rsid w:val="009B7138"/>
    <w:pPr>
      <w:numPr>
        <w:ilvl w:val="1"/>
        <w:numId w:val="30"/>
      </w:numPr>
    </w:pPr>
  </w:style>
  <w:style w:type="paragraph" w:customStyle="1" w:styleId="NumPar3">
    <w:name w:val="NumPar 3"/>
    <w:basedOn w:val="Normal"/>
    <w:next w:val="Text1"/>
    <w:rsid w:val="009B7138"/>
    <w:pPr>
      <w:numPr>
        <w:ilvl w:val="2"/>
        <w:numId w:val="30"/>
      </w:numPr>
    </w:pPr>
  </w:style>
  <w:style w:type="paragraph" w:customStyle="1" w:styleId="NumPar4">
    <w:name w:val="NumPar 4"/>
    <w:basedOn w:val="Normal"/>
    <w:next w:val="Text1"/>
    <w:rsid w:val="009B7138"/>
    <w:pPr>
      <w:numPr>
        <w:ilvl w:val="3"/>
        <w:numId w:val="30"/>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7"/>
      </w:numPr>
    </w:pPr>
  </w:style>
  <w:style w:type="paragraph" w:customStyle="1" w:styleId="Point1number">
    <w:name w:val="Point 1 (number)"/>
    <w:basedOn w:val="Normal"/>
    <w:rsid w:val="009B7138"/>
    <w:pPr>
      <w:numPr>
        <w:ilvl w:val="2"/>
        <w:numId w:val="17"/>
      </w:numPr>
    </w:pPr>
  </w:style>
  <w:style w:type="paragraph" w:customStyle="1" w:styleId="Point2number">
    <w:name w:val="Point 2 (number)"/>
    <w:basedOn w:val="Normal"/>
    <w:rsid w:val="009B7138"/>
    <w:pPr>
      <w:numPr>
        <w:ilvl w:val="4"/>
        <w:numId w:val="17"/>
      </w:numPr>
    </w:pPr>
  </w:style>
  <w:style w:type="paragraph" w:customStyle="1" w:styleId="Point3number">
    <w:name w:val="Point 3 (number)"/>
    <w:basedOn w:val="Normal"/>
    <w:rsid w:val="009B7138"/>
    <w:pPr>
      <w:numPr>
        <w:ilvl w:val="6"/>
        <w:numId w:val="17"/>
      </w:numPr>
    </w:pPr>
  </w:style>
  <w:style w:type="paragraph" w:customStyle="1" w:styleId="Point0letter">
    <w:name w:val="Point 0 (letter)"/>
    <w:basedOn w:val="Normal"/>
    <w:rsid w:val="009B7138"/>
    <w:pPr>
      <w:numPr>
        <w:ilvl w:val="1"/>
        <w:numId w:val="17"/>
      </w:numPr>
    </w:pPr>
  </w:style>
  <w:style w:type="paragraph" w:customStyle="1" w:styleId="Point1letter">
    <w:name w:val="Point 1 (letter)"/>
    <w:basedOn w:val="Normal"/>
    <w:rsid w:val="009B7138"/>
    <w:pPr>
      <w:numPr>
        <w:ilvl w:val="3"/>
        <w:numId w:val="17"/>
      </w:numPr>
    </w:pPr>
  </w:style>
  <w:style w:type="paragraph" w:customStyle="1" w:styleId="Point2letter">
    <w:name w:val="Point 2 (letter)"/>
    <w:basedOn w:val="Normal"/>
    <w:rsid w:val="009B7138"/>
    <w:pPr>
      <w:numPr>
        <w:ilvl w:val="5"/>
        <w:numId w:val="17"/>
      </w:numPr>
    </w:pPr>
  </w:style>
  <w:style w:type="paragraph" w:customStyle="1" w:styleId="Point3letter">
    <w:name w:val="Point 3 (letter)"/>
    <w:basedOn w:val="Normal"/>
    <w:rsid w:val="009B7138"/>
    <w:pPr>
      <w:numPr>
        <w:ilvl w:val="7"/>
        <w:numId w:val="17"/>
      </w:numPr>
    </w:pPr>
  </w:style>
  <w:style w:type="paragraph" w:customStyle="1" w:styleId="Point4letter">
    <w:name w:val="Point 4 (letter)"/>
    <w:basedOn w:val="Normal"/>
    <w:rsid w:val="009B7138"/>
    <w:pPr>
      <w:numPr>
        <w:ilvl w:val="8"/>
        <w:numId w:val="17"/>
      </w:numPr>
    </w:pPr>
  </w:style>
  <w:style w:type="paragraph" w:customStyle="1" w:styleId="Bullet0">
    <w:name w:val="Bullet 0"/>
    <w:basedOn w:val="Normal"/>
    <w:rsid w:val="009B7138"/>
    <w:pPr>
      <w:numPr>
        <w:numId w:val="18"/>
      </w:numPr>
    </w:pPr>
  </w:style>
  <w:style w:type="paragraph" w:customStyle="1" w:styleId="Bullet1">
    <w:name w:val="Bullet 1"/>
    <w:basedOn w:val="Normal"/>
    <w:rsid w:val="009B7138"/>
    <w:pPr>
      <w:numPr>
        <w:numId w:val="19"/>
      </w:numPr>
    </w:pPr>
  </w:style>
  <w:style w:type="paragraph" w:customStyle="1" w:styleId="Bullet2">
    <w:name w:val="Bullet 2"/>
    <w:basedOn w:val="Normal"/>
    <w:rsid w:val="009B7138"/>
    <w:pPr>
      <w:numPr>
        <w:numId w:val="20"/>
      </w:numPr>
    </w:pPr>
  </w:style>
  <w:style w:type="paragraph" w:customStyle="1" w:styleId="Bullet3">
    <w:name w:val="Bullet 3"/>
    <w:basedOn w:val="Normal"/>
    <w:rsid w:val="009B7138"/>
    <w:pPr>
      <w:numPr>
        <w:numId w:val="21"/>
      </w:numPr>
    </w:pPr>
  </w:style>
  <w:style w:type="paragraph" w:customStyle="1" w:styleId="Bullet4">
    <w:name w:val="Bullet 4"/>
    <w:basedOn w:val="Normal"/>
    <w:rsid w:val="009B7138"/>
    <w:pPr>
      <w:numPr>
        <w:numId w:val="2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 w:type="character" w:customStyle="1" w:styleId="Heading5Char">
    <w:name w:val="Heading 5 Char"/>
    <w:basedOn w:val="DefaultParagraphFont"/>
    <w:link w:val="Heading5"/>
    <w:uiPriority w:val="9"/>
    <w:semiHidden/>
    <w:rsid w:val="00ED66F1"/>
    <w:rPr>
      <w:rFonts w:ascii="Times New Roman" w:eastAsiaTheme="majorEastAsia" w:hAnsi="Times New Roman" w:cs="Times New Roman"/>
      <w:sz w:val="24"/>
      <w:lang w:val="el-GR"/>
    </w:rPr>
  </w:style>
  <w:style w:type="character" w:customStyle="1" w:styleId="Heading6Char">
    <w:name w:val="Heading 6 Char"/>
    <w:basedOn w:val="DefaultParagraphFont"/>
    <w:link w:val="Heading6"/>
    <w:uiPriority w:val="9"/>
    <w:semiHidden/>
    <w:rsid w:val="00ED66F1"/>
    <w:rPr>
      <w:rFonts w:ascii="Times New Roman" w:eastAsiaTheme="majorEastAsia" w:hAnsi="Times New Roman" w:cs="Times New Roman"/>
      <w:iCs/>
      <w:sz w:val="24"/>
      <w:lang w:val="el-GR"/>
    </w:rPr>
  </w:style>
  <w:style w:type="character" w:customStyle="1" w:styleId="Heading7Char">
    <w:name w:val="Heading 7 Char"/>
    <w:basedOn w:val="DefaultParagraphFont"/>
    <w:link w:val="Heading7"/>
    <w:uiPriority w:val="9"/>
    <w:semiHidden/>
    <w:rsid w:val="00ED66F1"/>
    <w:rPr>
      <w:rFonts w:ascii="Times New Roman" w:eastAsiaTheme="majorEastAsia" w:hAnsi="Times New Roman" w:cs="Times New Roman"/>
      <w:iCs/>
      <w:sz w:val="24"/>
      <w:lang w:val="el-GR"/>
    </w:rPr>
  </w:style>
  <w:style w:type="paragraph" w:customStyle="1" w:styleId="ManualHeading5">
    <w:name w:val="Manual Heading 5"/>
    <w:basedOn w:val="Normal"/>
    <w:next w:val="Text2"/>
    <w:rsid w:val="00ED66F1"/>
    <w:pPr>
      <w:keepNext/>
      <w:tabs>
        <w:tab w:val="left" w:pos="1417"/>
      </w:tabs>
      <w:ind w:left="1417" w:hanging="1417"/>
      <w:outlineLvl w:val="4"/>
    </w:pPr>
  </w:style>
  <w:style w:type="paragraph" w:customStyle="1" w:styleId="ManualHeading6">
    <w:name w:val="Manual Heading 6"/>
    <w:basedOn w:val="Normal"/>
    <w:next w:val="Text2"/>
    <w:rsid w:val="00ED66F1"/>
    <w:pPr>
      <w:keepNext/>
      <w:tabs>
        <w:tab w:val="left" w:pos="1417"/>
      </w:tabs>
      <w:ind w:left="1417" w:hanging="1417"/>
      <w:outlineLvl w:val="5"/>
    </w:pPr>
  </w:style>
  <w:style w:type="paragraph" w:customStyle="1" w:styleId="ManualHeading7">
    <w:name w:val="Manual Heading 7"/>
    <w:basedOn w:val="Normal"/>
    <w:next w:val="Text2"/>
    <w:rsid w:val="00ED66F1"/>
    <w:pPr>
      <w:keepNext/>
      <w:tabs>
        <w:tab w:val="left" w:pos="1417"/>
      </w:tabs>
      <w:ind w:left="1417" w:hanging="1417"/>
      <w:outlineLvl w:val="6"/>
    </w:pPr>
  </w:style>
  <w:style w:type="paragraph" w:customStyle="1" w:styleId="Text5">
    <w:name w:val="Text 5"/>
    <w:basedOn w:val="Normal"/>
    <w:rsid w:val="00ED66F1"/>
    <w:pPr>
      <w:ind w:left="3118"/>
    </w:pPr>
  </w:style>
  <w:style w:type="paragraph" w:customStyle="1" w:styleId="Text6">
    <w:name w:val="Text 6"/>
    <w:basedOn w:val="Normal"/>
    <w:rsid w:val="00ED66F1"/>
    <w:pPr>
      <w:ind w:left="3685"/>
    </w:pPr>
  </w:style>
  <w:style w:type="paragraph" w:customStyle="1" w:styleId="Point5">
    <w:name w:val="Point 5"/>
    <w:basedOn w:val="Normal"/>
    <w:rsid w:val="00ED66F1"/>
    <w:pPr>
      <w:ind w:left="3685" w:hanging="567"/>
    </w:pPr>
  </w:style>
  <w:style w:type="paragraph" w:customStyle="1" w:styleId="Tiret5">
    <w:name w:val="Tiret 5"/>
    <w:basedOn w:val="Point5"/>
    <w:rsid w:val="00ED66F1"/>
    <w:pPr>
      <w:numPr>
        <w:numId w:val="27"/>
      </w:numPr>
    </w:pPr>
  </w:style>
  <w:style w:type="paragraph" w:customStyle="1" w:styleId="NumPar5">
    <w:name w:val="NumPar 5"/>
    <w:basedOn w:val="Normal"/>
    <w:next w:val="Text2"/>
    <w:rsid w:val="00ED66F1"/>
    <w:pPr>
      <w:numPr>
        <w:ilvl w:val="4"/>
        <w:numId w:val="30"/>
      </w:numPr>
    </w:pPr>
  </w:style>
  <w:style w:type="paragraph" w:customStyle="1" w:styleId="NumPar6">
    <w:name w:val="NumPar 6"/>
    <w:basedOn w:val="Normal"/>
    <w:next w:val="Text2"/>
    <w:rsid w:val="00ED66F1"/>
    <w:pPr>
      <w:numPr>
        <w:ilvl w:val="5"/>
        <w:numId w:val="30"/>
      </w:numPr>
    </w:pPr>
  </w:style>
  <w:style w:type="paragraph" w:customStyle="1" w:styleId="NumPar7">
    <w:name w:val="NumPar 7"/>
    <w:basedOn w:val="Normal"/>
    <w:next w:val="Text2"/>
    <w:rsid w:val="00ED66F1"/>
    <w:pPr>
      <w:numPr>
        <w:ilvl w:val="6"/>
        <w:numId w:val="30"/>
      </w:numPr>
    </w:pPr>
  </w:style>
  <w:style w:type="paragraph" w:customStyle="1" w:styleId="ManualNumPar5">
    <w:name w:val="Manual NumPar 5"/>
    <w:basedOn w:val="Normal"/>
    <w:next w:val="Text2"/>
    <w:rsid w:val="00ED66F1"/>
    <w:pPr>
      <w:ind w:left="1417" w:hanging="1417"/>
    </w:pPr>
  </w:style>
  <w:style w:type="paragraph" w:customStyle="1" w:styleId="ManualNumPar6">
    <w:name w:val="Manual NumPar 6"/>
    <w:basedOn w:val="Normal"/>
    <w:next w:val="Text2"/>
    <w:rsid w:val="00ED66F1"/>
    <w:pPr>
      <w:ind w:left="1417" w:hanging="1417"/>
    </w:pPr>
  </w:style>
  <w:style w:type="paragraph" w:customStyle="1" w:styleId="ManualNumPar7">
    <w:name w:val="Manual NumPar 7"/>
    <w:basedOn w:val="Normal"/>
    <w:next w:val="Text2"/>
    <w:rsid w:val="00ED66F1"/>
    <w:pPr>
      <w:ind w:left="1417" w:hanging="14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56">
      <w:bodyDiv w:val="1"/>
      <w:marLeft w:val="0"/>
      <w:marRight w:val="0"/>
      <w:marTop w:val="0"/>
      <w:marBottom w:val="0"/>
      <w:divBdr>
        <w:top w:val="none" w:sz="0" w:space="0" w:color="auto"/>
        <w:left w:val="none" w:sz="0" w:space="0" w:color="auto"/>
        <w:bottom w:val="none" w:sz="0" w:space="0" w:color="auto"/>
        <w:right w:val="none" w:sz="0" w:space="0" w:color="auto"/>
      </w:divBdr>
    </w:div>
    <w:div w:id="13444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3</Pages>
  <Words>479</Words>
  <Characters>2873</Characters>
  <Application>Microsoft Office Word</Application>
  <DocSecurity>0</DocSecurity>
  <Lines>62</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VAPPER Rea (FISMA)</dc:creator>
  <cp:keywords/>
  <dc:description/>
  <cp:lastModifiedBy>VAPPER Rea (FISMA)</cp:lastModifiedBy>
  <cp:revision>2</cp:revision>
  <dcterms:created xsi:type="dcterms:W3CDTF">2022-03-08T14:33:00Z</dcterms:created>
  <dcterms:modified xsi:type="dcterms:W3CDTF">2022-03-08T14:33:00Z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