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„II PRIEDAS</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Nurodymai</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3A7CA2AA" w14:textId="3B804321" w:rsidR="005E1A1B"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344380" w:history="1">
        <w:r w:rsidR="005E1A1B" w:rsidRPr="001E05C9">
          <w:rPr>
            <w:rStyle w:val="Hyperlink"/>
            <w:rFonts w:ascii="Times New Roman" w:hAnsi="Times New Roman" w:cs="Times New Roman"/>
          </w:rPr>
          <w:t>I.</w:t>
        </w:r>
        <w:r w:rsidR="005E1A1B">
          <w:rPr>
            <w:lang w:val="en-US"/>
          </w:rPr>
          <w:tab/>
        </w:r>
        <w:r w:rsidR="005E1A1B" w:rsidRPr="001E05C9">
          <w:rPr>
            <w:rStyle w:val="Hyperlink"/>
            <w:rFonts w:ascii="Times New Roman" w:hAnsi="Times New Roman"/>
          </w:rPr>
          <w:t>Bendrieji nurodymai</w:t>
        </w:r>
        <w:r w:rsidR="005E1A1B">
          <w:rPr>
            <w:webHidden/>
          </w:rPr>
          <w:tab/>
        </w:r>
        <w:r w:rsidR="005E1A1B">
          <w:rPr>
            <w:webHidden/>
          </w:rPr>
          <w:fldChar w:fldCharType="begin"/>
        </w:r>
        <w:r w:rsidR="005E1A1B">
          <w:rPr>
            <w:webHidden/>
          </w:rPr>
          <w:instrText xml:space="preserve"> PAGEREF _Toc96344380 \h </w:instrText>
        </w:r>
        <w:r w:rsidR="005E1A1B">
          <w:rPr>
            <w:webHidden/>
          </w:rPr>
        </w:r>
        <w:r w:rsidR="005E1A1B">
          <w:rPr>
            <w:webHidden/>
          </w:rPr>
          <w:fldChar w:fldCharType="separate"/>
        </w:r>
        <w:r w:rsidR="005E1A1B">
          <w:rPr>
            <w:webHidden/>
          </w:rPr>
          <w:t>2</w:t>
        </w:r>
        <w:r w:rsidR="005E1A1B">
          <w:rPr>
            <w:webHidden/>
          </w:rPr>
          <w:fldChar w:fldCharType="end"/>
        </w:r>
      </w:hyperlink>
    </w:p>
    <w:p w14:paraId="5A793158" w14:textId="0B0702A6" w:rsidR="005E1A1B" w:rsidRDefault="006F6DA7">
      <w:pPr>
        <w:pStyle w:val="TOC2"/>
        <w:rPr>
          <w:lang w:val="en-US"/>
        </w:rPr>
      </w:pPr>
      <w:hyperlink w:anchor="_Toc96344381" w:history="1">
        <w:r w:rsidR="005E1A1B" w:rsidRPr="001E05C9">
          <w:rPr>
            <w:rStyle w:val="Hyperlink"/>
            <w:rFonts w:ascii="Times New Roman" w:hAnsi="Times New Roman" w:cs="Times New Roman"/>
          </w:rPr>
          <w:t>I.1</w:t>
        </w:r>
        <w:r w:rsidR="005E1A1B">
          <w:rPr>
            <w:lang w:val="en-US"/>
          </w:rPr>
          <w:tab/>
        </w:r>
        <w:r w:rsidR="005E1A1B" w:rsidRPr="001E05C9">
          <w:rPr>
            <w:rStyle w:val="Hyperlink"/>
            <w:rFonts w:ascii="Times New Roman" w:hAnsi="Times New Roman"/>
          </w:rPr>
          <w:t>Struktūra</w:t>
        </w:r>
        <w:r w:rsidR="005E1A1B">
          <w:rPr>
            <w:webHidden/>
          </w:rPr>
          <w:tab/>
        </w:r>
        <w:r w:rsidR="005E1A1B">
          <w:rPr>
            <w:webHidden/>
          </w:rPr>
          <w:fldChar w:fldCharType="begin"/>
        </w:r>
        <w:r w:rsidR="005E1A1B">
          <w:rPr>
            <w:webHidden/>
          </w:rPr>
          <w:instrText xml:space="preserve"> PAGEREF _Toc96344381 \h </w:instrText>
        </w:r>
        <w:r w:rsidR="005E1A1B">
          <w:rPr>
            <w:webHidden/>
          </w:rPr>
        </w:r>
        <w:r w:rsidR="005E1A1B">
          <w:rPr>
            <w:webHidden/>
          </w:rPr>
          <w:fldChar w:fldCharType="separate"/>
        </w:r>
        <w:r w:rsidR="005E1A1B">
          <w:rPr>
            <w:webHidden/>
          </w:rPr>
          <w:t>2</w:t>
        </w:r>
        <w:r w:rsidR="005E1A1B">
          <w:rPr>
            <w:webHidden/>
          </w:rPr>
          <w:fldChar w:fldCharType="end"/>
        </w:r>
      </w:hyperlink>
    </w:p>
    <w:p w14:paraId="7666D1C9" w14:textId="531C72DC" w:rsidR="005E1A1B" w:rsidRDefault="006F6DA7">
      <w:pPr>
        <w:pStyle w:val="TOC2"/>
        <w:rPr>
          <w:lang w:val="en-US"/>
        </w:rPr>
      </w:pPr>
      <w:hyperlink w:anchor="_Toc96344382" w:history="1">
        <w:r w:rsidR="005E1A1B" w:rsidRPr="001E05C9">
          <w:rPr>
            <w:rStyle w:val="Hyperlink"/>
            <w:rFonts w:ascii="Times New Roman" w:hAnsi="Times New Roman" w:cs="Times New Roman"/>
          </w:rPr>
          <w:t>I.2</w:t>
        </w:r>
        <w:r w:rsidR="005E1A1B">
          <w:rPr>
            <w:lang w:val="en-US"/>
          </w:rPr>
          <w:tab/>
        </w:r>
        <w:r w:rsidR="005E1A1B" w:rsidRPr="001E05C9">
          <w:rPr>
            <w:rStyle w:val="Hyperlink"/>
            <w:rFonts w:ascii="Times New Roman" w:hAnsi="Times New Roman"/>
          </w:rPr>
          <w:t>Nuorodos</w:t>
        </w:r>
        <w:r w:rsidR="005E1A1B">
          <w:rPr>
            <w:webHidden/>
          </w:rPr>
          <w:tab/>
        </w:r>
        <w:r w:rsidR="005E1A1B">
          <w:rPr>
            <w:webHidden/>
          </w:rPr>
          <w:fldChar w:fldCharType="begin"/>
        </w:r>
        <w:r w:rsidR="005E1A1B">
          <w:rPr>
            <w:webHidden/>
          </w:rPr>
          <w:instrText xml:space="preserve"> PAGEREF _Toc96344382 \h </w:instrText>
        </w:r>
        <w:r w:rsidR="005E1A1B">
          <w:rPr>
            <w:webHidden/>
          </w:rPr>
        </w:r>
        <w:r w:rsidR="005E1A1B">
          <w:rPr>
            <w:webHidden/>
          </w:rPr>
          <w:fldChar w:fldCharType="separate"/>
        </w:r>
        <w:r w:rsidR="005E1A1B">
          <w:rPr>
            <w:webHidden/>
          </w:rPr>
          <w:t>2</w:t>
        </w:r>
        <w:r w:rsidR="005E1A1B">
          <w:rPr>
            <w:webHidden/>
          </w:rPr>
          <w:fldChar w:fldCharType="end"/>
        </w:r>
      </w:hyperlink>
    </w:p>
    <w:p w14:paraId="618AFD89" w14:textId="0D221FFA" w:rsidR="005E1A1B" w:rsidRDefault="006F6DA7">
      <w:pPr>
        <w:pStyle w:val="TOC2"/>
        <w:rPr>
          <w:lang w:val="en-US"/>
        </w:rPr>
      </w:pPr>
      <w:hyperlink w:anchor="_Toc96344383" w:history="1">
        <w:r w:rsidR="005E1A1B" w:rsidRPr="001E05C9">
          <w:rPr>
            <w:rStyle w:val="Hyperlink"/>
            <w:rFonts w:ascii="Times New Roman" w:hAnsi="Times New Roman" w:cs="Times New Roman"/>
          </w:rPr>
          <w:t>I.3</w:t>
        </w:r>
        <w:r w:rsidR="005E1A1B">
          <w:rPr>
            <w:lang w:val="en-US"/>
          </w:rPr>
          <w:tab/>
        </w:r>
        <w:r w:rsidR="005E1A1B" w:rsidRPr="001E05C9">
          <w:rPr>
            <w:rStyle w:val="Hyperlink"/>
            <w:rFonts w:ascii="Times New Roman" w:hAnsi="Times New Roman"/>
          </w:rPr>
          <w:t>Apskaitos standartai</w:t>
        </w:r>
        <w:r w:rsidR="005E1A1B">
          <w:rPr>
            <w:webHidden/>
          </w:rPr>
          <w:tab/>
        </w:r>
        <w:r w:rsidR="005E1A1B">
          <w:rPr>
            <w:webHidden/>
          </w:rPr>
          <w:fldChar w:fldCharType="begin"/>
        </w:r>
        <w:r w:rsidR="005E1A1B">
          <w:rPr>
            <w:webHidden/>
          </w:rPr>
          <w:instrText xml:space="preserve"> PAGEREF _Toc96344383 \h </w:instrText>
        </w:r>
        <w:r w:rsidR="005E1A1B">
          <w:rPr>
            <w:webHidden/>
          </w:rPr>
        </w:r>
        <w:r w:rsidR="005E1A1B">
          <w:rPr>
            <w:webHidden/>
          </w:rPr>
          <w:fldChar w:fldCharType="separate"/>
        </w:r>
        <w:r w:rsidR="005E1A1B">
          <w:rPr>
            <w:webHidden/>
          </w:rPr>
          <w:t>3</w:t>
        </w:r>
        <w:r w:rsidR="005E1A1B">
          <w:rPr>
            <w:webHidden/>
          </w:rPr>
          <w:fldChar w:fldCharType="end"/>
        </w:r>
      </w:hyperlink>
    </w:p>
    <w:p w14:paraId="2C2D51CE" w14:textId="0D74931D" w:rsidR="005E1A1B" w:rsidRDefault="006F6DA7">
      <w:pPr>
        <w:pStyle w:val="TOC2"/>
        <w:rPr>
          <w:lang w:val="en-US"/>
        </w:rPr>
      </w:pPr>
      <w:hyperlink w:anchor="_Toc96344384" w:history="1">
        <w:r w:rsidR="005E1A1B" w:rsidRPr="001E05C9">
          <w:rPr>
            <w:rStyle w:val="Hyperlink"/>
            <w:rFonts w:ascii="Times New Roman" w:hAnsi="Times New Roman" w:cs="Times New Roman"/>
          </w:rPr>
          <w:t>I.4</w:t>
        </w:r>
        <w:r w:rsidR="005E1A1B">
          <w:rPr>
            <w:lang w:val="en-US"/>
          </w:rPr>
          <w:tab/>
        </w:r>
        <w:r w:rsidR="005E1A1B" w:rsidRPr="001E05C9">
          <w:rPr>
            <w:rStyle w:val="Hyperlink"/>
            <w:rFonts w:ascii="Times New Roman" w:hAnsi="Times New Roman"/>
          </w:rPr>
          <w:t>Konsolidavimo apimtis</w:t>
        </w:r>
        <w:r w:rsidR="005E1A1B">
          <w:rPr>
            <w:webHidden/>
          </w:rPr>
          <w:tab/>
        </w:r>
        <w:r w:rsidR="005E1A1B">
          <w:rPr>
            <w:webHidden/>
          </w:rPr>
          <w:fldChar w:fldCharType="begin"/>
        </w:r>
        <w:r w:rsidR="005E1A1B">
          <w:rPr>
            <w:webHidden/>
          </w:rPr>
          <w:instrText xml:space="preserve"> PAGEREF _Toc96344384 \h </w:instrText>
        </w:r>
        <w:r w:rsidR="005E1A1B">
          <w:rPr>
            <w:webHidden/>
          </w:rPr>
        </w:r>
        <w:r w:rsidR="005E1A1B">
          <w:rPr>
            <w:webHidden/>
          </w:rPr>
          <w:fldChar w:fldCharType="separate"/>
        </w:r>
        <w:r w:rsidR="005E1A1B">
          <w:rPr>
            <w:webHidden/>
          </w:rPr>
          <w:t>3</w:t>
        </w:r>
        <w:r w:rsidR="005E1A1B">
          <w:rPr>
            <w:webHidden/>
          </w:rPr>
          <w:fldChar w:fldCharType="end"/>
        </w:r>
      </w:hyperlink>
    </w:p>
    <w:p w14:paraId="61A807ED" w14:textId="12FB2C15" w:rsidR="005E1A1B" w:rsidRDefault="006F6DA7">
      <w:pPr>
        <w:pStyle w:val="TOC2"/>
        <w:rPr>
          <w:lang w:val="en-US"/>
        </w:rPr>
      </w:pPr>
      <w:hyperlink w:anchor="_Toc96344385" w:history="1">
        <w:r w:rsidR="005E1A1B" w:rsidRPr="001E05C9">
          <w:rPr>
            <w:rStyle w:val="Hyperlink"/>
            <w:rFonts w:ascii="Times New Roman" w:hAnsi="Times New Roman" w:cs="Times New Roman"/>
          </w:rPr>
          <w:t>I.5</w:t>
        </w:r>
        <w:r w:rsidR="005E1A1B">
          <w:rPr>
            <w:lang w:val="en-US"/>
          </w:rPr>
          <w:tab/>
        </w:r>
        <w:r w:rsidR="005E1A1B" w:rsidRPr="001E05C9">
          <w:rPr>
            <w:rStyle w:val="Hyperlink"/>
            <w:rFonts w:ascii="Times New Roman" w:hAnsi="Times New Roman"/>
          </w:rPr>
          <w:t>Numeravimo ir su kitais aspektais susijusi tvarka</w:t>
        </w:r>
        <w:r w:rsidR="005E1A1B">
          <w:rPr>
            <w:webHidden/>
          </w:rPr>
          <w:tab/>
        </w:r>
        <w:r w:rsidR="005E1A1B">
          <w:rPr>
            <w:webHidden/>
          </w:rPr>
          <w:fldChar w:fldCharType="begin"/>
        </w:r>
        <w:r w:rsidR="005E1A1B">
          <w:rPr>
            <w:webHidden/>
          </w:rPr>
          <w:instrText xml:space="preserve"> PAGEREF _Toc96344385 \h </w:instrText>
        </w:r>
        <w:r w:rsidR="005E1A1B">
          <w:rPr>
            <w:webHidden/>
          </w:rPr>
        </w:r>
        <w:r w:rsidR="005E1A1B">
          <w:rPr>
            <w:webHidden/>
          </w:rPr>
          <w:fldChar w:fldCharType="separate"/>
        </w:r>
        <w:r w:rsidR="005E1A1B">
          <w:rPr>
            <w:webHidden/>
          </w:rPr>
          <w:t>3</w:t>
        </w:r>
        <w:r w:rsidR="005E1A1B">
          <w:rPr>
            <w:webHidden/>
          </w:rPr>
          <w:fldChar w:fldCharType="end"/>
        </w:r>
      </w:hyperlink>
    </w:p>
    <w:p w14:paraId="064502DE" w14:textId="76910EB1" w:rsidR="005E1A1B" w:rsidRDefault="006F6DA7">
      <w:pPr>
        <w:pStyle w:val="TOC2"/>
        <w:rPr>
          <w:lang w:val="en-US"/>
        </w:rPr>
      </w:pPr>
      <w:hyperlink w:anchor="_Toc96344386" w:history="1">
        <w:r w:rsidR="005E1A1B" w:rsidRPr="001E05C9">
          <w:rPr>
            <w:rStyle w:val="Hyperlink"/>
            <w:rFonts w:ascii="Times New Roman" w:hAnsi="Times New Roman" w:cs="Times New Roman"/>
          </w:rPr>
          <w:t>II.</w:t>
        </w:r>
        <w:r w:rsidR="005E1A1B">
          <w:rPr>
            <w:lang w:val="en-US"/>
          </w:rPr>
          <w:tab/>
        </w:r>
        <w:r w:rsidR="005E1A1B" w:rsidRPr="001E05C9">
          <w:rPr>
            <w:rStyle w:val="Hyperlink"/>
            <w:rFonts w:ascii="Times New Roman" w:hAnsi="Times New Roman"/>
          </w:rPr>
          <w:t>Su šablonu susiję nurodymai</w:t>
        </w:r>
        <w:r w:rsidR="005E1A1B">
          <w:rPr>
            <w:webHidden/>
          </w:rPr>
          <w:tab/>
        </w:r>
        <w:r w:rsidR="005E1A1B">
          <w:rPr>
            <w:webHidden/>
          </w:rPr>
          <w:fldChar w:fldCharType="begin"/>
        </w:r>
        <w:r w:rsidR="005E1A1B">
          <w:rPr>
            <w:webHidden/>
          </w:rPr>
          <w:instrText xml:space="preserve"> PAGEREF _Toc96344386 \h </w:instrText>
        </w:r>
        <w:r w:rsidR="005E1A1B">
          <w:rPr>
            <w:webHidden/>
          </w:rPr>
        </w:r>
        <w:r w:rsidR="005E1A1B">
          <w:rPr>
            <w:webHidden/>
          </w:rPr>
          <w:fldChar w:fldCharType="separate"/>
        </w:r>
        <w:r w:rsidR="005E1A1B">
          <w:rPr>
            <w:webHidden/>
          </w:rPr>
          <w:t>4</w:t>
        </w:r>
        <w:r w:rsidR="005E1A1B">
          <w:rPr>
            <w:webHidden/>
          </w:rPr>
          <w:fldChar w:fldCharType="end"/>
        </w:r>
      </w:hyperlink>
    </w:p>
    <w:p w14:paraId="208BA41D" w14:textId="48191DD8" w:rsidR="005E1A1B" w:rsidRDefault="006F6DA7">
      <w:pPr>
        <w:pStyle w:val="TOC2"/>
        <w:rPr>
          <w:lang w:val="en-US"/>
        </w:rPr>
      </w:pPr>
      <w:hyperlink w:anchor="_Toc96344387" w:history="1">
        <w:r w:rsidR="005E1A1B" w:rsidRPr="001E05C9">
          <w:rPr>
            <w:rStyle w:val="Hyperlink"/>
            <w:rFonts w:ascii="Times New Roman" w:hAnsi="Times New Roman" w:cs="Times New Roman"/>
          </w:rPr>
          <w:t>II.1</w:t>
        </w:r>
        <w:r w:rsidR="005E1A1B">
          <w:rPr>
            <w:lang w:val="en-US"/>
          </w:rPr>
          <w:tab/>
        </w:r>
        <w:r w:rsidR="005E1A1B" w:rsidRPr="001E05C9">
          <w:rPr>
            <w:rStyle w:val="Hyperlink"/>
            <w:rFonts w:ascii="Times New Roman" w:hAnsi="Times New Roman"/>
          </w:rPr>
          <w:t>Z 01.00. Organizacinė struktūra (ORG)</w:t>
        </w:r>
        <w:r w:rsidR="005E1A1B">
          <w:rPr>
            <w:webHidden/>
          </w:rPr>
          <w:tab/>
        </w:r>
        <w:r w:rsidR="005E1A1B">
          <w:rPr>
            <w:webHidden/>
          </w:rPr>
          <w:fldChar w:fldCharType="begin"/>
        </w:r>
        <w:r w:rsidR="005E1A1B">
          <w:rPr>
            <w:webHidden/>
          </w:rPr>
          <w:instrText xml:space="preserve"> PAGEREF _Toc96344387 \h </w:instrText>
        </w:r>
        <w:r w:rsidR="005E1A1B">
          <w:rPr>
            <w:webHidden/>
          </w:rPr>
        </w:r>
        <w:r w:rsidR="005E1A1B">
          <w:rPr>
            <w:webHidden/>
          </w:rPr>
          <w:fldChar w:fldCharType="separate"/>
        </w:r>
        <w:r w:rsidR="005E1A1B">
          <w:rPr>
            <w:webHidden/>
          </w:rPr>
          <w:t>4</w:t>
        </w:r>
        <w:r w:rsidR="005E1A1B">
          <w:rPr>
            <w:webHidden/>
          </w:rPr>
          <w:fldChar w:fldCharType="end"/>
        </w:r>
      </w:hyperlink>
    </w:p>
    <w:p w14:paraId="2823BF7C" w14:textId="0B683B3B" w:rsidR="005E1A1B" w:rsidRDefault="006F6DA7">
      <w:pPr>
        <w:pStyle w:val="TOC2"/>
        <w:rPr>
          <w:lang w:val="en-US"/>
        </w:rPr>
      </w:pPr>
      <w:hyperlink w:anchor="_Toc96344388" w:history="1">
        <w:r w:rsidR="005E1A1B" w:rsidRPr="001E05C9">
          <w:rPr>
            <w:rStyle w:val="Hyperlink"/>
            <w:rFonts w:ascii="Times New Roman" w:hAnsi="Times New Roman" w:cs="Times New Roman"/>
          </w:rPr>
          <w:t>II.2</w:t>
        </w:r>
        <w:r w:rsidR="005E1A1B">
          <w:rPr>
            <w:lang w:val="en-US"/>
          </w:rPr>
          <w:tab/>
        </w:r>
        <w:r w:rsidR="005E1A1B" w:rsidRPr="001E05C9">
          <w:rPr>
            <w:rStyle w:val="Hyperlink"/>
            <w:rFonts w:ascii="Times New Roman" w:hAnsi="Times New Roman"/>
          </w:rPr>
          <w:t>Z 02.00. Įsipareigojimų struktūra (LIAB)</w:t>
        </w:r>
        <w:r w:rsidR="005E1A1B">
          <w:rPr>
            <w:webHidden/>
          </w:rPr>
          <w:tab/>
        </w:r>
        <w:r w:rsidR="005E1A1B">
          <w:rPr>
            <w:webHidden/>
          </w:rPr>
          <w:fldChar w:fldCharType="begin"/>
        </w:r>
        <w:r w:rsidR="005E1A1B">
          <w:rPr>
            <w:webHidden/>
          </w:rPr>
          <w:instrText xml:space="preserve"> PAGEREF _Toc96344388 \h </w:instrText>
        </w:r>
        <w:r w:rsidR="005E1A1B">
          <w:rPr>
            <w:webHidden/>
          </w:rPr>
        </w:r>
        <w:r w:rsidR="005E1A1B">
          <w:rPr>
            <w:webHidden/>
          </w:rPr>
          <w:fldChar w:fldCharType="separate"/>
        </w:r>
        <w:r w:rsidR="005E1A1B">
          <w:rPr>
            <w:webHidden/>
          </w:rPr>
          <w:t>7</w:t>
        </w:r>
        <w:r w:rsidR="005E1A1B">
          <w:rPr>
            <w:webHidden/>
          </w:rPr>
          <w:fldChar w:fldCharType="end"/>
        </w:r>
      </w:hyperlink>
    </w:p>
    <w:p w14:paraId="7E75AE71" w14:textId="6053A6FE" w:rsidR="005E1A1B" w:rsidRDefault="006F6DA7">
      <w:pPr>
        <w:pStyle w:val="TOC2"/>
        <w:rPr>
          <w:lang w:val="en-US"/>
        </w:rPr>
      </w:pPr>
      <w:hyperlink w:anchor="_Toc96344389" w:history="1">
        <w:r w:rsidR="005E1A1B" w:rsidRPr="001E05C9">
          <w:rPr>
            <w:rStyle w:val="Hyperlink"/>
            <w:rFonts w:ascii="Times New Roman" w:hAnsi="Times New Roman" w:cs="Times New Roman"/>
          </w:rPr>
          <w:t>II.3</w:t>
        </w:r>
        <w:r w:rsidR="005E1A1B">
          <w:rPr>
            <w:lang w:val="en-US"/>
          </w:rPr>
          <w:tab/>
        </w:r>
        <w:r w:rsidR="005E1A1B" w:rsidRPr="001E05C9">
          <w:rPr>
            <w:rStyle w:val="Hyperlink"/>
            <w:rFonts w:ascii="Times New Roman" w:hAnsi="Times New Roman"/>
          </w:rPr>
          <w:t>Z 03.00. Nuosavų lėšų reikalavimai (OWN)</w:t>
        </w:r>
        <w:r w:rsidR="005E1A1B">
          <w:rPr>
            <w:webHidden/>
          </w:rPr>
          <w:tab/>
        </w:r>
        <w:r w:rsidR="005E1A1B">
          <w:rPr>
            <w:webHidden/>
          </w:rPr>
          <w:fldChar w:fldCharType="begin"/>
        </w:r>
        <w:r w:rsidR="005E1A1B">
          <w:rPr>
            <w:webHidden/>
          </w:rPr>
          <w:instrText xml:space="preserve"> PAGEREF _Toc96344389 \h </w:instrText>
        </w:r>
        <w:r w:rsidR="005E1A1B">
          <w:rPr>
            <w:webHidden/>
          </w:rPr>
        </w:r>
        <w:r w:rsidR="005E1A1B">
          <w:rPr>
            <w:webHidden/>
          </w:rPr>
          <w:fldChar w:fldCharType="separate"/>
        </w:r>
        <w:r w:rsidR="005E1A1B">
          <w:rPr>
            <w:webHidden/>
          </w:rPr>
          <w:t>14</w:t>
        </w:r>
        <w:r w:rsidR="005E1A1B">
          <w:rPr>
            <w:webHidden/>
          </w:rPr>
          <w:fldChar w:fldCharType="end"/>
        </w:r>
      </w:hyperlink>
    </w:p>
    <w:p w14:paraId="03B22050" w14:textId="4F4491C6" w:rsidR="005E1A1B" w:rsidRDefault="006F6DA7">
      <w:pPr>
        <w:pStyle w:val="TOC2"/>
        <w:rPr>
          <w:lang w:val="en-US"/>
        </w:rPr>
      </w:pPr>
      <w:hyperlink w:anchor="_Toc96344390" w:history="1">
        <w:r w:rsidR="005E1A1B" w:rsidRPr="001E05C9">
          <w:rPr>
            <w:rStyle w:val="Hyperlink"/>
            <w:rFonts w:ascii="Times New Roman" w:hAnsi="Times New Roman" w:cs="Times New Roman"/>
          </w:rPr>
          <w:t>II.4</w:t>
        </w:r>
        <w:r w:rsidR="005E1A1B">
          <w:rPr>
            <w:lang w:val="en-US"/>
          </w:rPr>
          <w:tab/>
        </w:r>
        <w:r w:rsidR="005E1A1B" w:rsidRPr="001E05C9">
          <w:rPr>
            <w:rStyle w:val="Hyperlink"/>
            <w:rFonts w:ascii="Times New Roman" w:hAnsi="Times New Roman"/>
          </w:rPr>
          <w:t>Z 04.00. Grupės vidaus finansiniai tarpusavio ryšiai (IFC)</w:t>
        </w:r>
        <w:r w:rsidR="005E1A1B">
          <w:rPr>
            <w:webHidden/>
          </w:rPr>
          <w:tab/>
        </w:r>
        <w:r w:rsidR="005E1A1B">
          <w:rPr>
            <w:webHidden/>
          </w:rPr>
          <w:fldChar w:fldCharType="begin"/>
        </w:r>
        <w:r w:rsidR="005E1A1B">
          <w:rPr>
            <w:webHidden/>
          </w:rPr>
          <w:instrText xml:space="preserve"> PAGEREF _Toc96344390 \h </w:instrText>
        </w:r>
        <w:r w:rsidR="005E1A1B">
          <w:rPr>
            <w:webHidden/>
          </w:rPr>
        </w:r>
        <w:r w:rsidR="005E1A1B">
          <w:rPr>
            <w:webHidden/>
          </w:rPr>
          <w:fldChar w:fldCharType="separate"/>
        </w:r>
        <w:r w:rsidR="005E1A1B">
          <w:rPr>
            <w:webHidden/>
          </w:rPr>
          <w:t>18</w:t>
        </w:r>
        <w:r w:rsidR="005E1A1B">
          <w:rPr>
            <w:webHidden/>
          </w:rPr>
          <w:fldChar w:fldCharType="end"/>
        </w:r>
      </w:hyperlink>
    </w:p>
    <w:p w14:paraId="638E48E5" w14:textId="5955BB3F" w:rsidR="005E1A1B" w:rsidRDefault="006F6DA7">
      <w:pPr>
        <w:pStyle w:val="TOC2"/>
        <w:rPr>
          <w:lang w:val="en-US"/>
        </w:rPr>
      </w:pPr>
      <w:hyperlink w:anchor="_Toc96344391" w:history="1">
        <w:r w:rsidR="005E1A1B" w:rsidRPr="001E05C9">
          <w:rPr>
            <w:rStyle w:val="Hyperlink"/>
            <w:rFonts w:ascii="Times New Roman" w:hAnsi="Times New Roman" w:cs="Times New Roman"/>
          </w:rPr>
          <w:t>II.5</w:t>
        </w:r>
        <w:r w:rsidR="005E1A1B">
          <w:rPr>
            <w:lang w:val="en-US"/>
          </w:rPr>
          <w:tab/>
        </w:r>
        <w:r w:rsidR="005E1A1B" w:rsidRPr="001E05C9">
          <w:rPr>
            <w:rStyle w:val="Hyperlink"/>
            <w:rFonts w:ascii="Times New Roman" w:hAnsi="Times New Roman"/>
          </w:rPr>
          <w:t>Z 05.01 ir Z 05.02. Didžiausios sandorio šalys (MCP)</w:t>
        </w:r>
        <w:r w:rsidR="005E1A1B">
          <w:rPr>
            <w:webHidden/>
          </w:rPr>
          <w:tab/>
        </w:r>
        <w:r w:rsidR="005E1A1B">
          <w:rPr>
            <w:webHidden/>
          </w:rPr>
          <w:fldChar w:fldCharType="begin"/>
        </w:r>
        <w:r w:rsidR="005E1A1B">
          <w:rPr>
            <w:webHidden/>
          </w:rPr>
          <w:instrText xml:space="preserve"> PAGEREF _Toc96344391 \h </w:instrText>
        </w:r>
        <w:r w:rsidR="005E1A1B">
          <w:rPr>
            <w:webHidden/>
          </w:rPr>
        </w:r>
        <w:r w:rsidR="005E1A1B">
          <w:rPr>
            <w:webHidden/>
          </w:rPr>
          <w:fldChar w:fldCharType="separate"/>
        </w:r>
        <w:r w:rsidR="005E1A1B">
          <w:rPr>
            <w:webHidden/>
          </w:rPr>
          <w:t>20</w:t>
        </w:r>
        <w:r w:rsidR="005E1A1B">
          <w:rPr>
            <w:webHidden/>
          </w:rPr>
          <w:fldChar w:fldCharType="end"/>
        </w:r>
      </w:hyperlink>
    </w:p>
    <w:p w14:paraId="648F5CFE" w14:textId="475F55C1" w:rsidR="005E1A1B" w:rsidRDefault="006F6DA7">
      <w:pPr>
        <w:pStyle w:val="TOC2"/>
        <w:rPr>
          <w:lang w:val="en-US"/>
        </w:rPr>
      </w:pPr>
      <w:hyperlink w:anchor="_Toc96344392" w:history="1">
        <w:r w:rsidR="005E1A1B" w:rsidRPr="001E05C9">
          <w:rPr>
            <w:rStyle w:val="Hyperlink"/>
            <w:rFonts w:ascii="Times New Roman" w:hAnsi="Times New Roman" w:cs="Times New Roman"/>
          </w:rPr>
          <w:t>II.6</w:t>
        </w:r>
        <w:r w:rsidR="005E1A1B">
          <w:rPr>
            <w:lang w:val="en-US"/>
          </w:rPr>
          <w:tab/>
        </w:r>
        <w:r w:rsidR="005E1A1B" w:rsidRPr="001E05C9">
          <w:rPr>
            <w:rStyle w:val="Hyperlink"/>
            <w:rFonts w:ascii="Times New Roman" w:hAnsi="Times New Roman"/>
          </w:rPr>
          <w:t>Z 06.00. Indėlių draudimas (DIS)</w:t>
        </w:r>
        <w:r w:rsidR="005E1A1B">
          <w:rPr>
            <w:webHidden/>
          </w:rPr>
          <w:tab/>
        </w:r>
        <w:r w:rsidR="005E1A1B">
          <w:rPr>
            <w:webHidden/>
          </w:rPr>
          <w:fldChar w:fldCharType="begin"/>
        </w:r>
        <w:r w:rsidR="005E1A1B">
          <w:rPr>
            <w:webHidden/>
          </w:rPr>
          <w:instrText xml:space="preserve"> PAGEREF _Toc96344392 \h </w:instrText>
        </w:r>
        <w:r w:rsidR="005E1A1B">
          <w:rPr>
            <w:webHidden/>
          </w:rPr>
        </w:r>
        <w:r w:rsidR="005E1A1B">
          <w:rPr>
            <w:webHidden/>
          </w:rPr>
          <w:fldChar w:fldCharType="separate"/>
        </w:r>
        <w:r w:rsidR="005E1A1B">
          <w:rPr>
            <w:webHidden/>
          </w:rPr>
          <w:t>22</w:t>
        </w:r>
        <w:r w:rsidR="005E1A1B">
          <w:rPr>
            <w:webHidden/>
          </w:rPr>
          <w:fldChar w:fldCharType="end"/>
        </w:r>
      </w:hyperlink>
    </w:p>
    <w:p w14:paraId="6AEF7A60" w14:textId="0A5E9DC9" w:rsidR="005E1A1B" w:rsidRDefault="006F6DA7">
      <w:pPr>
        <w:pStyle w:val="TOC2"/>
        <w:rPr>
          <w:lang w:val="en-US"/>
        </w:rPr>
      </w:pPr>
      <w:hyperlink w:anchor="_Toc96344393" w:history="1">
        <w:r w:rsidR="005E1A1B" w:rsidRPr="001E05C9">
          <w:rPr>
            <w:rStyle w:val="Hyperlink"/>
            <w:rFonts w:ascii="Times New Roman" w:hAnsi="Times New Roman" w:cs="Times New Roman"/>
          </w:rPr>
          <w:t>II.7</w:t>
        </w:r>
        <w:r w:rsidR="005E1A1B">
          <w:rPr>
            <w:lang w:val="en-US"/>
          </w:rPr>
          <w:tab/>
        </w:r>
        <w:r w:rsidR="005E1A1B" w:rsidRPr="001E05C9">
          <w:rPr>
            <w:rStyle w:val="Hyperlink"/>
            <w:rFonts w:ascii="Times New Roman" w:hAnsi="Times New Roman"/>
          </w:rPr>
          <w:t>Ypatingos svarbos funkcijos ir pagrindinės verslo linijos</w:t>
        </w:r>
        <w:r w:rsidR="005E1A1B">
          <w:rPr>
            <w:webHidden/>
          </w:rPr>
          <w:tab/>
        </w:r>
        <w:r w:rsidR="005E1A1B">
          <w:rPr>
            <w:webHidden/>
          </w:rPr>
          <w:fldChar w:fldCharType="begin"/>
        </w:r>
        <w:r w:rsidR="005E1A1B">
          <w:rPr>
            <w:webHidden/>
          </w:rPr>
          <w:instrText xml:space="preserve"> PAGEREF _Toc96344393 \h </w:instrText>
        </w:r>
        <w:r w:rsidR="005E1A1B">
          <w:rPr>
            <w:webHidden/>
          </w:rPr>
        </w:r>
        <w:r w:rsidR="005E1A1B">
          <w:rPr>
            <w:webHidden/>
          </w:rPr>
          <w:fldChar w:fldCharType="separate"/>
        </w:r>
        <w:r w:rsidR="005E1A1B">
          <w:rPr>
            <w:webHidden/>
          </w:rPr>
          <w:t>25</w:t>
        </w:r>
        <w:r w:rsidR="005E1A1B">
          <w:rPr>
            <w:webHidden/>
          </w:rPr>
          <w:fldChar w:fldCharType="end"/>
        </w:r>
      </w:hyperlink>
    </w:p>
    <w:p w14:paraId="0036A99E" w14:textId="5FE1A237" w:rsidR="005E1A1B" w:rsidRDefault="006F6DA7">
      <w:pPr>
        <w:pStyle w:val="TOC2"/>
        <w:rPr>
          <w:lang w:val="en-US"/>
        </w:rPr>
      </w:pPr>
      <w:hyperlink w:anchor="_Toc96344394" w:history="1">
        <w:r w:rsidR="005E1A1B" w:rsidRPr="001E05C9">
          <w:rPr>
            <w:rStyle w:val="Hyperlink"/>
            <w:rFonts w:ascii="Times New Roman" w:hAnsi="Times New Roman" w:cs="Times New Roman"/>
          </w:rPr>
          <w:t>II.8</w:t>
        </w:r>
        <w:r w:rsidR="005E1A1B">
          <w:rPr>
            <w:lang w:val="en-US"/>
          </w:rPr>
          <w:tab/>
        </w:r>
        <w:r w:rsidR="005E1A1B" w:rsidRPr="001E05C9">
          <w:rPr>
            <w:rStyle w:val="Hyperlink"/>
            <w:rFonts w:ascii="Times New Roman" w:hAnsi="Times New Roman"/>
          </w:rPr>
          <w:t>Z 08.00. Ypatingos svarbos paslaugos (SERV)</w:t>
        </w:r>
        <w:r w:rsidR="005E1A1B">
          <w:rPr>
            <w:webHidden/>
          </w:rPr>
          <w:tab/>
        </w:r>
        <w:r w:rsidR="005E1A1B">
          <w:rPr>
            <w:webHidden/>
          </w:rPr>
          <w:fldChar w:fldCharType="begin"/>
        </w:r>
        <w:r w:rsidR="005E1A1B">
          <w:rPr>
            <w:webHidden/>
          </w:rPr>
          <w:instrText xml:space="preserve"> PAGEREF _Toc96344394 \h </w:instrText>
        </w:r>
        <w:r w:rsidR="005E1A1B">
          <w:rPr>
            <w:webHidden/>
          </w:rPr>
        </w:r>
        <w:r w:rsidR="005E1A1B">
          <w:rPr>
            <w:webHidden/>
          </w:rPr>
          <w:fldChar w:fldCharType="separate"/>
        </w:r>
        <w:r w:rsidR="005E1A1B">
          <w:rPr>
            <w:webHidden/>
          </w:rPr>
          <w:t>34</w:t>
        </w:r>
        <w:r w:rsidR="005E1A1B">
          <w:rPr>
            <w:webHidden/>
          </w:rPr>
          <w:fldChar w:fldCharType="end"/>
        </w:r>
      </w:hyperlink>
    </w:p>
    <w:p w14:paraId="4C15C5E0" w14:textId="6213D592" w:rsidR="005E1A1B" w:rsidRDefault="006F6DA7">
      <w:pPr>
        <w:pStyle w:val="TOC2"/>
        <w:rPr>
          <w:lang w:val="en-US"/>
        </w:rPr>
      </w:pPr>
      <w:hyperlink w:anchor="_Toc96344395" w:history="1">
        <w:r w:rsidR="005E1A1B" w:rsidRPr="001E05C9">
          <w:rPr>
            <w:rStyle w:val="Hyperlink"/>
            <w:rFonts w:ascii="Times New Roman" w:hAnsi="Times New Roman" w:cs="Times New Roman"/>
          </w:rPr>
          <w:t>II.9</w:t>
        </w:r>
        <w:r w:rsidR="005E1A1B">
          <w:rPr>
            <w:lang w:val="en-US"/>
          </w:rPr>
          <w:tab/>
        </w:r>
        <w:r w:rsidR="005E1A1B" w:rsidRPr="001E05C9">
          <w:rPr>
            <w:rStyle w:val="Hyperlink"/>
            <w:rFonts w:ascii="Times New Roman" w:hAnsi="Times New Roman"/>
          </w:rPr>
          <w:t>Z 09.00. Finansų rinkos infrastruktūros paslaugos: teikėjai ir naudotojai. Susiejimas su ypatingos svarbos funkcijomis</w:t>
        </w:r>
        <w:r w:rsidR="005E1A1B">
          <w:rPr>
            <w:webHidden/>
          </w:rPr>
          <w:tab/>
        </w:r>
        <w:r w:rsidR="005E1A1B">
          <w:rPr>
            <w:webHidden/>
          </w:rPr>
          <w:fldChar w:fldCharType="begin"/>
        </w:r>
        <w:r w:rsidR="005E1A1B">
          <w:rPr>
            <w:webHidden/>
          </w:rPr>
          <w:instrText xml:space="preserve"> PAGEREF _Toc96344395 \h </w:instrText>
        </w:r>
        <w:r w:rsidR="005E1A1B">
          <w:rPr>
            <w:webHidden/>
          </w:rPr>
        </w:r>
        <w:r w:rsidR="005E1A1B">
          <w:rPr>
            <w:webHidden/>
          </w:rPr>
          <w:fldChar w:fldCharType="separate"/>
        </w:r>
        <w:r w:rsidR="005E1A1B">
          <w:rPr>
            <w:webHidden/>
          </w:rPr>
          <w:t>38</w:t>
        </w:r>
        <w:r w:rsidR="005E1A1B">
          <w:rPr>
            <w:webHidden/>
          </w:rPr>
          <w:fldChar w:fldCharType="end"/>
        </w:r>
      </w:hyperlink>
    </w:p>
    <w:p w14:paraId="7A54F40C" w14:textId="42178C6C" w:rsidR="005E1A1B" w:rsidRDefault="006F6DA7">
      <w:pPr>
        <w:pStyle w:val="TOC2"/>
        <w:rPr>
          <w:lang w:val="en-US"/>
        </w:rPr>
      </w:pPr>
      <w:hyperlink w:anchor="_Toc96344396" w:history="1">
        <w:r w:rsidR="005E1A1B" w:rsidRPr="001E05C9">
          <w:rPr>
            <w:rStyle w:val="Hyperlink"/>
            <w:rFonts w:ascii="Times New Roman" w:hAnsi="Times New Roman" w:cs="Times New Roman"/>
          </w:rPr>
          <w:t>II.10</w:t>
        </w:r>
        <w:r w:rsidR="005E1A1B">
          <w:rPr>
            <w:lang w:val="en-US"/>
          </w:rPr>
          <w:tab/>
        </w:r>
        <w:r w:rsidR="005E1A1B" w:rsidRPr="001E05C9">
          <w:rPr>
            <w:rStyle w:val="Hyperlink"/>
            <w:rFonts w:ascii="Times New Roman" w:hAnsi="Times New Roman"/>
          </w:rPr>
          <w:t>Ypatingos svarbos informacinės sistemos</w:t>
        </w:r>
        <w:r w:rsidR="005E1A1B">
          <w:rPr>
            <w:webHidden/>
          </w:rPr>
          <w:tab/>
        </w:r>
        <w:r w:rsidR="005E1A1B">
          <w:rPr>
            <w:webHidden/>
          </w:rPr>
          <w:fldChar w:fldCharType="begin"/>
        </w:r>
        <w:r w:rsidR="005E1A1B">
          <w:rPr>
            <w:webHidden/>
          </w:rPr>
          <w:instrText xml:space="preserve"> PAGEREF _Toc96344396 \h </w:instrText>
        </w:r>
        <w:r w:rsidR="005E1A1B">
          <w:rPr>
            <w:webHidden/>
          </w:rPr>
        </w:r>
        <w:r w:rsidR="005E1A1B">
          <w:rPr>
            <w:webHidden/>
          </w:rPr>
          <w:fldChar w:fldCharType="separate"/>
        </w:r>
        <w:r w:rsidR="005E1A1B">
          <w:rPr>
            <w:webHidden/>
          </w:rPr>
          <w:t>40</w:t>
        </w:r>
        <w:r w:rsidR="005E1A1B">
          <w:rPr>
            <w:webHidden/>
          </w:rPr>
          <w:fldChar w:fldCharType="end"/>
        </w:r>
      </w:hyperlink>
    </w:p>
    <w:p w14:paraId="04631A3A" w14:textId="57D8FD5C"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44380"/>
      <w:r>
        <w:rPr>
          <w:rFonts w:ascii="Times New Roman" w:hAnsi="Times New Roman"/>
          <w:szCs w:val="20"/>
        </w:rPr>
        <w:lastRenderedPageBreak/>
        <w:t>Bendrieji nurodymai</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44381"/>
      <w:r>
        <w:rPr>
          <w:rFonts w:ascii="Times New Roman" w:hAnsi="Times New Roman"/>
          <w:szCs w:val="20"/>
        </w:rPr>
        <w:t>Struktūra</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Sistemą sudaro 15 šablonų, suskirstytų į 3 grupes:</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grupės „Bendroji informacija“ šablonuose apžvelgiama grupės ir jos subjektų organizacinė struktūra, turto paskirstymas ir rizikos pozicijos sumos. Šią grupę sudaro šablonas „Z 01.00. Organizacinė struktūra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grupės „Informacija apie balansinius ir nebalansinius straipsnius“ šablonuose pateikiama finansinė informacija apie įsipareigojimus, nuosavas lėšas, grupės subjektų finansinius ryšius, įsipareigojimus didžiausioms sandorio šalims ir gautus nebalansinius straipsnius iš didžiausių sandorio šalių, taip pat indėlių draudimą. Šią grupę sudaro 6 šablonai:</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Įsipareigojimų struktūra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Nuosavų lėšų reikalavimai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Grupės vidaus finansiniai tarpusavio ryšiai“;</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du didžiausioms sandorio šalims skirti šablonai – „Z 05.01. Įsipareigojimai didžiausioms sandorio šalims (Z-MCP 1)“ ir „Z 05.02. Didžiausios į balansą neįtrauktos sandorio šalys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Indėlių draudimas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grupės „Ypatingos svarbos funkcijos“ šablonuose apžvelgiamos ypatingos svarbos funkcijos ir jos susiejamos su juridiniais asmenimis, pagrindinėmis verslo linijomis, finansų rinkos infrastruktūromis ir informacinėmis sistemomis. Šią grupę sudaro 7 šablonai:</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šablonai, skirti ypatingos svarbos funkcijoms nurodyti ir susieti su pagrindinėmis verslo linijomis ir grupės subjektais: „Z 07.01. Ekonominių funkcijų ypatingos svarbos vertinimas (Z-FUNC 1)“, „Z 07.02. Ypatingos svarbos funkcijų susiejimas su juridiniais asmenimis (Z-FUNC 2)“, „Z 07.03. Pagrindinių verslo linijų susiejimas su juridiniais asmenimis (Z-FUNC 3)“ ir „Z 07.04 Ypatingos svarbos funkcijų susiejimas su pagrindinėmis verslo linijomis (Z- 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Ypatingos svarbos paslaugos (Z-SERV)“;</w:t>
      </w:r>
    </w:p>
    <w:p w14:paraId="5B48B6DD" w14:textId="14ADA74D"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w:t>
      </w:r>
      <w:r w:rsidR="005E1A1B">
        <w:rPr>
          <w:rFonts w:ascii="Times New Roman" w:hAnsi="Times New Roman"/>
          <w:color w:val="000000" w:themeColor="text1"/>
          <w:sz w:val="20"/>
          <w:szCs w:val="20"/>
        </w:rPr>
        <w:t>„</w:t>
      </w:r>
      <w:r>
        <w:rPr>
          <w:rFonts w:ascii="Times New Roman" w:hAnsi="Times New Roman"/>
          <w:color w:val="000000" w:themeColor="text1"/>
          <w:sz w:val="20"/>
          <w:szCs w:val="20"/>
        </w:rPr>
        <w:t>Z 09.00. Finansų rinkos infrastruktūros paslaugos: teikėjai ir naudotojai. Susiejimas su ypatingos svarbos funkcijomis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šablonai, skirti ypatingos svarbos informacinėms sistemoms: „Z 10.01. Ypatingos svarbos informacinės sistemos (bendroji informacija) (Z-CIS 1)“ ir „Z 10.02. Informacinių sistemų susiejimas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44382"/>
      <w:r>
        <w:rPr>
          <w:rFonts w:ascii="Times New Roman" w:hAnsi="Times New Roman"/>
          <w:szCs w:val="20"/>
        </w:rPr>
        <w:t>Nuorodos</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priede vartojamos šios santrumpos:</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BBPK – Tarptautinių atsiskaitymų banko Bazelio bankų priežiūros komitetas;</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 Tarptautinių atsiskaitymų banko Mokėjimo ir rinkos infrastruktūros komitetas;</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FINREP – Komisijos įgyvendinimo reglamento (ES) 2021/451</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III ir IV prieduose pateiktos finansinės informacijos teikimo formos ir to įgyvendinimo reglamento V priede pateikti papildomi nurodymai;</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 Komisijos įgyvendinimo reglamento (ES) 2021/451 I priedas (formos) ir II priedas (nurodymai);</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 Komisijos įgyvendinimo reglamento (ES) 2021/451 X priedas (formos) ir XI priedas (nurodymai);</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FST – Finansinio stabilumo taryba;</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TAS – tarptautiniai apskaitos standartai, nurodyti Europos Parlamento ir Tarybos reglamento (EB) Nr. 1606/2002</w:t>
      </w:r>
      <w:r>
        <w:rPr>
          <w:vertAlign w:val="superscript"/>
        </w:rPr>
        <w:footnoteReference w:id="2"/>
      </w:r>
      <w:r>
        <w:rPr>
          <w:rFonts w:ascii="Times New Roman" w:hAnsi="Times New Roman"/>
          <w:color w:val="000000" w:themeColor="text1"/>
          <w:sz w:val="20"/>
          <w:szCs w:val="20"/>
        </w:rPr>
        <w:t xml:space="preserve"> 2 straipsnyje;</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TFAS – tarptautiniai finansinės atskaitomybės standartai (TFAS), nurodyti Europos Reglamento (EB) Nr. 1606/2002 2 straipsnyje;</w:t>
      </w:r>
    </w:p>
    <w:p w14:paraId="1CC7D99A" w14:textId="19DB42F9"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 kodas – juridinio asmens identifikatorius</w:t>
      </w:r>
      <w:r>
        <w:rPr>
          <w:rStyle w:val="FootnoteReference"/>
          <w:color w:val="000000" w:themeColor="text1"/>
          <w:lang w:eastAsia="en-GB"/>
        </w:rPr>
        <w:footnoteReference w:id="3"/>
      </w:r>
      <w:r>
        <w:rPr>
          <w:rFonts w:ascii="Times New Roman" w:hAnsi="Times New Roman"/>
          <w:color w:val="000000" w:themeColor="text1"/>
          <w:sz w:val="20"/>
          <w:szCs w:val="20"/>
        </w:rPr>
        <w:t>. Jeigu konkreti sandorio šalis turi juridinio asmens identifikatorių (LEI kodą), jis naudojamas ta</w:t>
      </w:r>
      <w:r w:rsidR="00605361">
        <w:rPr>
          <w:rFonts w:ascii="Times New Roman" w:hAnsi="Times New Roman"/>
          <w:color w:val="000000" w:themeColor="text1"/>
          <w:sz w:val="20"/>
          <w:szCs w:val="20"/>
        </w:rPr>
        <w:t>i sandorio šaliai identifikuoti;</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nacionaliniai BAP arba nacionaliniai bendrieji apskaitos principai – pagal Tarybos direktyvą 86/635/EEB</w:t>
      </w:r>
      <w:r>
        <w:rPr>
          <w:rStyle w:val="FootnoteReference"/>
          <w:color w:val="000000" w:themeColor="text1"/>
          <w:lang w:eastAsia="en-GB"/>
        </w:rPr>
        <w:footnoteReference w:id="4"/>
      </w:r>
      <w:r>
        <w:rPr>
          <w:rFonts w:ascii="Times New Roman" w:hAnsi="Times New Roman"/>
          <w:color w:val="000000" w:themeColor="text1"/>
          <w:sz w:val="20"/>
          <w:szCs w:val="20"/>
        </w:rPr>
        <w:t xml:space="preserve"> parengtos nacionalinės apskaitos sistemos.</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44383"/>
      <w:r>
        <w:rPr>
          <w:rFonts w:ascii="Times New Roman" w:hAnsi="Times New Roman"/>
          <w:szCs w:val="20"/>
        </w:rPr>
        <w:t>Apskaitos standartai</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Jeigu šiame priede nenurodyta kitaip, įstaigos visas sumas pateikia pagal apskaitos sistemą, kurią jos taiko teikdamos finansinę informaciją pagal Įgyvendinimo reglamento (ES) 2021/451 9–11 straipsnius. Įstaigos, kurioms nereikia teikti finansinės informacijos pagal tą reglamentą, taiko savo atitinkamų apskaitos sistemų taisykles.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Įstaigoms, kurios teikia ataskaitas pagal TFAS, pateikiamos nuorodos į atitinkamus TFAS.</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44384"/>
      <w:r>
        <w:rPr>
          <w:rFonts w:ascii="Times New Roman" w:hAnsi="Times New Roman"/>
          <w:szCs w:val="20"/>
        </w:rPr>
        <w:t>Konsolidavimo apimtis</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Šioje sistemoje, priklausomai nuo šablono, daroma nuoroda į:</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apskaitos konsolidavimu pagrįstą konsolidavimą (subjektai, į konsoliduotąsias finansines ataskaitas įtraukti pagal taikomą apskaitos sistemą);</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rizikos ribojimu pagrįstą konsolidavimą (pagal Europos Parlamento ir Tarybos reglamento (ES) Nr. 575/2013</w:t>
      </w:r>
      <w:r>
        <w:rPr>
          <w:rStyle w:val="FootnoteReference"/>
          <w:rFonts w:ascii="Times New Roman" w:hAnsi="Times New Roman"/>
          <w:sz w:val="20"/>
          <w:szCs w:val="20"/>
        </w:rPr>
        <w:footnoteReference w:id="5"/>
      </w:r>
      <w:r>
        <w:rPr>
          <w:rFonts w:ascii="Times New Roman" w:hAnsi="Times New Roman"/>
          <w:sz w:val="20"/>
          <w:szCs w:val="20"/>
        </w:rPr>
        <w:t xml:space="preserve"> pirmos dalies II antraštinės dalies 2 skyrių konsoliduojami subjektai) Sąjungos patronuojančiosios įmonės lygmeniu;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konsolidavimą pertvarkytino subjekto lygmeniu pertvarkytinos grupės atveju.</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Teikdamos informaciją pagal kiekvieną šabloną įstaigos vadovaujasi konsolidavimo pagrindu arba pagrindais pagal šio reglamento 4 straipsnį.</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44385"/>
      <w:r>
        <w:rPr>
          <w:rFonts w:ascii="Times New Roman" w:hAnsi="Times New Roman"/>
          <w:szCs w:val="20"/>
        </w:rPr>
        <w:t>Numeravimo ir su kitais aspektais susijusi tvarka</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priede pateiktuose nurodymuose nurodant šablonų skiltis, eilutes ir laukelius taikoma toliau nurodyta žymėjimo tvarka, pagal kurią naudojami skaitiniai kodai. Šie skaitiniai kodai plačiai naudojami patvirtinimo taisyklėse.</w:t>
      </w:r>
    </w:p>
    <w:p w14:paraId="6230C6A5" w14:textId="77777777" w:rsidR="00605361" w:rsidRDefault="006A530F" w:rsidP="00C21EAE">
      <w:pPr>
        <w:pStyle w:val="InstructionsText2"/>
        <w:numPr>
          <w:ilvl w:val="0"/>
          <w:numId w:val="0"/>
        </w:numPr>
        <w:spacing w:before="0"/>
        <w:ind w:left="714"/>
        <w:rPr>
          <w:rFonts w:ascii="Times New Roman" w:hAnsi="Times New Roman"/>
          <w:sz w:val="20"/>
          <w:szCs w:val="20"/>
        </w:rPr>
      </w:pPr>
      <w:r>
        <w:rPr>
          <w:rFonts w:ascii="Times New Roman" w:hAnsi="Times New Roman"/>
          <w:sz w:val="20"/>
          <w:szCs w:val="20"/>
        </w:rPr>
        <w:lastRenderedPageBreak/>
        <w:t>Laikomasi šios bendros žymėjimo tvarkos:</w:t>
      </w:r>
    </w:p>
    <w:p w14:paraId="7487F452" w14:textId="3A9260FE" w:rsidR="00863EFA" w:rsidRPr="00D92B3C" w:rsidRDefault="00605361" w:rsidP="00D829EE">
      <w:pPr>
        <w:pStyle w:val="body"/>
        <w:numPr>
          <w:ilvl w:val="0"/>
          <w:numId w:val="37"/>
        </w:numPr>
        <w:rPr>
          <w:rFonts w:ascii="Times New Roman" w:hAnsi="Times New Roman" w:cs="Times New Roman"/>
          <w:sz w:val="20"/>
          <w:szCs w:val="20"/>
        </w:rPr>
      </w:pPr>
      <w:r>
        <w:rPr>
          <w:rFonts w:ascii="Times New Roman" w:hAnsi="Times New Roman"/>
          <w:sz w:val="20"/>
          <w:szCs w:val="20"/>
        </w:rPr>
        <w:t>{šablonas;eilutė;skiltis}, kai nurodomos šablono skiltys, eilutės ir laukeliai;</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{eilutė;skiltis}, kai tvirtinimas atliekamas šablone ir naudojami tik to šablono duomenų vienetai, šablonas nenurodomas;</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{šablonas;eilutė}, kai šabloną sudaro tik viena skiltis, nurodomos tik eilutės;</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žvaigždutės ženklas naudojamas, kai norima pažymėti, kad tvirtinamos anksčiau nurodytos eilutės arba skiltys.</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Jeigu informacijos elementas netaikomas subjektams, apie kuriuos teikiama ataskaita, atitinkamas laukelis paliekamas tuščias.</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Kai šiame priede pateiktuose nurodymuose minimas pirminis raktas, tai reiškia, kad daroma nuoroda į skiltį arba skiltis, kurių paskirtis – vienareikšmiškai identifikuoti visas šablono eilutes. Pirminį raktą sudaro kiekvienai šablono eilutei skirta unikali vertė. Ta vertė negali būti nulinė.</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44386"/>
      <w:r>
        <w:rPr>
          <w:rFonts w:ascii="Times New Roman" w:hAnsi="Times New Roman"/>
          <w:szCs w:val="20"/>
        </w:rPr>
        <w:t>Su šablonu susiję nurodymai</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44387"/>
      <w:bookmarkEnd w:id="10"/>
      <w:r>
        <w:rPr>
          <w:rFonts w:ascii="Times New Roman" w:hAnsi="Times New Roman"/>
          <w:szCs w:val="20"/>
        </w:rPr>
        <w:t>Z 01.00. Organizacinė struktūra (ORG)</w:t>
      </w:r>
      <w:bookmarkEnd w:id="11"/>
    </w:p>
    <w:p w14:paraId="677C5E01" w14:textId="77777777" w:rsidR="00E13CE3" w:rsidRPr="00D92B3C" w:rsidRDefault="00E13CE3" w:rsidP="00EC261B">
      <w:pPr>
        <w:pStyle w:val="Instructionsberschrift3"/>
      </w:pPr>
      <w:r>
        <w:t>Bendrosios pastabos</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Šiame šablone pateikiama grupės teisinės ir nuosavybės struktūros apžvalga. Dėl visų grupės subjektų, kurie atitinka šio reglamento 4 straipsnio 2 dalies a punkte nustatytą minimalią ribą, teikiamas vienas bendras šablonas. Šiame šablone nurodomi tik juridiniai asmenys. </w:t>
      </w:r>
    </w:p>
    <w:p w14:paraId="14ECDB9F" w14:textId="77777777" w:rsidR="00E13CE3" w:rsidRPr="00D92B3C" w:rsidRDefault="00AF189E" w:rsidP="00EC261B">
      <w:pPr>
        <w:pStyle w:val="Instructionsberschrift3"/>
      </w:pPr>
      <w:r>
        <w:t>Nurodymai dėl konkrečių pozicijų</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38"/>
        <w:gridCol w:w="8288"/>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Skiltys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Nurodymai</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Subjektas</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Pavadinimas</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Subjekto pavadinimas. Oficialus pavadinimas, nurodytas steigimo dokumentuose, įskaitant teisinę formą.</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Kodas</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Subjekto kodas. Įstaigų kodas yra 20-ies raidinių skaitinių ženklų LEI kodas. Kitų subjektų kodas yra 20-ies raidinių skaitinių ženklų LEI kodas arba, jei jo nėra, pagal Sąjungoje taikomą vienodą kodų sistemą sudarytas kodas, arba, jei jo nėra – nacionalinis kodas.</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Kodas yra unikalus ir nuosekliai naudojamas visuose šablonuose. Kodas visuomet yra išreikštas tam tikra verte.</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LEI kodas</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Subjekto 20-ies raidinių skaitinių ženklų LEI kodas.</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Subjekto rūšis</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Subjekto rūšis eilės tvarka yra viena iš šių:</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„kredito įstaiga“</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prie šios kategorijos priskiriamos kredito įstaigos, apibrėžtos Reglamento (ES) Nr. 575/2013 </w:t>
            </w:r>
            <w:r>
              <w:rPr>
                <w:rFonts w:ascii="Times New Roman" w:hAnsi="Times New Roman"/>
                <w:color w:val="000000" w:themeColor="text1"/>
                <w:sz w:val="20"/>
                <w:szCs w:val="20"/>
              </w:rPr>
              <w:lastRenderedPageBreak/>
              <w:t>4 straipsnio 1 dalies 1 punkte, išskyrus Europos Parlamento ir Tarybos direktyvos 2013/36/ES</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2 straipsnio 5 dalyje nurodytus subjektus;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„investicinė įmonė, kuriai taikomas pradinio kapitalo reikalavimas, nustatytas Direktyvos 2013/36/ES 28 straipsnio 2 dalyje“</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prie šios kategorijos priskiriamos investicinės įmonės, apibrėžtos Reglamento (ES) Nr. 575/2013 4 straipsnio 1 dalies 2 punkte, kurioms taikomas Direktyvos 2013/36/ES 28 straipsnio 2 dalyje nustatytas pradinio kapitalo reikalavimas;</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„investicinė įmonė, kuriai netaikomas pradinio kapitalo reikalavimas, nustatytas Direktyvos 2013/36/ES 28 straipsnio 2 dalyje“;</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„finansų įstaiga“</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prie šios kategorijos priskiriamos finansų įstaigos, apibrėžtos Reglamento (ES) Nr. 575/2013 4 straipsnio 1 dalies 26 punkte, išskyrus tas, kurios priskiriamos prie kontroliuojančiųjų bendrovių, aprašytų e punkte;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„kontroliuojančioji bendrovė“</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prie šios kategorijos priskiriama bet kuri iš šių bendrovių:</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finansų kontroliuojančioji bendrovė, apibrėžta Reglamento (ES) Nr. 575/2013 4 straipsnio 1 dalies 20 punkte;</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mišrią veiklą vykdanti finansų kontroliuojančioji bendrovė, apibrėžta Reglamento (ES) Nr. 575/2013 4 straipsnio 1 dalies 21 punkte;</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mišrią veiklą vykdanti kontroliuojančioji bendrovė, apibrėžta Reglamento (ES) Nr. 575/2013 4 straipsnio 1 dalies 22 punkte;</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patronuojančioji finansų kontroliuojančioji bendrovė valstybėje narėje, apibrėžta Reglamento (ES) Nr. 575/2013 4 straipsnio 1 dalies 30 punkte;</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ES patronuojančioji finansų kontroliuojančioji bendrovė, apibrėžta Reglamento (ES) Nr. 575/2013 4 straipsnio 1 dalies 31 punkte;</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patronuojančioji mišrią veiklą vykdanti finansų kontroliuojančioji bendrovė valstybėje narėje, apibrėžta Reglamento (ES) Nr. 575/2013 4 straipsnio 1 dalies 32 punkte;</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ES patronuojančioji mišrią veiklą vykdanti finansų kontroliuojančioji bendrovė, apibrėžta Reglamento (ES) Nr. 575/2013 4 straipsnio 1 dalies 33 punkte;</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„draudimo įmonė“</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prie šios kategorijos priskiriamos draudimo įmonės, apibrėžtos Europos Parlamento ir Tarybos direktyvos 2009/138/EB </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13 straipsnyje;</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„kitos rūšies subjektas“, jeigu subjektas neįtrauktas nė į vieną iš pirmiau nurodytų kategorijų.</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Šalis</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Subjekto įsisteigimo šalies (valstybės narės arba trečiosios valstybės) ISO 3166-1 dviraidis kodas.</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Įtraukta į rizikos ribojimu pagrįstą konsolidavimą</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Reikia nurodyti šias santrumpas: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taip;</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ne.</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Reikalavimų netaikymas pagal KRR 7 straipsnį</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Reikia nurodyti šias santrumpas:</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jeigu kompetentinga institucija pagal Reglamento (ES) Nr. 575/2013 7 straipsnį leido netaikyti Reglamento (ES) Nr. 575/2013 6 straipsnio 1 dalies;</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priešingu atveju.</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Reikalavimų netaikymas pagal KRR 10 straipsnį</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Reikia nurodyti šias santrumpas:</w:t>
            </w:r>
          </w:p>
          <w:p w14:paraId="1A4C3190" w14:textId="48BFE70D"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jeigu kompetentinga institucija pagal Reglamento (ES) Nr. 575/2013 10 straip</w:t>
            </w:r>
            <w:r w:rsidR="00C31ED9">
              <w:rPr>
                <w:rFonts w:ascii="Times New Roman" w:hAnsi="Times New Roman"/>
                <w:color w:val="000000" w:themeColor="text1"/>
                <w:sz w:val="20"/>
                <w:szCs w:val="20"/>
              </w:rPr>
              <w:t>snį leido netaikyti reikalavimų;</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priešingu atveju.</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Visas turtas</w:t>
            </w:r>
          </w:p>
          <w:p w14:paraId="5FC57CD9" w14:textId="36C96617"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Visas turtas, kaip apibrėžta FINREP {F 01.01;380,010}</w:t>
            </w:r>
            <w:r w:rsidR="00C31ED9">
              <w:rPr>
                <w:rFonts w:ascii="Times New Roman" w:hAnsi="Times New Roman"/>
                <w:color w:val="000000" w:themeColor="text1"/>
                <w:sz w:val="20"/>
                <w:szCs w:val="20"/>
              </w:rPr>
              <w:t>.</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Bendra rizikos pozicijos suma</w:t>
            </w:r>
          </w:p>
          <w:p w14:paraId="42957D55" w14:textId="5E31EF3C"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Bendra rizikos pozicijos suma, kaip apibrėžta COREP (OF): {C 02.00;0010;0010}</w:t>
            </w:r>
            <w:r w:rsidR="00C31ED9">
              <w:rPr>
                <w:rFonts w:ascii="Times New Roman" w:hAnsi="Times New Roman"/>
                <w:color w:val="000000" w:themeColor="text1"/>
                <w:sz w:val="20"/>
                <w:szCs w:val="20"/>
              </w:rPr>
              <w:t>.</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Dėl subjektų, kurie nėra įstaigos, ir subjektų, kuriems leista netaikyti reikalavimų pagal Reglamento (ES) Nr. 575/2013 7 arba 10 straipsnį, šis straipsnis nenurodomas.</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Sverto koeficiento pozicija </w:t>
            </w:r>
          </w:p>
          <w:p w14:paraId="6A9F8E13" w14:textId="5434D7F2"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Bendra sverto koeficiento pozicija, kaip apibrėžta COREP (LR): {C 47.00;0290;0010}</w:t>
            </w:r>
            <w:r w:rsidR="00C31ED9">
              <w:rPr>
                <w:rFonts w:ascii="Times New Roman" w:hAnsi="Times New Roman"/>
                <w:color w:val="000000" w:themeColor="text1"/>
                <w:sz w:val="20"/>
                <w:szCs w:val="20"/>
              </w:rPr>
              <w:t>.</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Dėl subjektų, kurie nėra įstaigos, ir subjektų, kuriems leista netaikyti reikalavimų pagal Reglamento (ES) Nr. 575/2013 7 arba 10 straipsnį, šis straipsnis nenurodomas.</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Apskaitos standartas</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Subjekto taikomi apskaitos standartai. Reikia nurodyti šias santrumpas:</w:t>
            </w:r>
          </w:p>
          <w:p w14:paraId="152FC7DB" w14:textId="794C9DFF"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TFAS</w:t>
            </w:r>
            <w:r w:rsidR="00C31ED9">
              <w:rPr>
                <w:rFonts w:ascii="Times New Roman" w:hAnsi="Times New Roman"/>
                <w:color w:val="000000" w:themeColor="text1"/>
                <w:sz w:val="20"/>
                <w:szCs w:val="20"/>
              </w:rPr>
              <w:t>;</w:t>
            </w:r>
          </w:p>
          <w:p w14:paraId="6512DBCC" w14:textId="6E80A11C"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nacionaliniai BAP</w:t>
            </w:r>
            <w:r w:rsidR="00C31ED9">
              <w:rPr>
                <w:rFonts w:ascii="Times New Roman" w:hAnsi="Times New Roman"/>
                <w:color w:val="000000" w:themeColor="text1"/>
                <w:sz w:val="20"/>
                <w:szCs w:val="20"/>
              </w:rPr>
              <w:t>.</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Indėlis į visą konsoliduotąjį turtą</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Suma, kuria subjektas prisideda prie viso konsoliduotojo grupės, nurodytos ataskaitoje, turto.</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Indėlis į bendrą konsoliduotąją rizikos pozicijos sumą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Suma, kuria subjektas prisideda prie grupės, nurodytos ataskaitoje, bendros konsoliduotosios rizikos pozicijos sumos.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Indėlis į konsoliduotąją sverto koeficiento poziciją</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Suma, kuria subjektas prisideda prie grupės, nurodytos ataskaitoje, bendros konsoliduotosios sverto koeficiento pozicijos.</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Atitinkamas juridinis asmuo</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Nurodyti, ar subjektas yra atitinkamas juridinis asmuo pagal šio reglamento 2 straipsnyje pateiktą apibrėžtį.</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Tiesioginė patronuojančioji įmonė</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Subjekto tiesioginė patronuojančioji įmonė. Nurodoma tik tiesioginė patronuojančioji įmonė, turinti daugiau kaip 5 % subjekto balsavimo teisių.</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Jeigu subjektas turi daugiau nei vieną patronuojančiąją įmonę, nurodoma tik ta patronuojančioji įmonė, kurios kapitalo dalis (arba, jei tinkama, balsavimo teisių dalis) yra didžiausia.</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Pavadinimas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Subjekto tiesioginės patronuojančiosios įmonės pavadinimas.</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Kodas</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Tiesioginės patronuojančiosios įmonės kodas. Įstaigų kodas yra 20-ies raidinių skaitinių ženklų LEI kodas. Kitų subjektų kodas yra 20-ies raidinių skaitinių ženklų LEI kodas arba, jei jo nėra, pagal Sąjungoje taikomą vienodą kodų sistemą sudarytas kodas, arba, jei jo nėra – nacionalinis kodas.</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Kodas yra unikalus ir nuosekliai naudojamas visuose šablonuose. Kodas visuomet yra išreikštas tam tikra verte.</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LEI kodas</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Subjekto 20-ies raidinių skaitinių ženklų LEI kodas.</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Akcinis kapitalas</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Tiesioginės patronuojančiosios įmonės turimo subjekto akcinio kapitalo suma, neįskaitant rezervų.</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Turimos subjekto balsavimo teisės</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Tiesioginės patronuojančiosios įmonės turimos subjekto balsavimo teisės procentais.</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Šią informaciją reikia nurodyti, tik jeigu viena akcija neprilyginama vienam balsui (taigi balsavimo teisės nėra lygios akciniam kapitalui).</w:t>
            </w:r>
          </w:p>
        </w:tc>
      </w:tr>
    </w:tbl>
    <w:p w14:paraId="7D57015D" w14:textId="77777777" w:rsidR="00E13CE3" w:rsidRPr="005E1A1B"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44388"/>
      <w:r>
        <w:rPr>
          <w:rFonts w:ascii="Times New Roman" w:hAnsi="Times New Roman"/>
          <w:szCs w:val="20"/>
        </w:rPr>
        <w:t>Z 02.00. Įsipareigojimų struktūra (LIAB)</w:t>
      </w:r>
      <w:bookmarkEnd w:id="12"/>
      <w:bookmarkEnd w:id="13"/>
    </w:p>
    <w:p w14:paraId="5599ADA4" w14:textId="77777777" w:rsidR="005B4526" w:rsidRPr="00D92B3C" w:rsidRDefault="005B4526" w:rsidP="00EC261B">
      <w:pPr>
        <w:pStyle w:val="Instructionsberschrift3"/>
      </w:pPr>
      <w:r>
        <w:t>Bendrosios pastabos</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pateikiama išsami informacija apie subjekto arba grupės įsipareigojimų struktūrą. Įsipareigojimai suskirstyti pagal įsipareigojimus, kuriems netaikoma gelbėjimo privačiomis lėšomis priemonė, ir įsipareigojimus, kuriems gelbėjimo privačiomis lėšomis priemonė taikoma. Toliau informacija suskirstoma pagal įsipareigojimų klases, sandorio šalių klases ir terminą.</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Kai šiame šablone pateikiamas termino suskirstymas, likutinis terminas yra laikas, likęs iki sutartyje nustatyto termino. Nukrypstant nuo to,</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kai įsipareigojimų priemonė apima jos turėtojo išpirkimo pasirinkimo sandorį, vykdytiną iki pradinio nurodyto tos priemonės termino, tos priemonės terminas yra anksčiausia galima data, kurią priemonės turėtojas gali įvykdyti išpirkimo pasirinkimo sandorį ir pareikalauti tos priemonės išpirkimo arba grąžinimo;</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kai įsipareigojimų priemonė apima paskatą emitentui pareikalauti priemonės, ją išpirkti, grąžinti arba atpirkti iki pradinio nurodyto tos priemonės termino, tos priemonės terminas yra anksčiausia galima data, kurią emitentas gali įvykdyti tą pasirinkimo sandorį ir pareikalauti tos priemonės išpirkimo arba grąžinimo;</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 xml:space="preserve">kai priemonė apima tokį emitento pasirinkimo pirkti sandorį, kurio įvykdymo data nenurodyta arba kai jį vykdyti galima įvykus konkretiems įvykiams, nurodoma konservatyviai įvertinta tikėtina pareikalavimo data; šiuo tikslu neatsižvelgiama į pasirinkimo pirkti sandorius dėl reguliavimo ar mokestinių priežasčių. </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Tarpinių pagrindinės sumos mokėjimų atveju pagrindinė suma padalijama ir priskiriama prie atitinkamų terminų intervalų. Kai taikoma, terminas pagrindinei sumai ir sukauptoms palūkanoms nurodomas atskirai.</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Šiame šablone nurodomos neapmokėtos sumos. Neapmokėta reikalavimo arba priemonės suma yra reikalavimo arba priemonės pagrindinės sumos ir sukauptų palūkanų suma. Mokėtina neapmokėta suma yra lygi reikalavimo, kurį kreditorius galėtų pateikti bankroto byloje, vertei.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 xml:space="preserve">Tačiau balansiniai įsipareigojimai, atsirandantys dėl išvestinių finansinių priemonių (nurodomi 0330 eilutėje) nurodomi kaip balansinės vertės. Balansinė vertė yra FINREP tikslais pagal TFAS arba nacionalinius BAP (priklausomai nuo to, kas taikoma) apibrėžta balansinė vertė. Kitu atveju naudojami duomenys pagal nacionalinių BAP ataskaitų teikimo sistemas. </w:t>
      </w:r>
    </w:p>
    <w:p w14:paraId="2CF3C59A" w14:textId="77777777" w:rsidR="00E13CE3" w:rsidRPr="00D92B3C" w:rsidRDefault="00E13CE3" w:rsidP="00EC261B">
      <w:pPr>
        <w:pStyle w:val="Instructionsberschrift3"/>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Skiltys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Nurodymai</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Namų ūkiai</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V priedo 1 dalies 42 punkto f papunktis.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Pavieniai asmenys arba asmenų grupės kaip vartotojai, vien tik savo galutiniam vartojimui skirtų prekių gamintojai ir nefinansinių paslaugų teikėjai, ir rinkos prekių gamintojai bei nefinansinių ir finansinių paslaugų teikėjai, jeigu jų veikla nėra kvazikorporacijų veikla. Šiam sektoriui priskiriamos namų ūkiams paslaugas teikiančios ne pelno institucijos, kurių pagrindinė veikla yra konkrečioms namų ūkių grupėms skirtų ne rinkos prekių gamyba ir paslaugų teikimas.</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 finansų bendrovės (MVĮ)</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2003 m. gegužės 6 d. Komisijos rekomendacijos</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xml:space="preserve"> priedo I antraštinės dalies 2 straipsnio 1 dalis; FINREP V priedo 1 dalies 5 punkto i papunktis.</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Įmonės, kuriose dirba mažiau kaip 250 asmenų ir kurių metinė apyvarta neviršija 50 mln. EUR ir (arba) metinė balanso suma neviršija 43 mln.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 finansų bendrovės (ne MVĮ)</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V priedo 1 dalies 42 punkto e papunktis.</w:t>
            </w:r>
          </w:p>
          <w:p w14:paraId="1125FBD0" w14:textId="2485342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Finansiniu tarpininkavimu nesiverčiančios bendrovės ir kvazikorporacijos, kurių pagrindinė veikla yra rinkos prekių gamyba ir nefinansinių paslaugų teikimas pagal Europos Centrinio Banko reglamentą (ES) 2021/379</w:t>
            </w:r>
            <w:r>
              <w:rPr>
                <w:rFonts w:ascii="Times New Roman" w:hAnsi="Times New Roman" w:cs="Times New Roman"/>
                <w:color w:val="000000" w:themeColor="text1"/>
                <w:sz w:val="20"/>
                <w:szCs w:val="20"/>
                <w:vertAlign w:val="superscript"/>
                <w:lang w:val="en-GB"/>
              </w:rPr>
              <w:footnoteReference w:id="9"/>
            </w:r>
            <w:r w:rsidR="00A431D9">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Neįskaitant MVĮ, apie kurias pranešta 0020 skiltyje.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Kredito įstaigos</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V priedo 1 dalies 42 punkto c papunktis.</w:t>
            </w:r>
          </w:p>
          <w:p w14:paraId="5B42C6C2" w14:textId="27E558D1" w:rsidR="0081175C" w:rsidRPr="00D92B3C" w:rsidRDefault="00F97BC8" w:rsidP="00A431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Kredito įstaigos, apibrėžt</w:t>
            </w:r>
            <w:r w:rsidR="00A431D9">
              <w:rPr>
                <w:rFonts w:ascii="Times New Roman" w:hAnsi="Times New Roman"/>
                <w:color w:val="000000" w:themeColor="text1"/>
                <w:sz w:val="20"/>
                <w:szCs w:val="20"/>
              </w:rPr>
              <w:t>os</w:t>
            </w:r>
            <w:r>
              <w:rPr>
                <w:rFonts w:ascii="Times New Roman" w:hAnsi="Times New Roman"/>
                <w:color w:val="000000" w:themeColor="text1"/>
                <w:sz w:val="20"/>
                <w:szCs w:val="20"/>
              </w:rPr>
              <w:t xml:space="preserve"> Reglamento (ES) Nr. 575/2013 4 straipsnio 1 dalies 1 punkte, ir daugiašaliai plėtros bankai.</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Kitos finansų bendrovės</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V priedo 1 dalies 42 punkto d papunktis.</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Visos finansų bendrovės ir kvazikorporacijos, išskyrus kredito įstaigas, pvz., investicinės įmonės, investicijų fondai, draudimo bendrovės, pensijų fondai, kolektyvinio investavimo subjektai ir tarpuskaitos namai, taip pat likę finansiniai tarpininkai ir finansų pagalbinės įmonės ir priklausomos finansų įstaigos bei pinigų skolintojai.</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Valdžios sektoriaus institucijos ir centriniai bankai</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V priedo 1 dalies 42 punkto a ir b papunkčiai.</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Centriniai bankai ir centrinės valdžios institucijos, valstybės arba regioninės valdžios institucijos ir vietos valdžios institucijos, įskaitant administracines įstaigas ir nekomercines įmones, bet neįskaitant šioms administracijoms priklausančių viešųjų ir privačiųjų bendrovių, kurios vykdo komercinę veiklą (apie kurias pranešama skirsniuose „kredito įstaigos“, „kitos finansų bendrovės“ arba „ne </w:t>
            </w:r>
            <w:r>
              <w:rPr>
                <w:rFonts w:ascii="Times New Roman" w:hAnsi="Times New Roman"/>
                <w:color w:val="000000" w:themeColor="text1"/>
                <w:sz w:val="20"/>
                <w:szCs w:val="20"/>
              </w:rPr>
              <w:lastRenderedPageBreak/>
              <w:t>finansų bendrovės“ priklausomai nuo jų vykdomos veiklos); socialinės apsaugos fondai ir tarptautinės organizacijos, pvz., Europos Sąjunga, Tarptautinis valiutos fondas ir Tarptautinių atsiskaitymų bankas.</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Neidentifikuota, kotiruojama prekybos vietoje</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Jeigu vertybinio popieriaus turėtojo tapatybė nežinoma dėl to, kad priemonės kotiruojamos prekybos vietoje, apibrėžtoje Europos Parlamento ir Tarybos direktyvoje 2014/65/ES</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sumos nurodomos šioje skiltyje.</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Neidentifikuota, nekotiruojama prekybos vietoje</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Jeigu vertybinio popieriaus turėtojo tapatybė nežinoma ir priemonės nėra kotiruojamos prekybos vietoje, sumos nurodomos šioje skiltyje, neskirstant pagal sandorio šalis. Subjektai deda visas pastangas, kad identifikuotų sandorio šalis ir šią skiltį naudotų kuo mažiau.</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Iš viso</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Iš jų: grupės vidaus įsipareigojimai</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Įsipareigojimai į pagrindinės patronuojančiosios įmonės konsoliduotąsias finansines ataskaitas įtrauktiems subjektams (palyginti su reguliuojamąja konsolidavimo apimtimi).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Iš jų: įsipareigojimai, reglamentuojami trečiosios valstybės teisės, išskyrus grupės vidaus įsipareigojimus</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Jie apima įsipareigojimų, kurie yra reglamentuojami trečiosios valstybės teisės ir (arba) kuriuos išleidžia trečiosiose valstybėse įsisteigę grupės subjektai, bendrąsias sumas. Grupės vidaus įsipareigojimai neįtraukiami.</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Jeigu pertvarkymo institucija patvirtino, kad pagal Europos Parlamento ir Tarybos direktyvos 2014/59/ES</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xml:space="preserve"> 55 straipsnio 1 dalies trečią pastraipą ji įsitikino, kad visi pertvarkymo institucijos sprendimai nurašyti arba konvertuoti tą įsipareigojimą būtų vykdytini pagal tos trečiosios valstybės teisę, tas įsipareigojimas šioje skiltyje nenurodomas.</w:t>
            </w:r>
          </w:p>
        </w:tc>
      </w:tr>
    </w:tbl>
    <w:p w14:paraId="784CE850" w14:textId="77777777" w:rsidR="0081175C" w:rsidRPr="005E1A1B"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Eilutės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Nurodymai</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kuriems netaikoma gelbėjimo privačiomis lėšomis priemonė</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dalyje nustatyta, kad pertvarkymo institucijos nesinaudoja nurašymo ar konvertavimo įgaliojimais šių pagal valstybės narės arba trečiosios valstybės teisę reglamentuojamų įsipareigojimų, kuriems netaikoma gelbėjimo privačiomis lėšomis priemonė, atžvilgiu.</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Apdraustieji indėliai</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Apdraustųjų indėlių suma, kaip apibrėžta Europos Parlamento ir Tarybos direktyvos 2014/49/ES</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2 straipsnio 1 dalies 5 punkte, išskyrus laikinas dideles sumas sąskaitoje, kaip nustatyta tos direktyvos 6 straipsnio 2 dalyje.</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Užtikrintieji įsipareigojimai: įkaitu užtikrinta dalis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b punktas.</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Užtikrintieji įsipareigojimų, įskaitant atpirkimo sandorius, padengtąsias obligacijas ir įsipareigojimus, kurie yra finansinių priemonių, sudarančių neatskiriamą užstato fondo dalį ir pagal nacionalinę teisę užtikrintų panašiu būdu kaip ir padengtosios obligacijos, formos.</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Nei reikalavimu užtikrinti, kad visas užtikrintas turtas, susijęs su padengtųjų obligacijų užstato fondu, būtų nepaliestas bei atskirtas ir kad jam pakaktų finansavimo, nei Direktyvos 2014/59/ES 44 straipsnio 2 dalies b punkte numatyta išimtimi neužkertamas kelias pertvarkymo institucijoms, kai tikslinga, naudotis tais įgaliojimais bet kurios užtikrintojo įsipareigojimo arba įsipareigojimo, kuris garantuojamas įkeistu įkaitu, dalies, kuri viršija turto, įkaito, sulaikymo teisės ar užtikrinimo priemonės, kuriais jis užtikrinamas, vertę, atžvilgiu. Tokia nepadengta šių užtikrintųjų įsipareigojimų dalis nurodoma ne šioje eilutėje, bet 0340 eilutėje, papildomai suskirstant.</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Įsipareigojimai centriniam bankui, padengti užtikrinimo priemonių grupe (pavyzdžiui, pagrindinės refinansavimo operacijos, ilgalaikės refinansavimo operacijos, tikslinės ilgesnės trukmės refinansavimo operacijos ir kt.), laikomi užtikrintaisiais įsipareigojimais.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Speciali įsipareigojimų rūšis – gautos ir į balansą įtrauktos įkaito pozicijos. Jeigu tokios įkaito pozicijos yra teisiškai susietos su turto pozicija, jos šioje ataskaitoje yra laikomos užtikrintaisiais įsipareigojimais.</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klientams, jeigu apsaugoti bankroto atveju</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c punktas.</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Bet kokie įsipareigojimai, atsirandantys įstaigai arba Direktyvos 2014/59/ES 1 straipsnio 1 dalies b, c arba d punkte nurodytam subjektui laikant klientų turtą arba klientų pinigus, įskaitant klientų turtą ar klientų pinigus, laikomus KIPVPS, kaip apibrėžta Europos Parlamento ir Tarybos direktyvos 2009/65/EB</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1 straipsnio 2 dalyje, arba AIF, kaip apibrėžta Europos Parlamento ir Tarybos direktyvos 2011/61/ES</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xml:space="preserve"> 4 straipsnio 1 dalies a punkte, vardu, su sąlyga, kad tokie klientai yra apsaugoti pagal taikomą bankroto teisę.</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Patikėjimo įsipareigojimai, jeigu apsaugoti bankroto atveju</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d punktas.</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Bet kokie įsipareigojimai, atsirandantys dėl patikėjimo santykių tarp įstaigos arba Direktyvos 2014/59/ES 1 straipsnio 1 dalies b, c arba d punkte nurodyto subjekto (kaip patikėtinio) ir kito asmens (kaip naudos gavėjo), su sąlyga, kad toks naudos gavėjas yra apsaugotas pagal taikomą bankroto arba civilinę teisę.</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Įsipareigojimai įstaigoms &lt; 7 dienos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e punktas.</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Įsipareigojimai įstaigoms, išskyrus tai pačiai grupei pagal apskaitos reikalavimus priklausančius subjektus, kurių pradinis terminas yra trumpesnis nei septynios dienos.</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sistemoms (sistemų valdytojams) ir PSŠ &lt; 7 dienos</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f punktas.</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Įsipareigojimai, kurių likęs terminas yra trumpesnis nei septynios dienos, pagal Europos Parlamento ir Tarybos direktyvą 98/26/EB</w:t>
            </w:r>
            <w:r>
              <w:rPr>
                <w:rStyle w:val="FootnoteReference"/>
                <w:rFonts w:eastAsia="Cambria" w:cs="Times New Roman"/>
                <w:color w:val="000000" w:themeColor="text1"/>
                <w:spacing w:val="-2"/>
                <w:w w:val="95"/>
                <w:lang w:val="en-GB"/>
              </w:rPr>
              <w:footnoteReference w:id="15"/>
            </w:r>
            <w:r>
              <w:rPr>
                <w:rFonts w:ascii="Times New Roman" w:hAnsi="Times New Roman"/>
                <w:color w:val="000000" w:themeColor="text1"/>
                <w:sz w:val="20"/>
                <w:szCs w:val="20"/>
              </w:rPr>
              <w:t xml:space="preserve"> nustatytoms sistemoms ar jų valdytojams arba dalyviams, atsirandantys dėl dalyvavimo tokioje sistemoje, arba įsipareigojimai PSŠ, kurioms Sąjungoje </w:t>
            </w:r>
            <w:r>
              <w:rPr>
                <w:rFonts w:ascii="Times New Roman" w:hAnsi="Times New Roman"/>
                <w:color w:val="000000" w:themeColor="text1"/>
                <w:sz w:val="20"/>
                <w:szCs w:val="20"/>
              </w:rPr>
              <w:lastRenderedPageBreak/>
              <w:t>suteiktas leidimas pagal Europos Parlamento ir Tarybos reglamento (ES) Nr. 648/2012</w:t>
            </w:r>
            <w:r>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xml:space="preserve"> 14 straipsnį, ir pagal to reglamento 25 straipsnį ESMA pripažintoms trečiųjų valstybių PSŠ.</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darbuotojams</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g punkto i papunktis.</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Įsipareigojimai darbuotojui, susiję su sukauptu atlyginimu, pensijos išmokomis ar kitu fiksuotuoju atlygiu, išskyrus kintamąją atlygio dalį, nereglamentuojamą kolektyvine sutartimi. Tačiau tai netaikoma didelę riziką prisiimančių darbuotojų kintamajai atlygio daliai, nustatytai Direktyvos 2013/36/ES 92 straipsnio 2 dalyje.</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kurie yra ypatingos svarbos kasdienei veiklai</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g punkto ii papunktis.</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Įsipareigojimai komerciniam arba prekybos kreditoriui, atsirandantys dėl įstaigai arba Direktyvos 2014/59/ES 1 straipsnio 1 dalies b, c arba d punkte nurodytam subjektui teikiamų prekių ar paslaugų, kurios yra ypatingos svarbos paslaugos kasdienei jų veiklai, įskaitant IT paslaugas, komunalines paslaugas ir patalpų nuomą, tvarkymą ir priežiūrą.</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mokesčių ir socialinės apsaugos institucijoms, jeigu jiems teikiama pirmenybė</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g punkto iii papunktis.</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Įsipareigojimai mokesčių ir socialinės apsaugos institucijoms, su sąlyga, kad tokiems įsipareigojimams teikiama pirmenybė pagal taikomą teisę.</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indėlių garantijų sistemoms (IGS)</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g punkto iv papunktis.</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Įsipareigojimai indėlių garantijų sistemoms, atsirandantys dėl privalomų sumokėti įnašų pagal Direktyvą 2014/49/ES.</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kitiems pertvarkytinos grupės subjektams</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44 straipsnio 2 dalies h punktas.</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Įsipareigojimai įstaigoms arba Direktyvos 2014/59/ES 1 straipsnio 1 dalies b, c arba d punkte nurodytiems subjektams, kurie priklauso tai pačiai pertvarkytinai grupei, nors patys nėra pertvarkytini subjektai, nepriklausomai nuo šių įsipareigojimų įvykdymo terminų, išskyrus atvejus, kai tie įsipareigojimai yra mažesnio prioriteto nei įprasti neužtikrinti įsipareigojimai pagal atitinkamus nacionalinės teisės aktus, kuriais reglamentuojamos įprastinės bankroto procedūros ir kurie taikytini Direktyvos 2014/59/ES perkėlimo į nacionalinę teisę dieną.</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 neįtrauktas įsipareigojimas yra išvestinių finansinių priemonių įsipareigojimas, nurodomos grynųjų įsipareigojimų pozicijos, atsižvelgiant į prudencinės užskaitos taisykles, nustatytas Reglamento (ES) Nr. 575/2013 429c straipsnyje.</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Įsipareigojimai, kuriems taikoma gelbėjimo privačiomis lėšomis priemonė</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Neapdrausti, tačiau pirmenybiniai indėliai</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2014/59/ES 108 straipsnis.</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Direktyvos 2014/49/ES 2 straipsnio 1 dalies 3 punkte apibrėžti indėliai, kurie negali būti neįtraukti į gelbėjimo privačiomis lėšomis priemonės taikymo sritį (Direktyvos 2014/59/ES 44 straipsnio 2 dalies a punktas), tačiau kuriems pagal Direktyvos 2014/59/ES 108 straipsnį numatyta taikyti lengvatinę tvarką.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Neapdrausti nepirmenybiniai indėliai</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Direktyvos 2014/49/ES 2 straipsnio 1 dalies 3 punkte apibrėžti indėliai, kurie negali būti neįtraukti į </w:t>
            </w:r>
            <w:r>
              <w:rPr>
                <w:rFonts w:ascii="Times New Roman" w:hAnsi="Times New Roman"/>
                <w:color w:val="000000" w:themeColor="text1"/>
                <w:sz w:val="20"/>
                <w:szCs w:val="20"/>
              </w:rPr>
              <w:lastRenderedPageBreak/>
              <w:t>gelbėjimo privačiomis lėšomis priemonės arba lengvatinės tvarkos taikymo sritį pagal Direktyvos 2014/59/ES 44 straipsnio 2 dalies a punktą arba 108 straipsnį.</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Balansiniai įsipareigojimai, atsirandantys dėl išvestinių finansinių priemonių</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Įsipareigojimų, atsirandančių dėl išvestinių finansinių priemonių, apskaitinė vertė.</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Grynųjų įsipareigojimų pozicijų suma, atsižvelgiant į sutartinės užskaitos grupes, pakoregavus pagal rinkos vertę, prieš įskaitant užtikrinimo priemonę</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Paprastai nurodoma išvestinių finansinių priemonių įsipareigojimų visų grynųjų rinkos verčių suma pagal sutartinės užskaitos grupę. Užskaitos grupė nurodoma, tik jeigu grynoji užskaitos grupės rinkos vertė yra įsipareigojimas. Išvestinės finansinės priemonės, kurioms netaikomi užskaitos susitarimai, laikomi vienu sandoriu, t. y. tarsi užskaitos grupę sudarytų tik viena išvestinė finansinė priemonė.</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Grynųjų įsipareigojimų pozicijų suma, atsižvelgiant į sutartinės užskaitos grupes, pakoregavus pagal rinkos vertę, įskaičius užtikrinimo priemonę</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0331 eilutėje pateiktas vertinimas koreguojamas atsižvelgiant į užtikrinimo priemonę, pateiktą šiai pozicijai užtikrinti; rezultatas – šių grynųjų rinkos verčių suma įskaičius užtikrinimo priemonę jos rinkos verte.</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Grynųjų įsipareigojimų pozicijų suma, atsižvelgiant į sutartinės užskaitos grupes, pakoregavus pagal rinkos vertę, įskaičius užtikrinimo priemonę, įtraukiant apskaičiuotas užbaigimo sumas</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Pagal Komisijos deleguotąjį reglamentą 2016/1401</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papildoma užbaigimo suma, kuria padengiama išvestinių finansinių priemonių sandorio šalių patirtų nuostolių ar išlaidų suma arba jų gauto pelno suma, susidariusi pakeičiant ar užsitikrinant nutrauktų sutarčių sąlygoms ekonomiškai lygiavertes esmines sutarčių sąlygas ir ekonomiškai lygiavertes šalių pasirinkimo teises.</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Atskirus įverčius, kurių reikia užbaigimo sumai nustatyti pagal tą deleguotąjį reglamentą, gali būti gana sunku apskaičiuoti. Todėl vietoje jų gali būti naudojamos pakaitinės vertės, kurios gali būti grindžiamos turimais duomenimis, pavyzdžiui, prudenciniais reikalavimais rinkos rizikai. Jeigu išvestinių finansinių priemonių įsipareigojimų užbaigimo sumos apskaičiuoti neįmanoma, nurodoma suma yra lygi 0332 eilutėje nurodytai sumai.</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Grynųjų įsipareigojimų pozicijų suma, atsižvelgiant į prudencinės užskaitos taisykles</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Nurodomos grynųjų įsipareigojimų pozicijos, susijusios su išvestinėmis finansinėmis priemonėmis, atsižvelgiant į prudencinės užskaitos taisykles, nustatytas Reglamento (ES) Nr. 575/2013 429c straipsnyje (susijusias su sverto koeficiento bendro pozicijų mato apskaičiavimu).</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Įkaitu neužtikrinti užtikrintieji įsipareigojimai</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Užtikrintųjų įsipareigojimų arba įsipareigojimų, kurie garantuojami įkeista užtikrinimo priemone, suma, kuri viršija turto, įkaito, sulaikymo teisės ar užtikrinimo priemonės, kuriais jie užtikrinami, vertę. Nurodoma vertė atitinka įkaitu neužtikrintą užtikrintųjų įsipareigojimų dalį, pavyzdžiui, įkaitu neužtikrintą </w:t>
            </w:r>
            <w:r>
              <w:rPr>
                <w:rFonts w:ascii="Times New Roman" w:hAnsi="Times New Roman"/>
                <w:bCs/>
                <w:color w:val="000000" w:themeColor="text1"/>
                <w:sz w:val="20"/>
                <w:szCs w:val="20"/>
              </w:rPr>
              <w:t>padengtųjų obligacijų arba atpirkimo operacijų dalį</w:t>
            </w:r>
            <w:r>
              <w:rPr>
                <w:rFonts w:ascii="Times New Roman" w:hAnsi="Times New Roman"/>
                <w:color w:val="000000" w:themeColor="text1"/>
                <w:sz w:val="20"/>
                <w:szCs w:val="20"/>
              </w:rPr>
              <w:t>.</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Struktūrizuoti vertybiniai popieriai</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Šiuo tikslu struktūrizuoti vertybiniai popieriai apibrėžiami kaip skoliniai įsipareigojimai su įterptu išvestinių finansinių priemonių elementu, kurių grąža yra susijusi su pagrindinio vertybinio popieriaus kaina arba indeksu (vieši ar individualizuoti, pavyzdžiui, akcijos arba obligacijos, fiksuotųjų pajamų normos arba kredito priemonės, valiutos, biržos prekės ir kt.). Struktūrizuoti vertybiniai popieriai neapima skolos priemonių, kurios apima tik pasirinkimo pirkti arba pasirinkimo parduoti sandorius, t. y. priemonės vertė nepriklauso nuo įterpto išvestinių finansinių priemonių elemento.</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0360–0364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Pirmaeiliai neužtikrinti įsipareigojimai</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Jie apima visas pirmaeiles neužtikrintas priemones, kurios neįtrauktos į struktūrizuotų vertybinių popierių kategoriją.</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Pirmaeiliai nepirmenybiniai įsipareigojimai</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Bet kurių iš toliau nurodytų įsipareigojimų suma:</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neužtikrintų reikalavimų, atsirandančių dėl skolos priemonių, kurios atitinka Direktyvos 2014/59/ES 108 straipsnio 2 dalies a, b ir c punktuose ir 3 dalyje išdėstytas sąlygas;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neužtikrintų reikalavimų, atsirandančių dėl Direktyvos 2014/59/ES 108 straipsnio 5 dalies pirmos pastraipos b punkte nurodytų skolos priemonių;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skolos priemonių, kurių prioritetas yra mažiausias tarp įprastų neužtikrintų reikalavimų, atsirandančių dėl Direktyvos 2014/59/ES 108 straipsnio 7 dalyje nurodytų skolos priemonių, dėl kurių valstybės narės pagal tą dalį nustatė, kad joms suteikiamas tas pats prioritetas kaip reikalavimams, kurie atitinka Direktyvos 2014/59/ES 108 straipsnio 2 dalies a, b ir c punktuose ir 3 dalyje išdėstytas sąlygas.</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Subordinuotieji įsipareigojimai</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Įsipareigojimai, kurie pagal nacionalinę bankroto teisę bus įvykdyti tik visiškai atsiskaičius su visų klasių paprastaisiais kreditoriais ir privilegijuotaisiais nepirmenybiniais kreditoriais. Tai apima tiek pagal sutartis, tiek pagal teisės aktus subordinuotus įsipareigojimus. Kontroliuojančiųjų bendrovių atveju prie šios kategorijos gali būti priskiriami ir nesubordinuotosios skolos vertybiniai popieriai (t. y. struktūrinis subordinavimas).</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Į šią kategoriją įtraukiamos tik subordinuotosios priemonės, nepripažintos kaip nuosavos lėšos.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Šioje eilutėje taip pat nurodoma subordinuotųjų įsipareigojimų dalis, kurią iš principo galima laikyti nuosavomis lėšomis, tačiau kuri nėra įtraukta į nuosavas lėšas dėl laipsniško panaikinimo nuostatų, pavyzdžiui, dėl Reglamento (ES) Nr. 575/2013 64 straipsnio (likusio termino) arba Reglamento (ES) Nr. 575/2013 dešimtos dalies (tęstinumo poveikio).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Kiti MREL reikalavimus atitinkantys įsipareigojimai</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Visos priemonės, kurios yra tinkamos Direktyvos 2014/59/ES 45 straipsnyje nustatytam reikalavimui įvykdyti, tačiau neįtrauktos į 0320 ir 0340–0370 eilutes.</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Nefinansiniai įsipareigojimai</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Šioje eilutėje nurodomi nefinansiniai įsipareigojimai, kurie nėra susiję su skolos priemonėmis, kurių turėtojams gelbėjimo privačiomis lėšomis priemonė gali būti taikoma dėl praktinių priežasčių, pavyzdžiui, su bylinėjimusi, kuriame dalyvauja subjektas, susiję atidėjiniai.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Likutiniai įsipareigojimai</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Visi 0100–0390 eilutėse nenurodyti įsipareigojimai.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Nuosavos lėšos</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Reglamento (ES) Nr. 575/2013 4 straipsnio 1 dalies 118 punktas ir 72 straipsnis.</w:t>
            </w:r>
          </w:p>
          <w:p w14:paraId="5ECCA25D" w14:textId="1993F508"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 pati apibrėžtis kaip COREP (OF): {C 01.00;010;010}</w:t>
            </w:r>
            <w:r w:rsidR="00C50A15">
              <w:rPr>
                <w:rFonts w:ascii="Times New Roman" w:hAnsi="Times New Roman"/>
                <w:color w:val="000000" w:themeColor="text1"/>
                <w:sz w:val="20"/>
                <w:szCs w:val="20"/>
              </w:rPr>
              <w:t>.</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Bendras 1 lygio nuosavas kapitalas</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Reglamento (ES) Nr. 575/2013 50 straipsnis.</w:t>
            </w:r>
          </w:p>
          <w:p w14:paraId="7F07EB93" w14:textId="4D561D4F"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Ta pati apibrėžtis kaip COREP (OF): {C 01.00;020;010}</w:t>
            </w:r>
            <w:r w:rsidR="00C50A15">
              <w:rPr>
                <w:rFonts w:ascii="Times New Roman" w:hAnsi="Times New Roman"/>
                <w:color w:val="000000" w:themeColor="text1"/>
                <w:sz w:val="20"/>
                <w:szCs w:val="20"/>
              </w:rPr>
              <w:t>.</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Iš jo: kapitalo priemonės / akcinis kapitalas</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Teisinės priemonės, sudarančios CET1 kapitalą (jo dalį), kapitalo priemonių / akcinio kapitalo forma.</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Iš jo:</w:t>
            </w:r>
            <w:r>
              <w:rPr>
                <w:rFonts w:ascii="Times New Roman" w:hAnsi="Times New Roman"/>
                <w:b/>
                <w:bCs/>
                <w:color w:val="000000" w:themeColor="text1"/>
                <w:sz w:val="20"/>
                <w:szCs w:val="20"/>
              </w:rPr>
              <w:t xml:space="preserve"> priemonės, kurių prioritetas toks pats (</w:t>
            </w:r>
            <w:r>
              <w:rPr>
                <w:rFonts w:ascii="Times New Roman" w:hAnsi="Times New Roman"/>
                <w:b/>
                <w:bCs/>
                <w:i/>
                <w:iCs/>
                <w:color w:val="000000" w:themeColor="text1"/>
                <w:sz w:val="20"/>
                <w:szCs w:val="20"/>
              </w:rPr>
              <w:t>pari passu</w:t>
            </w:r>
            <w:r>
              <w:rPr>
                <w:rFonts w:ascii="Times New Roman" w:hAnsi="Times New Roman"/>
                <w:b/>
                <w:bCs/>
                <w:color w:val="000000" w:themeColor="text1"/>
                <w:sz w:val="20"/>
                <w:szCs w:val="20"/>
              </w:rPr>
              <w:t>) kaip paprastųjų akcijų</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Teisinės priemonės, sudarančios CET1 nuosavas lėšas (jų dalį), kurios yra kitos formos nei kapitalo priemonės / akcinis kapitalas, tačiau kurių prioritetas toks pats (</w:t>
            </w:r>
            <w:r>
              <w:rPr>
                <w:rFonts w:ascii="Times New Roman" w:hAnsi="Times New Roman"/>
                <w:i/>
                <w:iCs/>
                <w:color w:val="000000" w:themeColor="text1"/>
                <w:sz w:val="20"/>
                <w:szCs w:val="20"/>
              </w:rPr>
              <w:t>pari passu</w:t>
            </w:r>
            <w:r>
              <w:rPr>
                <w:rFonts w:ascii="Times New Roman" w:hAnsi="Times New Roman"/>
                <w:color w:val="000000" w:themeColor="text1"/>
                <w:sz w:val="20"/>
                <w:szCs w:val="20"/>
              </w:rPr>
              <w:t>) kaip šios kategorijos priemonių.</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Papildomas 1 lygio kapitalas</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Reglamento (ES) Nr. 575/2013 61 straipsnis.</w:t>
            </w:r>
          </w:p>
          <w:p w14:paraId="637D77EC" w14:textId="35EE9FF3"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Ta pati apibrėžtis kaip COREP (OF): {C 01.00;530;010}</w:t>
            </w:r>
            <w:r w:rsidR="00C50A15">
              <w:rPr>
                <w:rFonts w:ascii="Times New Roman" w:hAnsi="Times New Roman"/>
                <w:color w:val="000000" w:themeColor="text1"/>
                <w:sz w:val="20"/>
                <w:szCs w:val="20"/>
              </w:rPr>
              <w:t>.</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Iš jo: </w:t>
            </w:r>
            <w:r>
              <w:rPr>
                <w:rFonts w:ascii="Times New Roman" w:hAnsi="Times New Roman"/>
                <w:b/>
                <w:color w:val="000000" w:themeColor="text1"/>
                <w:sz w:val="20"/>
                <w:szCs w:val="20"/>
              </w:rPr>
              <w:t>subordinuotieji įsipareigojimai, pripažįstami kaip nuosavos lėšos (jų dalis)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Teisinės priemonės, sudarančios papildomą 1 lygio kapitalą (jo dalį).</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2 lygio kapitalas</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Reglamento (ES) Nr. 575/2013 71 straipsnis.</w:t>
            </w:r>
          </w:p>
          <w:p w14:paraId="57753DA9" w14:textId="1F85A7C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Ta pati apibrėžtis kaip COREP (OF): {C 01.00;750;010}</w:t>
            </w:r>
            <w:r w:rsidR="00C50A15">
              <w:rPr>
                <w:rFonts w:ascii="Times New Roman" w:hAnsi="Times New Roman"/>
                <w:color w:val="000000" w:themeColor="text1"/>
                <w:sz w:val="20"/>
                <w:szCs w:val="20"/>
              </w:rPr>
              <w:t>.</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Iš jo: subordinuotieji įsipareigojimai, pripažįstami kaip nuosavos lėšos (jų dalis)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Čia nurodomos teisinės priemonės, sudarančios 2 lygio nuosavas lėšas (jų dalį).</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Iš viso įsipareigojimų ir nuosavų lėšų, įskaitant išvestinių finansinių priemonių įsipareigojimus</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Visų šiame šablone nurodytų įsipareigojimų suma ir reguliuojamų nuosavų lėšų suma. Šiuo tikslu sudedamos visos pirmesnių eilučių sumos. Kiek tai susiję su išvestinėmis finansinėmis priemonėmis, naudojama 0334 eilutės „Grynųjų įsipareigojimų pozicijų suma, atsižvelgiant į prudencinės užskaitos taisykles“ vertė.</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44389"/>
      <w:r>
        <w:rPr>
          <w:rFonts w:ascii="Times New Roman" w:hAnsi="Times New Roman"/>
          <w:szCs w:val="20"/>
        </w:rPr>
        <w:t>Z 03.00. Nuosavų lėšų reikalavimai (OWN)</w:t>
      </w:r>
      <w:bookmarkEnd w:id="14"/>
      <w:bookmarkEnd w:id="15"/>
    </w:p>
    <w:p w14:paraId="1EB4E523" w14:textId="77777777" w:rsidR="00F73F97" w:rsidRPr="00D92B3C" w:rsidRDefault="00F73F97" w:rsidP="00EC261B">
      <w:pPr>
        <w:pStyle w:val="Instructionsberschrift3"/>
      </w:pPr>
      <w:r>
        <w:t>Bendrosios pastabos</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pateikiama informacija apie subjektui arba grupei taikomus nuosavų lėšų reikalavimus.</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Visa pateikiama informacija parodo ataskaitinę datą taikomus nuosavų lėšų reikalavimus.</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nurodoma informacija apie II ramsčio reikalavimus grindžiama naujausiu turimu oficialiu kompetentingos institucijos pateiktu raštu dėl SREP.</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Jeigu ataskaitoje nurodytam subjektui netaikomi kapitalo reikalavimai individualiu pagrindu, jis informaciją pateikia tik 0110 eilutėje.</w:t>
      </w:r>
    </w:p>
    <w:p w14:paraId="4CE17C26" w14:textId="77777777" w:rsidR="00E13CE3" w:rsidRPr="00D92B3C" w:rsidRDefault="00E13CE3" w:rsidP="00EC261B">
      <w:pPr>
        <w:pStyle w:val="Instructionsberschrift3"/>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744"/>
        <w:gridCol w:w="8282"/>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Eilutės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Nurodymai</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Bendra rizikos pozicijos suma</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Reglamento (ES) Nr. 575/2013 92 straipsnio 3 dalis.</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Žr. Z 01.00 šablono 0100 skiltį.</w:t>
            </w:r>
          </w:p>
          <w:p w14:paraId="6535D9C2" w14:textId="520FCAAC"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Bendra rizikos pozicijos suma, kaip apibrėžta COREP (OF): {C 02.00;010;010}</w:t>
            </w:r>
            <w:r w:rsidR="00C50A15">
              <w:rPr>
                <w:rFonts w:ascii="Times New Roman" w:hAnsi="Times New Roman"/>
                <w:color w:val="000000" w:themeColor="text1"/>
                <w:sz w:val="20"/>
                <w:szCs w:val="20"/>
              </w:rPr>
              <w:t>.</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Indėlis į bendrą konsoliduotąją rizikos pozicijos sumą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Žr. Z 01.00 šablono 0140 skiltį.</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Šis straipsnis nurodomas tik dėl subjektų, kuriems netaikomi kapitalo reikalavimai individualiu pagrindu.</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Bendras pozicijų matas</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Reglamento (ES) Nr. 575/2013 429 straipsnio 4 dalis.</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Pradinio kapitalo ir sverto koeficiento reikalavimai</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Pradinis kapitalas</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2013/36/ES 12 ir 28–31 straipsniai ir Reglamento (ES) Nr. 575/2013 93 straipsnis.</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Pradinio kapitalo suma, kurios reikia, kad įstaiga galėtų gauti leidimą pradėti veiklą.</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Sverto koeficiento reikalavimas</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Sverto koeficiento reikalavimas pagal Reglamento (ES) Nr. 575/2013 92 straipsnio 1 dalies d punktą, taikomas subjektui arba grupei, išreikštas kaip bendros sverto koeficiento pozicijos procentinė dalis. Informaciją teikiantys subjektai, kurie neįtraukia įstaigos centrinio banko pozicijų, kaip nurodyta Reglamento (ES) Nr. 575/2013 429a straipsnio 1 dalies n punkte, praneša apie pakoreguoto sverto koeficiento reikalavimą pagal to reglamento 429a straipsnio 7 dalį. Jei jokių formalių reikalavimų nėra, subjektai šio laukelio nepildo.</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Bendro SREP kapitalo reikalavimo (TSCR) koeficientas </w:t>
            </w:r>
          </w:p>
          <w:p w14:paraId="72F8AE53" w14:textId="133EB2DD"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r w:rsidR="00C50A15">
              <w:rPr>
                <w:rFonts w:ascii="Times New Roman" w:hAnsi="Times New Roman"/>
                <w:color w:val="000000" w:themeColor="text1"/>
                <w:sz w:val="20"/>
                <w:szCs w:val="20"/>
              </w:rPr>
              <w:t>.</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Toliau nurodytų i ir ii punktų verčių suma:</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bendras kapitalo pakankamumo koeficientas (8 %), kaip nurodyta Reglamento (ES) Nr. 575/2013 92 straipsnio 1 dalies c punkte; </w:t>
            </w:r>
          </w:p>
          <w:p w14:paraId="41D5EECE" w14:textId="59E768BB"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papildomų nuosavų lėšų reikalavimų (II ramsčio reikalavimai, P2R) koeficientas, nustatytas pagal Direktyvos 2013/36/ES 104a straipsnį ir EBI gairių dėl priežiūrinio tikrinimo ir vertinimo proceso bendros tvarkos bei metodikos ir priežiūrinio testavimo nepalankiausiomis sąlygomis konsoliduot</w:t>
            </w:r>
            <w:r w:rsidR="00C50A15">
              <w:rPr>
                <w:rFonts w:ascii="Times New Roman" w:hAnsi="Times New Roman"/>
                <w:color w:val="000000" w:themeColor="text1"/>
                <w:sz w:val="20"/>
                <w:szCs w:val="20"/>
              </w:rPr>
              <w:t>ą</w:t>
            </w:r>
            <w:r>
              <w:rPr>
                <w:rFonts w:ascii="Times New Roman" w:hAnsi="Times New Roman"/>
                <w:color w:val="000000" w:themeColor="text1"/>
                <w:sz w:val="20"/>
                <w:szCs w:val="20"/>
              </w:rPr>
              <w:t xml:space="preserve"> redakcij</w:t>
            </w:r>
            <w:r w:rsidR="00C50A15">
              <w:rPr>
                <w:rFonts w:ascii="Times New Roman" w:hAnsi="Times New Roman"/>
                <w:color w:val="000000" w:themeColor="text1"/>
                <w:sz w:val="20"/>
                <w:szCs w:val="20"/>
              </w:rPr>
              <w:t>ą</w:t>
            </w:r>
            <w:r>
              <w:rPr>
                <w:rFonts w:ascii="Times New Roman" w:hAnsi="Times New Roman"/>
                <w:color w:val="000000" w:themeColor="text1"/>
                <w:sz w:val="20"/>
                <w:szCs w:val="20"/>
              </w:rPr>
              <w:t xml:space="preserve">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Šiame straipsnyje atsižvelgiama į bendro SREP kapitalo reikalavimo (TSCR) koeficientą, kurį įstaigai pateikė kompetentinga institucija. TSCR yra apibrėžtas EBA SREP GL 1.2 skirsnyje.</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Jei kompetentinga institucija nėra pateikusi papildomų nuosavų lėšų reikalavimų, nurodomas tik i punktas.</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sudarytinas iš CET1 kapitalo </w:t>
            </w:r>
          </w:p>
          <w:p w14:paraId="57720E33" w14:textId="73D2141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r w:rsidR="00C50A15">
              <w:rPr>
                <w:rFonts w:ascii="Times New Roman" w:hAnsi="Times New Roman"/>
                <w:color w:val="000000" w:themeColor="text1"/>
                <w:sz w:val="20"/>
                <w:szCs w:val="20"/>
              </w:rPr>
              <w:t>.</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Toliau nurodytų i ir ii punktų verčių suma:</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CET1 kapitalo pakankamumo koeficientas (4,5 %), nustatytas Reglamento (ES) Nr. 575/2013 92 straipsnio 1 dalies a punkte;</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P2R koeficiento, nurodyto 0300 eilutės ii punkte, dalis, kuri, kompetentingos institucijos reikalavimu, laikytina CET1 kapitalo forma.</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Jei kompetentinga institucija nėra pateikusi papildomų nuosavų lėšų, kurios turi būti laikomos CET1 kapitalo forma, reikalavimų, nurodomas tik i punktas.</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sudarytinas iš 1 lygio kapitalo</w:t>
            </w:r>
          </w:p>
          <w:p w14:paraId="4A23431E" w14:textId="2904A030"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r w:rsidR="00C50A15">
              <w:rPr>
                <w:rFonts w:ascii="Times New Roman" w:hAnsi="Times New Roman"/>
                <w:color w:val="000000" w:themeColor="text1"/>
                <w:sz w:val="20"/>
                <w:szCs w:val="20"/>
              </w:rPr>
              <w:t>.</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Toliau nurodytų i ir ii punktų verčių suma:</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1 lygio kapitalo pakankamumo koeficientas (6 %), nustatytas Reglamento (ES) Nr. 575/2013 92 straipsnio 1 dalies b punkte;</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P2R koeficiento, nurodyto 0300 eilutės ii punkte, dalis, kuri, kompetentingos institucijos reikalavimu, laikytina 1 lygio kapitalo forma.</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Jei kompetentinga institucija nėra pateikusi papildomų nuosavų lėšų, kurios turi būti laikomos 1 lygio </w:t>
            </w:r>
            <w:r>
              <w:rPr>
                <w:rFonts w:ascii="Times New Roman" w:hAnsi="Times New Roman"/>
                <w:color w:val="000000" w:themeColor="text1"/>
                <w:sz w:val="20"/>
                <w:szCs w:val="20"/>
              </w:rPr>
              <w:lastRenderedPageBreak/>
              <w:t>kapitalo forma, reikalavimų, nurodomas tik i punktas.</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Jungtinio rezervo reikalavimai</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2013/36/ES 128 straipsnio 6 punktas.</w:t>
            </w:r>
          </w:p>
          <w:p w14:paraId="2CE135DD" w14:textId="6B61795C"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r w:rsidR="00C50A15">
              <w:rPr>
                <w:rFonts w:ascii="Times New Roman" w:hAnsi="Times New Roman"/>
                <w:color w:val="000000" w:themeColor="text1"/>
                <w:sz w:val="20"/>
                <w:szCs w:val="20"/>
              </w:rPr>
              <w:t>.</w:t>
            </w:r>
          </w:p>
          <w:p w14:paraId="56DC2C16" w14:textId="77777777" w:rsidR="00F24B99" w:rsidRPr="005E1A1B"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Kapitalo apsaugos rezervas</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2013/36/ES 128 straipsnio 1 punktas ir 129 straipsnis.</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Pagal tos direktyvos 129 straipsnio 1 dalį kapitalo apsaugos rezervas yra papildoma bendro 1 lygio nuosavo kapitalo suma. Kadangi kapitalo apsaugos rezervo 2,5 % norma yra pastovi, suma nurodoma šiame laukelyje.</w:t>
            </w:r>
          </w:p>
          <w:p w14:paraId="09409E4E" w14:textId="77777777" w:rsidR="00046CD0" w:rsidRPr="005E1A1B"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Apsaugos rezervas, sudarytas dėl valstybės narės lygmeniu nustatytos makroprudencinės rizikos arba sisteminės rizikos</w:t>
            </w:r>
          </w:p>
          <w:p w14:paraId="76B66FEC" w14:textId="77777777" w:rsidR="005337DD" w:rsidRPr="005E1A1B"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Reglamento (ES) Nr. 575/2013 458 straipsnio 2 dalies d punkto iv papunktis.</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Šiame laukelyje nurodoma apsaugos rezervo, sudaryto dėl valstybės narės lygmeniu nustatytos makroprudencinės rizikos arba sisteminės rizikos, kurį pagal Reglamento (ES) Nr. 575/2013 458 straipsnį gali būti reikalaujama turėti kartu su kapitalo apsaugos rezervu, suma.</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Nurodoma suma atitinka nuosavų lėšų sumą, reikalingą atitinkamiems kapitalo rezervo reikalavimams ataskaitinę dieną įvykdyti.</w:t>
            </w:r>
          </w:p>
          <w:p w14:paraId="30AC9E9B" w14:textId="77777777" w:rsidR="005337DD" w:rsidRPr="005E1A1B"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Įstaigos specialus anticiklinis rezervas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2013/36/ES 128 straipsnio 2 punktas, 130 straipsnis ir 135–140 straipsniai.</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(Žr.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Nurodoma suma atitinka nuosavų lėšų sumą, reikalingą atitinkamiems kapitalo rezervo reikalavimams ataskaitinę dieną įvykdyti.</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Sisteminės rizikos rezervas</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2013/36/ES 128 straipsnio 5 punktas, 133 ir 134 straipsniai.</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(Žr.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Nurodoma suma atitinka nuosavų lėšų sumą, reikalingą atitinkamiems kapitalo rezervo reikalavimams ataskaitinę dieną įvykdyti.</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Pasaulinės sisteminės svarbos įstaigos rezervas</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2013/36/ES 128 straipsnio 3 punktas ir 131 straipsnis.</w:t>
            </w:r>
          </w:p>
          <w:p w14:paraId="7A3C56D5" w14:textId="5E05645A"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r w:rsidR="00C50A15">
              <w:rPr>
                <w:rFonts w:ascii="Times New Roman" w:hAnsi="Times New Roman"/>
                <w:color w:val="000000" w:themeColor="text1"/>
                <w:sz w:val="20"/>
                <w:szCs w:val="20"/>
              </w:rPr>
              <w:t>.</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Nurodoma suma atitinka nuosavų lėšų sumą, reikalingą atitinkamiems kapitalo rezervo reikalavimams ataskaitinę dieną įvykdyti.</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Kitos sisteminės svarbos įstaigos rezervas</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2013/36/ES 128 straipsnio 4 punktas ir 131 straipsnis.</w:t>
            </w:r>
          </w:p>
          <w:p w14:paraId="55AC75EB" w14:textId="120859D4"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r w:rsidR="00C50A15">
              <w:rPr>
                <w:rFonts w:ascii="Times New Roman" w:hAnsi="Times New Roman"/>
                <w:color w:val="000000" w:themeColor="text1"/>
                <w:sz w:val="20"/>
                <w:szCs w:val="20"/>
              </w:rPr>
              <w:t>.</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Nurodoma suma atitinka nuosavų lėšų sumą, reikalingą atitinkamiems kapitalo rezervo reikalavimams </w:t>
            </w:r>
            <w:r>
              <w:rPr>
                <w:rFonts w:ascii="Times New Roman" w:hAnsi="Times New Roman"/>
                <w:color w:val="000000" w:themeColor="text1"/>
                <w:sz w:val="20"/>
                <w:szCs w:val="20"/>
              </w:rPr>
              <w:lastRenderedPageBreak/>
              <w:t>ataskaitinę dieną įvykdyti.</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Bendro kapitalo reikalavimo (OCR) koeficientas</w:t>
            </w:r>
          </w:p>
          <w:p w14:paraId="47F23FA2" w14:textId="20E1D4C9"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r w:rsidR="00C50A15">
              <w:rPr>
                <w:rFonts w:ascii="Times New Roman" w:hAnsi="Times New Roman"/>
                <w:color w:val="000000" w:themeColor="text1"/>
                <w:sz w:val="20"/>
                <w:szCs w:val="20"/>
              </w:rPr>
              <w:t>.</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Toliau nurodytų i ir ii punktų verčių suma:</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0300 eilutėje nurodytas TSCR koeficientas;</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kiek tai teisiniu požiūriu taikytina, jungtinio rezervo reikalavimo koeficientas, nurodytas Direktyvos 2013/36/ES 128 straipsnio 6 punkte.</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Šiame straipsnyje atsižvelgiama į bendro kapitalo reikalavimo (OCR) koeficientą, apibrėžtą EBA SREP gairių 1.2 skirsnyje.</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Jei joks rezervo reikalavimas nėra taikomas, nurodomas tik i punktas.</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sudarytinas iš CET1 kapitalo</w:t>
            </w:r>
          </w:p>
          <w:p w14:paraId="5AB756A7" w14:textId="37CBC21B"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r w:rsidR="00C50A15">
              <w:rPr>
                <w:rFonts w:ascii="Times New Roman" w:hAnsi="Times New Roman"/>
                <w:color w:val="000000" w:themeColor="text1"/>
                <w:sz w:val="20"/>
                <w:szCs w:val="20"/>
              </w:rPr>
              <w:t>.</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Toliau nurodytų i ir ii punktų verčių suma:</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 koeficientas, sudarytinas iš CET1 kapitalo, nurodytas 0310 eilutėje;</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kiek tai teisiniu požiūriu taikytina, jungtinio rezervo reikalavimo koeficientas, nurodytas Direktyvos 2013/36/ES 128 straipsnio 6 punkte.</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Jei joks rezervo reikalavimas nėra taikomas, nurodomas tik i punktas.</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sudarytinas iš 1 lygio kapitalo</w:t>
            </w:r>
          </w:p>
          <w:p w14:paraId="37885BB5" w14:textId="1C583845"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r w:rsidR="00C50A15">
              <w:rPr>
                <w:rFonts w:ascii="Times New Roman" w:hAnsi="Times New Roman"/>
                <w:color w:val="000000" w:themeColor="text1"/>
                <w:sz w:val="20"/>
                <w:szCs w:val="20"/>
              </w:rPr>
              <w:t>.</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Toliau nurodytų i ir ii punktų verčių suma:</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 koeficientas, sudarytinas iš 1 lygio kapitalo, nurodytas 0320 eilutėje;</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kiek tai teisiniu požiūriu taikytina, jungtinio rezervo reikalavimo koeficientas, nurodytas Direktyvos 2013/36/ES 128 straipsnio 6 punkte.</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Jei joks rezervo reikalavimas nėra taikomas, nurodomas tik i punktas.</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ir II ramsčio gairės (P2G)</w:t>
            </w:r>
          </w:p>
          <w:p w14:paraId="5249627D" w14:textId="59419CBC"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r w:rsidR="00C50A15">
              <w:rPr>
                <w:rFonts w:ascii="Times New Roman" w:hAnsi="Times New Roman"/>
                <w:color w:val="000000" w:themeColor="text1"/>
                <w:sz w:val="20"/>
                <w:szCs w:val="20"/>
              </w:rPr>
              <w:t>.</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Toliau nurodytų i ir ii punktų verčių suma:</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0500 eilutėje nurodytas OCR koeficientas;</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atitinkamais atvejais II ramsčio gairių (P2G) koeficientas, apibrėžtas EBA SREP GL. P2G įtraukiamas tik tuo atveju, jei kompetentinga institucija jį yra pateikusi įstaigai.</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 kompetentinga institucija nėra pateikusi P2G, nurodomas tik i punktas.</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sudarytinas iš CET1 kapitalo</w:t>
            </w:r>
          </w:p>
          <w:p w14:paraId="2974E8C9" w14:textId="15CD2692"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r w:rsidR="00C50A15">
              <w:rPr>
                <w:rFonts w:ascii="Times New Roman" w:hAnsi="Times New Roman"/>
                <w:color w:val="000000" w:themeColor="text1"/>
                <w:sz w:val="20"/>
                <w:szCs w:val="20"/>
              </w:rPr>
              <w:t>.</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Toliau nurodytų i ir ii punktų verčių suma:</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OCR koeficientas, sudarytinas iš CET1 kapitalo, nurodytas 0510 eilutėje;</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atitinkamais atvejais P2G koeficiento, nurodyto 0600 eilutės ii punkte, dalis, kuri, kompetentingos institucijos reikalavimu, turi būti laikoma CET1 kapitalo forma. P2G įtraukiamas tik tuo atveju, jei kompetentinga institucija yra jį pateikusi įstaigai.</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 kompetentinga institucija nėra pateikusi P2G, nurodomas tik i punktas.</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ir P2G: sudarytini iš 1 lygio kapitalo</w:t>
            </w:r>
          </w:p>
          <w:p w14:paraId="17D0C8FC" w14:textId="61EB580A"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r w:rsidR="00C50A15">
              <w:rPr>
                <w:rFonts w:ascii="Times New Roman" w:hAnsi="Times New Roman"/>
                <w:color w:val="000000" w:themeColor="text1"/>
                <w:sz w:val="20"/>
                <w:szCs w:val="20"/>
              </w:rPr>
              <w:t>.</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Toliau nurodytų i ir ii punktų verčių suma:</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OCR koeficientas, sudarytinas iš 1 lygio kapitalo, nurodytas 0520 eilutėje;</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atitinkamais atvejais P2G koeficiento, nurodyto 600 eilutės ii punkte, dalis, kuri, kompetentingos institucijos reikalavimu, turi būti laikoma 1 lygio kapitalo forma. P2G įtraukiamas tik tuo atveju, jei kompetentinga institucija yra jį pateikusi įstaigai.</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 kompetentinga institucija nėra pateikusi P2G, nurodomas tik i punktas.</w:t>
            </w:r>
          </w:p>
        </w:tc>
      </w:tr>
    </w:tbl>
    <w:p w14:paraId="4396EC85" w14:textId="77777777" w:rsidR="00FE3E96" w:rsidRPr="00D92B3C" w:rsidRDefault="00FE3E96" w:rsidP="00E13CE3">
      <w:pPr>
        <w:rPr>
          <w:rFonts w:ascii="Times New Roman" w:hAnsi="Times New Roman" w:cs="Times New Roman"/>
          <w:color w:val="000000" w:themeColor="text1"/>
          <w:sz w:val="20"/>
          <w:szCs w:val="20"/>
          <w:lang w:val="en-GB"/>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44390"/>
      <w:r>
        <w:rPr>
          <w:rFonts w:ascii="Times New Roman" w:hAnsi="Times New Roman"/>
          <w:szCs w:val="20"/>
        </w:rPr>
        <w:t>Z 04.00. Grupės vidaus finansiniai tarpusavio ryšiai (IFC)</w:t>
      </w:r>
      <w:bookmarkEnd w:id="16"/>
      <w:bookmarkEnd w:id="17"/>
    </w:p>
    <w:p w14:paraId="651647D3" w14:textId="77777777" w:rsidR="00E13CE3" w:rsidRPr="00D92B3C" w:rsidRDefault="00AD2380" w:rsidP="00EC261B">
      <w:pPr>
        <w:pStyle w:val="Instructionsberschrift3"/>
      </w:pPr>
      <w:r>
        <w:t>Bendrosios pastabos</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Šiame šablone reikia pateikti informaciją apie grupės vidaus įsipareigojimus, kuriems taikoma gelbėjimo privačiomis lėšomis priemonė, kapitalo priemones ir garantijas.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Nurodomi visi į konsoliduotąsias finansines ataskaitas įtrauktų atitinkamų juridinių asmenų finansiniai tarpusavio ryšiai. Tais atvejais, kai nurodomos sumos yra susijusios su tomis pačiomis sandorio šalimis (tiek su emitentu ar garantiją gaunančiu subjektu, tiek su kreditoriumi, priemonės turėtoju ar garantijos teikėju) ir su tos pačios rūšies įsipareigojimais, kapitalo priemonėmis ar garantijomis, jos yra sudedamos.</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Šio šablono 0020, 0040 ir 0050 skiltyse nurodytų verčių derinys yra pirminis raktas, kuris turi būti unikalus kiekvienai šablono eilutei.</w:t>
      </w:r>
    </w:p>
    <w:p w14:paraId="2B305CA8" w14:textId="77777777" w:rsidR="00E13CE3" w:rsidRPr="00D92B3C" w:rsidRDefault="00E13CE3" w:rsidP="00715DAB">
      <w:pPr>
        <w:pStyle w:val="Instructionsberschrift3"/>
      </w:pPr>
      <w:r>
        <w:t>Nurodymai dėl konkrečių pozicijų</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Skiltys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Nurodymai</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Emitentas arba garantiją gaunantis subjektas</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Juridinis asmuo, kuris išleidžia įsipareigojimus arba kapitalo priemonę, arba garantiją gaunantis subjektas.</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Subjekto pavadinimas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Turi skirtis nuo 0030 skiltyje nurodyto subjekto pavadinimo.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Emitento arba garantiją gaunančio subjekto kodas. Įstaigų kodas yra 20-ies raidinių skaitinių ženklų LEI kodas. Kitų subjektų kodas yra 20-ies raidinių skaitinių ženklų LEI kodas arba, jei jo nėra, pagal Sąjungoje taikomą vienodą kodų sistemą sudarytas kodas, arba, jei jo nėra – nacionalinis kodas.</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Kodas yra unikalus ir nuosekliai naudojamas visuose šablonuose.</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Kodas turi skirtis nuo 0040 skiltyje nurodyto kodo.</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Kreditorius, priemonės turėtojas arba garantijos teikėjas</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Juridinis asmuo, kuris yra įsipareigojimo kreditorius, turi kapitalo priemonę arba teikia garantiją.</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Subjekto pavadinimas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Turi skirtis nuo 0010 skiltyje nurodyto subjekto pavadinimo.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Kreditoriaus, priemonės turėtojo arba garantijos teikėjo kodas. Įstaigų kodas yra 20-ies raidinių skaitinių ženklų LEI kodas. Kitų subjektų kodas yra 20-ies raidinių skaitinių ženklų LEI kodas arba, jei jo nėra, pagal Sąjungoje taikomą vienodą kodų sistemą sudarytas kodas, arba, jei jo nėra – nacionalinis kodas.</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Kodas yra unikalus ir nuosekliai naudojamas visuose šablonuose.</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Turi skirtis nuo 0020 skiltyje nurodyto kodo.</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Finansinis tarpusavio ryšys</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Šiame laukelyje aprašomi atitinkamų juridinių asmenų finansiniai tarpusavio ryšiai.</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Rūšis</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Pasirenkama iš šio sąrašo:</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Grupės vidaus įsipareigojimai</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Neapdrausti, tačiau pirmenybiniai indėliai</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0310 eilutėje.</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Neapdrausti nepirmenybiniai indėliai</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0320 eilutėje.</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Įsipareigojimai, atsirandantys dėl išvestinių finansinių priemonių (užbaigimo sumos)</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0330 eilutėje.</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Įkaitu neužtikrinti užtikrintieji įsipareigojimai</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0340 eilutėje.</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Struktūrizuoti vertybiniai popieriai</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0350 eilutėje.</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Pirmaeiliai neužtikrinti įsipareigojimai</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0360 eilutėje.</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Pirmaeiliai nepirmenybiniai įsipareigojimai</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0365 eilutėje.</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Subordinuotieji įsipareigojimai</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0370 eilutėje.</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Kiti MREL reikalavimus atitinkantys įsipareigojimai</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0380 eilutėje.</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Nefinansiniai įsipareigojimai</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0390 eilutėje.</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Likutiniai įsipareigojimai</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0400 eilutėje. Visi į ankstesnius straipsnius neįtraukti įsipareigojimai.</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2 lygio kapitalas</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0530 eilutėje.</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Papildomas 1 lygio kapitalas</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0520 eilutėje.</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Bendras 1 lygio nuosavas kapitalas</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 pati apibrėžtis kaip Z 02.00 (LIAB) šablono 0510 eilutėje.</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Grupės vidaus garantijos</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Emisija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Išleistos su konkrečiomis priemonėmis / įsipareigojimais susijusios garantijos.</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Sandorio šalis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Konkrečiai įstaigos sandorio šaliai suteiktos garantijos.</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Neribotos</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Bendrosios garantijos, neapribotos fiksuota suma.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Kita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Visų kitų rūšių garantijos.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Neapmokėta suma</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Įsipareigojimų atveju (0050 skiltis, L.1, L.2 ir L.4–L.14 rūšys) – neapmokėta grupės vidaus įsipareigojimų suma; įsipareigojimų, atsirandančių dėl išvestinių finansinių priemonių, atveju (L.3 rūšis) – užbaigimo sumos, kaip apibrėžta Z 02.00 (LIAB) šablono 0333 eilutėje.</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Garantijų atveju (0050 skiltis, G.1–G.4 vertės), didžiausia galima būsimų mokėjimų pagal garantiją suma.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Iš jos išleista pagal trečiosios valstybės įstatymus</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lastRenderedPageBreak/>
              <w:t>Pinigų suma išreikšta neapmokėtos sumos dalis, reglamentuojama trečiosios valstybės teisės.</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Iš jos atitinka MREL reikalavimus</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Nuosavų lėšų ir įsipareigojimų, tinkamų siekiant įvykdyti Direktyvos 2014/59/ES 45 straipsnyje nustatytą reikalavimą, suma.</w:t>
            </w:r>
            <w:r>
              <w:t xml:space="preserve"> </w:t>
            </w:r>
          </w:p>
        </w:tc>
      </w:tr>
    </w:tbl>
    <w:p w14:paraId="27337152" w14:textId="77777777" w:rsidR="00E13CE3" w:rsidRPr="005E1A1B"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44391"/>
      <w:r>
        <w:rPr>
          <w:rFonts w:ascii="Times New Roman" w:hAnsi="Times New Roman"/>
          <w:szCs w:val="20"/>
        </w:rPr>
        <w:t>Z 05.01 ir Z 05.02.</w:t>
      </w:r>
      <w:bookmarkStart w:id="19" w:name="_Toc492542325"/>
      <w:r>
        <w:rPr>
          <w:rFonts w:ascii="Times New Roman" w:hAnsi="Times New Roman"/>
          <w:szCs w:val="20"/>
        </w:rPr>
        <w:t xml:space="preserve"> Didžiausios sandorio šalys (MCP)</w:t>
      </w:r>
      <w:bookmarkEnd w:id="18"/>
      <w:bookmarkEnd w:id="19"/>
    </w:p>
    <w:p w14:paraId="3CC29F42" w14:textId="77777777" w:rsidR="00BF5063" w:rsidRPr="00D92B3C" w:rsidRDefault="00BF5063" w:rsidP="00715DAB">
      <w:pPr>
        <w:pStyle w:val="Instructionsberschrift3"/>
      </w:pPr>
      <w:r>
        <w:t>Bendrosios pastabos</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Šiuose šablonuose pateikiama informacija apie įsipareigojimus didžiausioms sandorio šalims (Z 05.01) ir nebalansinius straipsnius, gautus iš didžiausių sandorio šalių (Z 05.02). Tais atvejais, kai nurodomos sumos yra susijusios su tomis pačiomis sandorio šalimis ir su tos pačios rūšies įsipareigojimais arba nebalansiniais straipsniais, jos yra sudedamos.</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Įsipareigojimai ir nebalansiniai straipsniai, kurių sandorio šalies neįmanoma identifikuoti, šiuose šablonuose nenurodomi. Įsipareigojimai ir nebalansiniai straipsniai, kurių sandorio šalis yra subjektas, įtrauktas į konsoliduotąsias finansines ataskaitas, nenurodomi.</w:t>
      </w:r>
    </w:p>
    <w:p w14:paraId="3454E902" w14:textId="77777777" w:rsidR="00DF1EA4" w:rsidRPr="00D92B3C" w:rsidRDefault="00F7117F" w:rsidP="00715DAB">
      <w:pPr>
        <w:pStyle w:val="Instructionsberschrift3"/>
      </w:pPr>
      <w:r>
        <w:t>Z 05.01. Didžiausios su įsipareigojimais susijusios sandorio šalys. Nurodymai dėl konkrečių pozicijų.</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Šio šablono 0020 ir 0060 eilutėse nurodytų verčių derinys yra pirminis raktas, kuris turi būti unikalus kiekvienai šablono eilutei.</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Skiltys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Nurodymai</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Sandorio šalis</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Informacija apie didžiausias sandorio šalis, kurių atžvilgiu atsiranda įsipareigojimai.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Didžiausios sandorio šalys identifikuojamos sudedant visų subjekto ar grupės, apie kuriuos teikiama informacija šablone, įsipareigojimų kiekvienai sandorio šaliai ar susijusių klientų grupei, išskyrus įsipareigojimus į konsoliduotąsias finansines ataskaitas įtrauktiems subjektams, neapmokėtas sumas.</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Paskui pagal bendrą neapmokėtą sumą nustatomas sandorio šalių ir susijusių sandorio šalių grupių eiliškumas ir taip identifikuojamos 10 didžiausių sandorio šalių, apie kurias reikia pateikti informaciją šablone.</w:t>
            </w:r>
          </w:p>
          <w:p w14:paraId="06033B0A" w14:textId="77777777" w:rsidR="00AD011A" w:rsidRPr="005E1A1B"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Susijusių sandorio šalių grupės apibrėžtis atitinka Reglamento (ES) Nr. 575/2013 4 straipsnio 1 dalies 39 punkte pateiktą susijusių klientų grupės apibrėžtį. </w:t>
            </w:r>
          </w:p>
          <w:p w14:paraId="294E9015" w14:textId="77777777" w:rsidR="00AD011A" w:rsidRPr="005E1A1B"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Šiame šablone nurodomos sandorio šalys nėra į konsoliduotąsias finansines ataskaitas įtraukti subjektai.</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Subjekto pavadinimas</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Didžiausios sandorio šalies pavadinimas arba, tam tikrais atvejais, susijusių klientų grupės pavadinimas.</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Susijusių klientų grupės pavadinimas yra patronuojančiosios įmonės pavadinimas arba, jei susijusių klientų grupė patronuojančiosios įmonės neturi, grupės komercinis pavadinimas.</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Didžiausios sandorio šalies arba susijusių klientų grupės kodas. Įstaigų kodas yra 20-ies raidinių skaitinių ženklų LEI kodas. Kitų subjektų kodas yra 20-ies raidinių skaitinių ženklų LEI kodas arba, jei jo nėra, pagal Sąjungoje taikomą vienodą kodų sistemą sudarytas kodas, arba, jei jo nėra – </w:t>
            </w:r>
            <w:r>
              <w:rPr>
                <w:rFonts w:ascii="Times New Roman" w:hAnsi="Times New Roman"/>
                <w:color w:val="000000" w:themeColor="text1"/>
                <w:sz w:val="20"/>
                <w:szCs w:val="20"/>
              </w:rPr>
              <w:lastRenderedPageBreak/>
              <w:t>nacionalinis kodas.</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Kodas yra unikalus ir nuosekliai naudojamas visuose šablonuose.</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Grupė ar atskiras klientas</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Atskiras didžiausias sandorio šalis įstaiga pažymi skaičiumi „1“, susijusių klientų grupes – „2“.</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Šalis</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Nurodomas sandorio šalies įsisteigimo šalies ISO 3166-1 dviraidis kodas. Tai apima paskutiniame Eurostato „Mokėjimų balanso vadovo“ leidime nurodytus tarptautinių organizacijų ISO pseudokodus.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Šalis nustatoma pagal sandorio šalies registruotą buveinę. Jei tai susijusių klientų grupė, nurodoma patronuojančiosios įmonės įsisteigimo šalis.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Sektorius</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Atsižvelgiant į toliau išvardytas finansinės informacijos teikimo sistemos FINREP ekonomikos sektorių klases (FINREP V priedo 1 dalies 6 skyrius), kiekviena sandorio šalis priskiriama prie vieno sektoriaus:</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centriniai bankai;</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valdžios sektoriaus institucijos;</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kredito įstaigos;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kitos finansų bendrovės;</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ne finansų bendrovės;</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namų ūkiai.</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 tai yra susijusių klientų grupė, sektorius nenurodomas.</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Rūšis</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Įsipareigojimo rūšis yra viena iš šablone „Z 02.00. Įsipareigojimų struktūra (LIAB)“ nurodytų įsipareigojimų rūšių, konkrečiai:</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Įsipareigojimai, kuriems netaikoma gelbėjimo privačiomis lėšomis priemonė</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Neapdrausti, tačiau pirmenybiniai indėliai</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Neapdrausti nepirmenybiniai indėliai</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Įsipareigojimai, atsirandantys dėl išvestinių finansinių priemonių</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Įkaitu neužtikrinti užtikrintieji įsipareigojimai</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Struktūrizuoti vertybiniai popieriai</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Pirmaeiliai neužtikrinti įsipareigojimai</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Pirmaeiliai nepirmenybiniai įsipareigojimai</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Subordinuotieji įsipareigojimai (nepripažįstami kaip nuosavos lėšos)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Kiti MREL reikalavimus atitinkantys įsipareigojimai</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Nefinansiniai įsipareigojimai</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Likutiniai įsipareigojimai</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Jeigu įsipareigojimus didžiausiai sandorio šaliai sudaro daugiau nei vienos rūšies įsipareigojimai, kiekvienos rūšies įsipareigojimai nurodomi atskiroje eilutėje.</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Suma</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Suma atitinka neapmokėtos sumos apibrėžtį, numatytą šablone „Z 02.00. Įsipareigojimų struktūra“. Įsipareigojimų, atsirandančių dėl išvestinių finansinių priemonių (L.3), atveju nurodomos užbaigimo sumos, kaip apibrėžta Z 02.00 šablono 0333 eilutėje.</w:t>
            </w:r>
          </w:p>
        </w:tc>
      </w:tr>
    </w:tbl>
    <w:p w14:paraId="3AE50F86" w14:textId="77777777" w:rsidR="00627D51" w:rsidRPr="005E1A1B"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lastRenderedPageBreak/>
        <w:t>Z 05.02. Didžiausios į balansą neįtrauktos sandorio šalys. Nurodymai dėl konkrečių pozicijų</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Šio šablono 0020 ir 0060 eilutėse nurodytų verčių derinys yra pirminis raktas, kuris turi būti unikalus kiekvienai šablono eilutei.</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Sandorio šalis</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Pateikiama informacija apie didžiausias į balansą neįtrauktas sandorio šalis.</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Didžiausios į balansą neįtrauktos sandorio šalys nustatomos sudedant subjekto arba grupės subjektų, apie kuriuos teikiama informacija šablone, iš sandorio šalių arba susijusių klientų grupės gautų įsipareigojimų ir finansinių garantijų (kaip apibrėžta FINREP F 09 formos tikslais) bendrą nominaliąją vertę. Prie didžiausių į balansą neįtrauktų sandorio šalių nepriskiriami į grupės konsoliduotąsias finansines ataskaitas įtraukti subjektai. Paskui pagal bendrą sumą nustatomas sandorio šalių ir susijusių klientų grupių eiliškumas ir taip identifikuojamos 10 didžiausių į balansą neįtrauktų sandorio šalių, apie kurias reikia pateikti informaciją šablone.</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Šiame šablone nurodomos tik į konsoliduotąsias finansines ataskaitas neįtrauktos sandorio šalys.</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Subjekto pavadinimas</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Žr. nurodymus dėl Z 05.01 šablono 0010 skilties.</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Žr. nurodymus dėl Z 05.01 šablono 0020 skilties.</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Grupė ar atskiras klientas</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Žr. nurodymus dėl Z 05.01 šablono 0030 skilties.</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Šalis</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Žr. nurodymus dėl Z 05.01 šablono 0040 skilties.</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Sektorius</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Žr. nurodymus dėl Z 05.01 šablono 0050 skilties.</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Rūšis</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Nebalansinio straipsnio rūšis yra viena iš toliau nurodytų rūšių, apibrėžtų FINREP F 09.02 formoje:</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Gauti kreditavimo įsipareigojimai</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Gautos finansinės garantijos</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Kiti gauti įsipareigojimai</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Jeigu iš didžiausios sandorio šalies gautą nebalansinį straipsnį sudaro daugiau nei vienos rūšies įsipareigojimai, kiekvienos rūšies nebalansiniai straipsniai nurodomi atskirose eilutėse.</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Suma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44392"/>
      <w:r>
        <w:rPr>
          <w:rFonts w:ascii="Times New Roman" w:hAnsi="Times New Roman"/>
          <w:szCs w:val="20"/>
        </w:rPr>
        <w:t>Z 06.00. Indėlių draudimas (DIS)</w:t>
      </w:r>
      <w:bookmarkEnd w:id="20"/>
      <w:bookmarkEnd w:id="21"/>
    </w:p>
    <w:p w14:paraId="3E891384" w14:textId="77777777" w:rsidR="008F7980" w:rsidRPr="00D92B3C" w:rsidRDefault="006A7DCF" w:rsidP="00715DAB">
      <w:pPr>
        <w:pStyle w:val="Instructionsberschrift3"/>
      </w:pPr>
      <w:r>
        <w:t>Bendrosios pastabos</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Šiame šablone apžvelgiamas grupės indėlių draudimas. Indėlių garantijų sistema (IGS) nurodoma šiame šablone, jeigu atitinkamas grupės juridinis asmuo yra jos narys.</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Kiekviena grupei priklausanti kredito įstaiga nurodoma atskiroje eilutėje.</w:t>
      </w:r>
    </w:p>
    <w:p w14:paraId="039239B2" w14:textId="77777777" w:rsidR="006A7DCF" w:rsidRPr="00D92B3C" w:rsidRDefault="006A7DCF" w:rsidP="00715DAB">
      <w:pPr>
        <w:pStyle w:val="Instructionsberschrift3"/>
      </w:pPr>
      <w:r>
        <w:lastRenderedPageBreak/>
        <w:t>Nurodymai dėl konkrečių pozicijų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Subjektas</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Subjekto pavadinimas</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Subjekto pavadinimas, nurodytas šablone „Z 01.00. Organizacinė struktūra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Kodas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Subjekto kodas, nurodytas šablone „Z 01.00. Organizacinė struktūra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Kiekvienai šablono eilutei suteikiamas unikalus eilutės identifikatorius.</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IGS</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2014/49/ES 4 straipsnio 3 dalis.</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Oficialiai pripažintos IGS, kurios narys subjektas yra pagal Direktyvą 2014/49/ES, pavadinimas. Tai yra subjekto įsisteigimo valstybės narės IGS, neįskaitant kitų IGS, kurios kitose valstybėse narėse gali teikti papildomą apsaugą (papildomą draudimą) subjekto klientams per toje valstybėje narėje esantį subjekto filialą. Jeigu įstaiga yra institucinės užtikrinimo sistemos, kuri pagal Direktyvos 2014/49/ES 4 straipsnio 2 dalį taip pat yra oficialiai pripažinta kaip IGS, narė, IGS pavadinimas yra identiškas 050 eilutėje nurodytam institucinės užtikrinimo sistemos pavadinimui.</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Kiekvienos subjekto įsisteigimo šalies IGS pasirenkama iš toliau pateikto sąrašo:</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Austrija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Belgija</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Bulgarija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Kroatija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Kipras</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Čekija</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Danija</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Estija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Suomija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Prancūzija</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Vokietija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Gibraltaras</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Graikija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Vengrija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Islandija</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Airija</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Italija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Latvija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Lichtenšteinas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Lietuva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Liuksemburgas</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Мalta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Nyderlandai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Norvegija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Lenkija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Portugalija</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Rumunija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Slovakija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Slovėnija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Ispanija</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Švedija</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Jeigu oficialiai pripažintos IGS, kurios narys yra subjektas, pirmiau pateiktame sąraše nėra, nurodoma „kita“.</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Apdraustųjų indėlių suma</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2014/49/ES 2 straipsnio 1 dalies 5 punktas ir 6 straipsnio 2 dalis.</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Apdraustųjų indėlių suma, kaip apibrėžta Direktyvos 2014/49/ES 2 straipsnio 1 dalies 5 punkte kartu su 6 straipsniu, draudžiama 00030 eilutėje nurodytos IGS, išskyrus laikinas dideles sumas sąskaitoje, kaip nurodyta Direktyvos 2014/49/ES 6 straipsnio 2 dalyje.</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Institucinė užtikrinimo sistema</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Reglamento (ES) Nr. 575/2013 113 straipsnio 7 dalis.</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Reglamento (ES) Nr. 575/2013 113 straipsnio 7 dalyje nurodytos institucinės užtikrinimo sistemos, kurios narys yra subjektas, pavadinimas. Jeigu subjektas nėra institucinės užtikrinimo sistemos narys, informacijos pateikti nereikia. Jeigu subjektas yra institucinės užtikrinimo sistemos, kuri pagal Direktyvos 2014/49/ES 4 straipsnio 2 dalį taip pat yra oficialiai pripažinta kaip IGS, narys, institucinės užtikrinimo sistemos pavadinimas yra identiškas 030 eilutėje nurodytam IGS pavadinimui.</w:t>
            </w:r>
          </w:p>
          <w:p w14:paraId="76DBA0CC" w14:textId="77777777" w:rsidR="0057049E" w:rsidRPr="005E1A1B"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Papildoma apsauga pagal sutartinę sistemą</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Direktyvos 2014/49/ES 1 straipsnio 3 dalies a punktas.</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suma, subjekto apdrausta pagal sutartinę sistemą.</w:t>
            </w:r>
          </w:p>
        </w:tc>
      </w:tr>
    </w:tbl>
    <w:p w14:paraId="54A835DD" w14:textId="77777777" w:rsidR="0057049E" w:rsidRPr="005E1A1B" w:rsidRDefault="0057049E" w:rsidP="008F7980">
      <w:pPr>
        <w:rPr>
          <w:rFonts w:ascii="Times New Roman" w:hAnsi="Times New Roman" w:cs="Times New Roman"/>
          <w:b/>
          <w:color w:val="000000" w:themeColor="text1"/>
          <w:sz w:val="20"/>
          <w:szCs w:val="20"/>
          <w:u w:val="single"/>
          <w:lang w:val="es-ES"/>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44393"/>
      <w:r>
        <w:rPr>
          <w:rFonts w:ascii="Times New Roman" w:hAnsi="Times New Roman"/>
          <w:szCs w:val="20"/>
        </w:rPr>
        <w:t>Ypatingos svarbos funkcijos ir pagrindinės verslo linijos</w:t>
      </w:r>
      <w:bookmarkEnd w:id="23"/>
      <w:bookmarkEnd w:id="24"/>
    </w:p>
    <w:p w14:paraId="7F5A1735" w14:textId="77777777" w:rsidR="00AA4026" w:rsidRPr="00D92B3C" w:rsidRDefault="00AA4026" w:rsidP="00715DAB">
      <w:pPr>
        <w:pStyle w:val="Instructionsberschrift3"/>
      </w:pPr>
      <w:r>
        <w:t>Bendrosios pastabos</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Keturiuose šio skirsnio šablonuose pateikiami grupės atliekamų ekonominių funkcijų ir jų poveikio, pakeičiamumo ir ypatingos svarbos pagrindiniai duomenys ir kokybiniai vertinimai, kartu nurodant, kaip tos ypatingos svarbos funkcijos yra susietos su pagrindinėmis verslo linijomis ir juridiniais asmenimis.</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Kalbant konkrečiau, šablonai skirti šioms temoms:</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šablone „Z 07.01. Ekonominių funkcijų ypatingos svarbos vertinimas (FUNC 1)“ pagal kiekybinius ir kokybinius rodiklius nurodomos kiekvienoje valstybėje narėje, kurioje grupė vykdo veiklą, grupės atliekamos ne ypatingos ir ypatingos svarbos funkcijos;</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šablone „Z 07.02. Ypatingos svarbos funkcijų susiejimas su juridiniais asmenimis (FUNC 2)“ nurodytos ypatingos svarbos funkcijos susiejamos su juridiniais asmenimis ir įvertinama, ar kiekvienas juridinis asmuo laikomas reikšmingu vykdant ypatingos svarbos funkciją, ar ne;</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šablone „Z 07.03. Pagrindinių verslo linijų susiejimas su juridiniais asmenimis (FUNC 3)“ pateikiamas išsamus pagrindinių verslo linijų sąrašas ir jos susiejamos su juridiniais asmenimis;</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šablone „Z 07.04. Ypatingos svarbos funkcijų susiejimas su pagrindinėmis verslo linijomis (FUNC 4)“ nurodytos ypatingos svarbos funkcijos susiejamos su verslo linijomis.</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Pagal Direktyvos 2014/59/ES 2 straipsnio 1 dalies 35 punktą</w:t>
      </w:r>
      <w:r>
        <w:t xml:space="preserve"> </w:t>
      </w:r>
      <w:r>
        <w:rPr>
          <w:rFonts w:ascii="Times New Roman" w:hAnsi="Times New Roman"/>
          <w:sz w:val="20"/>
          <w:szCs w:val="20"/>
        </w:rPr>
        <w:t xml:space="preserve">ypatingos svarbos funkcijos yra veikla, paslaugos ar operacijos, kurias nutraukus, tikėtina, vienoje ar daugiau valstybių narių dėl atitinkamos įstaigos arba grupės dydžio, jos kontroliuojamos rinkos dalies, išorės ar vidaus tarpusavio sąsajų, sudėtingumo ar tarpvalstybinės veiklos sutriktų itin svarbios realiajai ekonomikai teikiamos paslaugos arba sutriktų finansinis stabilumas, visų pirma atsižvelgiant į tos veiklos, paslaugų ar operacijų pakeičiamumą.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rPr>
        <w:t>Pagal Komisijos deleguotojo reglamento (ES) 2016/778</w:t>
      </w:r>
      <w:r>
        <w:rPr>
          <w:rFonts w:ascii="Times New Roman" w:hAnsi="Times New Roman" w:cs="Times New Roman"/>
          <w:vertAlign w:val="superscript"/>
          <w:lang w:val="en-GB"/>
        </w:rPr>
        <w:footnoteReference w:id="18"/>
      </w:r>
      <w:r>
        <w:rPr>
          <w:rFonts w:ascii="Times New Roman" w:hAnsi="Times New Roman"/>
        </w:rPr>
        <w:t xml:space="preserve"> 6 straipsnio 1 dalį funkcija laikoma ypatingos svarbos, kai ji atitinka abi šias sąlygas:</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funkcija yra įstaigos teikiama trečiosioms šalims, nesusijusioms su įstaiga arba grupe, ir</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staigus tos funkcijos sutrikimas greičiausiai turėtų reikšmingą neigiamą poveikį trečiosioms šalims, sukeltų plintantį neigiamą poveikį arba pakirstų rinkos dalyvių pasitikėjimą dėl funkcijos sisteminės svarbos trečiosioms šalims ir įstaigos arba grupės sisteminės svarbos teikiant funkciją.</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Pagal Direktyvos 2014/59/ES 2 straipsnio 1 dalies 36 punktą „pagrindinės verslo linijos – verslo linijos ir susijusios paslaugos, kurios yra reikšmingi įstaigos arba grupės, kuriai ji priklauso, pajamų, pelno ar franšizės vertės šaltiniai“.</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ekonominės funkcijos nurodo toliau lentelėje išvardytas funkcijas.</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Kiekvienos kategorijos funkcijai galima parinkti ekonominę funkciją arba nurodyti „kita“, jeigu funkcija neįtraukta į kitas jau apibrėžtas funkcijas.</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0010–0070 ir 0080–0150 eilutėse nurodytos sandorio šalys yra apibrėžiamos taip pat kaip sandorio šalių sektoriai, nurodyti FINREP V priedo 1 dalies 6 skyriuje. MVĮ – mažosios ir vidutinės įmonės, kaip apibrėžta FINREP V priedo 1 dalies 5 punkto i papunktyje.</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Identifikatorius</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Ekonominė funkcija</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Indėliai</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Indėlių priėmimas reiškia indėlių priėmimą iš nefinansinių tarpininkų. Tai neapima skolinimosi iš kitų finansinių tarpininkų; šios rūšies veikla nurodoma atskirai didmeniniam finansavimui skirtame skirsnyje.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Indėliai apima: i) einamąsias sąskaitas / vienos nakties indėlius, ii) sutarto termino indėlius ir iii) įspėjamojo laikotarpio indėlius ir neapima atpirkimo sandorių.</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Nuorodos: Finansinio stabilumo tarybos gairės dėl ypatingos svarbos funkcijų ir ypatingos svarbos bendrų paslaugų nustatymo (2013 m.),  („FSB Guidance on Identification of Critical Functions and Critical Shared Services“ (2013)), p. 14; Reglamento (ES) Nr. 1071/2013 II priedo 2 dalies 9.1, 9.2 ir 9.3 punktai.</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Namų ūkiai</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 finansų bendrovės (MVĮ)</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 finansų bendrovės (ne MVĮ)</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Valdžios sektoriaus institucijos</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Kiti sektoriai / sandorio šalys (1), (2) ir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Skolinimas</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Skolinimas yra lėšų teikimas ne finansų sandorio šalims, pavyzdžiui, įmonėms arba mažmeniniams klientams. Skolinimas finansų sandorio šalims yra atskira veiklos rūšis, vertinama didmeniniam finansavimui skirtame skirsnyje. Paskolos apima įstaigų laikomas skolos priemones, bet neapima skolos priemonių, kurias sudaro vertybiniai popieriai, nepriklausomai nuo to, kaip jie klasifikuojami apskaitoje.</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Nuorodos: Finansinio stabilumo tarybos gairės dėl ypatingos svarbos funkcijų ir ypatingos svarbos bendrų paslaugų nustatymo (2013 m.), p. 17; Reglamento (ES) Nr. 1071/2013 II priedo 2 dalies 2 punktas.</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Namų ūkiai: paskolos būstui pirkti</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„Paskolos būstui pirkti“ yra namų ūkiams suteikti kreditai, siekiant investuoti į būstą savo naudojimui arba nuomai, įskaitant statybą ir remontą.</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Namų ūkiai: kitos paskolos</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 finansų bendrovės: MVĮ</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 finansų bendrovės: ne MVĮ</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Valdžios sektoriaus institucijos</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Kiti sektoriai / sandorio šalys (1), (2) ir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Mokėjimų, grynųjų pinigų, atsiskaitymo, tarpuskaitos, saugojimo paslaugos</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Nuoroda: Finansinio stabilumo tarybos gairės dėl ypatingos svarbos funkcijų ir ypatingos svarbos bendrų paslaugų nustatymo (2013 m.), p.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Prie šios kategorijos priskiriamos ekonominės funkcijos apima mokėjimų, grynųjų pinigų, atsiskaitymo, tarpuskaitos ir saugojimo paslaugas, kredito įstaigos teikiamas jai tarpininkaujant tarp savo klientų arba tarp kliento ir vienos ar kelių atitinkamų finansų rinkos infrastruktūrų, arba (netiesioginės) prieigos prie finansų rinkos infrastruktūrų teikimą kitiems bankams. Pagal Finansinio stabilumo tarybos gaires dėl ypatingos svarbos funkcijų ir ypatingos svarbos bendrų paslaugų nustatymo mokėjimų, tarpuskaitos ir atsiskaitymo funkciją sudaro tik bankų klientams teikiamos paslaugos. Ši kategorija neapima paslaugų, kurias teikia (tikrieji) finansų rinkos infrastruktūros teikėjai. Šiame šablone finansų rinkos infrastruktūros apima mokėjimo sistemas, vertybinių popierių atsiskaitymo sistemas, centrinius vertybinių popierių depozitoriumus ir pagrindines sandorio šalis (ir neapima sandorių duomenų saugyklų).</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Mokėjimo paslauga, mokėjimo operacija ir mokėjimo sistema turi tą pačią reikšmę, kaip apibrėžta atitinkamai Europos Parlamento ir Tarybos direktyvos (ES) 2015/2366</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 xml:space="preserve"> 4 straipsnio 3, 5 ir 7 dalyse.</w:t>
            </w:r>
          </w:p>
          <w:p w14:paraId="6873CCB9" w14:textId="77777777" w:rsidR="007827E9" w:rsidRPr="005E1A1B"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Mokėjimo paslaugos PFĮ</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Į šią eilutę įtraukiamos mokėjimo paslaugos, teikiamos pinigų finansų įstaigoms (PFĮ) naudojant išorės mokėjimo sistemas arba jų nenaudojant. Tai taip pat apima korespondentinės bankininkystės paslaugas (t. y. su jomis susijusius mokėjimus). PFĮ apima visus institucinius vienetus, įtrauktus į šiuos subsektorius: i) centrinį banką, ii) indėlių bendroves, išskyrus centrinį banką, ir iii) pinigų fondus.</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Mokėjimo paslaugos ne PFĮ</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Mokėjimo paslaugos, teikiamos klientams naudojant išorės mokėjimo sistemas arba jų nenaudojant. Tai apima tik fizinius arba juridinius asmenis, nepriklausančius PFĮ sektoriui. Į ne PFĮ sektorių taip pat neįtraukiamo mokėjimo paslaugų teikėjai.</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Grynųjų pinigų paslaugos</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Grynųjų pinigų paslaugų teikimas klientams (tiek fiziniams asmenims, tiek bendrovėms, tik ne </w:t>
            </w:r>
            <w:r>
              <w:rPr>
                <w:rFonts w:ascii="Times New Roman" w:hAnsi="Times New Roman"/>
                <w:color w:val="000000" w:themeColor="text1"/>
                <w:sz w:val="20"/>
                <w:szCs w:val="20"/>
              </w:rPr>
              <w:lastRenderedPageBreak/>
              <w:t>PFĮ). Šios paslaugos apima grynųjų pinigų išėmimą bankomatuose ir filialuose ir neapima kitų grynųjų pinigų paslaugų (įskaitant mažmeninės prekybos subjektams teikiamas grynųjų pinigų pervežimo paslaugas). Taip pat įtraukiamas grynųjų pinigų išėmimas naudojant čekius ir pinigų išėmimas filialuose naudojant banko blankus (kai kortelės gali būti naudojamos kaip tapatybės nustatymo priemonės).</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Vertybinių popierių atsiskaitymo paslaugos</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Klientams teikiamos paslaugos, susijusios su vertybinių popierių operacijų patvirtinimu, tarpuskaita ir atsiskaitymu už juos, naudojant vertybinių popierių atsiskaitymo sistemas arba jų nenaudojant. Atsiskaitymas yra vertybinių popierių operacijos, vykdomos siekiant įvykdyti to sandorio šalių įsipareigojimus pervedant pinigus ir (arba) pateikiant vertybinius popierius, užbaigimas.</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PSŠ tarpuskaitos paslaugos</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Klientams teikiamos vertybinių popierių ir išvestinių finansinių priemonių tarpuskaitos paslaugos. Tai taip pat apima galimybės naudotis pagrindinės sandorio šalies (PSŠ) paslaugomis netiesioginį suteikimą.</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Saugojimo paslaugos</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Finansinių priemonių saugojimas ir tvarkymas klientų vardu ir su tuo susijusios paslaugos, pavyzdžiui, grynųjų pinigų ir užtikrinimo priemonių valdymas.</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Kitos paslaugos / veikla / funkcijos (1), (2) ir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Kapitalo rinkos</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Kapitalo rinkų veikla yra vertybinių popierių išleidimas ir prekyba jais, susijusios konsultavimo paslaugos ir susijusios paslaugos, pavyzdžiui, pagrindinio finansų tarpininko paslaugos ir rinkos formavimo veikla.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Prekybai laikomos išvestinės finansinės priemonės: nebiržinės</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Reglamento (ES) Nr. 648/2012 2 straipsnio 5 ir 7 dalys.</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Išvestinė finansinė priemonė arba išvestinių finansinių priemonių sutartis yra finansinė priemonė, kaip nustatyta Direktyvos 2014/65/ES I priedo C skirsnio 4–10 punktuose, kaip įgyvendinta Komisijos reglamento (EB) Nr. 1287/2006</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 xml:space="preserve"> 38 ir 39 straipsniais.</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Nebiržinė išvestinė priemonė arba nebiržinių išvestinių priemonių sutartis yra išvestinių finansinių priemonių sutartis, kuri nevykdoma nei reguliuojamoje rinkoje, kaip apibrėžta Direktyvos 2014/65/ES 4 straipsnio 1 dalies 21 punkte, nei trečiosios valstybės rinkoje, laikomoje lygiaverte reguliuojamai rinkai pagal Reglamento (ES) Nr. 648/2012 2a straipsnį.</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Nurodoma suma apima tik išvestines finansines priemones, kuriomis prekiaujama nebiržinėje rinkoje.</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Prekybai laikomos išvestinės finansinės priemonės, kurios nėra nebiržinės</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Visos prekybai laikomos išvestinės finansinės priemonės, išskyrus prekybai laikomas nebiržines išvestines finansines priemones.</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Antrinės rinkos / prekyba</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Antrinė rinka yra rinka, kurioje investuotojai perka ir parduoda vertybinius popierius. Ši funkcija taikoma bendram prekybos portfeliui (t. y. nuosavam kapitalui, įmonių kreditui, valstybės kreditui).</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Nurodoma suma apima vertybinių popierių vertę, įvertintą kaip prekybai laikomų vertybinių </w:t>
            </w:r>
            <w:r>
              <w:rPr>
                <w:rFonts w:ascii="Times New Roman" w:hAnsi="Times New Roman"/>
                <w:color w:val="000000" w:themeColor="text1"/>
                <w:sz w:val="20"/>
                <w:szCs w:val="20"/>
              </w:rPr>
              <w:lastRenderedPageBreak/>
              <w:t>popierių bendra suma. Vertybiniai popieriai nurodomi tikrąja verte ataskaitinę datą.</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Į sumą neįtraukiamos paskolos, išvestinės finansinės priemonės ir turtas, kuriuo negalima prekiauti (pvz., gautinos sumos).</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Pirminės rinkos / platinimas</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Pirminės rinkos yra rinkos, kuriose įmonės, Vyriausybės ir kitos grupės išleidžia prekybai skirtus vertybinius popierius, kad gautų finansavimo per skola arba nuosavu kapitalu grindžiamus vertybinius popierius (pavyzdžiui, paprastąsias ir privilegijuotąsias akcijas, įmonių obligacijas, skolinius įsipareigojimus, vekselius, Vyriausybės obligacijas). Pirminėse rinkose veiklą pagalbinę funkciją atlieka platinimo grupės.</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Kitos paslaugos / veikla / funkcijos (1), (2) ir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Didmeninis finansavimas</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Skolinimo finansų sandorio šalims (kredito įstaigoms ir kitoms finansų bendrovėms) ir skolinimosi iš jų veikla didmeninėse rinkose.</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Skolinimasis</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Skolinimasis iš finansų sandorio šalių didmeninėse rinkose (įskaitant atpirkimo sandorių, tarpbankinio skolinimosi, komercinių vekselių, indėlių sertifikatų, pinigų rinkos fondų, kredito linijų, turtu padengtų komercinių vekselių ir patikėtų indėlių naudojimą).</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Išvestinės finansinės priemonės (turtas)</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Visos išvestinių finansinių priemonių sutartys su finansų sandorio šalimis, įtrauktos į balanso turto dalį. Priešingai nei skirsnyje „Kapitalo rinkos“, skirsnyje „Didmeninis finansavimas“ išvestinės finansinės priemonės apima visas išvestinių finansinių priemonių sutartis su finansų sandorio šalimis (neapsiribojant laikomomis prekybai).</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Skolinimas</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Skolinimas finansų sandorio šalims didmeninėse rinkose (įskaitant atvirkštinio atpirkimo paskolų, komercinių vekselių, indėlių sertifikatų, pinigų rinkos fondų, kredito linijų, turtu padengtų komercinių vekselių ir patikėtų indėlių naudojimą).</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Išvestinės finansinės priemonės (įsipareigojimai)</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Visos išvestinių finansinių priemonių sutartys su finansų sandorio šalimis, įtrauktos į balanso įsipareigojimų dalį.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Kitų rūšių produktai (1), (2) ir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Visos 5.1–5.4 punktuose nenurodytos funkcijos, susijusios su ekonomine funkcija „Didmeninis finansavimas“.</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Ekonominių funkcijų ypatingos svarbos vertinimas (FUNC 1). Nurodymai dėl konkrečių pozicijų</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vieną kartą pateikiama informacija apie kiekvieną valstybę narę (nurodytą kaip „šalis“), kurioje grupė vykdo veiklą.</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Jis apima visas ekonomines funkcijas, kurias grupės subjektas vykdo toje valstybėje narėje, nepriklausomai nuo to, ar ta funkcija yra ypatingos svarbos, ar ne.</w:t>
      </w:r>
    </w:p>
    <w:p w14:paraId="0F54907C" w14:textId="77777777" w:rsidR="005244DF" w:rsidRPr="005E1A1B"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Eilutės</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Ekonominės funkcijos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Ekonominės funkcijos, kaip apibrėžta pirmiau.</w:t>
            </w:r>
          </w:p>
        </w:tc>
      </w:tr>
    </w:tbl>
    <w:p w14:paraId="1B2F7A7F" w14:textId="77777777" w:rsidR="0056559D" w:rsidRPr="005E1A1B"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Ekonominės funkcijos aprašymas</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Jeigu ekonominė funkcija priskiriama prie rūšies „Kita“ (1.5–1.7, 2.6–2.8, 3.7–3.9, 4.5– 4.7, 5.5–5.7 funkcijos), pateikiamas tos funkcijos aprašymas.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Rinkos dalis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Rinkos dalies, kurią įstaiga arba grupė atitinkamoje šalyje užima vykdydama ekonominę funkciją, įvertis. Nurodoma kaip visos rinkos, išreikštos pinigų suma, procentinė dalis.</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Pinigų suma</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Šios skilties turinys priklauso nuo teikiamos ekonominės funkcijos.</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Indėliai</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Priimtų indėlių balansinė vertė (įskaitant sukauptas palūkanas)</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Nuorodos: FINREP III ir IV priedai, F 08.01 forma ir V priedo 2 dalies 97 punktas.</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Skolinimas</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Nenuvertėjusių ir nuvertėjusių paskolų ir kitų išankstinių mokėjimų bendroji balansinė vertė (įskaitant sukauptas palūkanas). Esamų paskolų vertė naudojama kaip pakaitinis rodiklis tikėtino būsimo skolinimo vertei nustatyti.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Nuorodos: FINREP III ir IV priedai, F 04.04.01 forma ir V priedo 1 dalies 34 punkto b papunktis.</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Mokėjimų, grynųjų pinigų, atsiskaitymo, tarpuskaitos, saugojimo paslaugos</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Paprastai nurodomas operacijų dienos vidurkis per metus. Jeigu šių duomenų neturima, gali būti nurodomas vidurkis per trumpesnį laikotarpį (pvz., per kelis mėnesius).</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Konkrečiai, kiek tai susiję su skirtingomis funkcijomis, atsižvelgiama į šiuos matus: </w:t>
            </w:r>
          </w:p>
          <w:p w14:paraId="66BA4289" w14:textId="5590C6E4"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Mokėjimo paslaugos (3.1 ir 3.2): išsiųstų operacijų vertė. </w:t>
            </w:r>
            <w:r>
              <w:t xml:space="preserve"> </w:t>
            </w:r>
            <w:r>
              <w:br/>
            </w:r>
            <w:r>
              <w:rPr>
                <w:rFonts w:ascii="Times New Roman" w:hAnsi="Times New Roman"/>
                <w:color w:val="000000" w:themeColor="text1"/>
                <w:sz w:val="20"/>
                <w:szCs w:val="20"/>
              </w:rPr>
              <w:t>(Nuorodos: Direktyvos (ES) 2015/2366 4 straipsnio 5 dalis; ECB/2013/43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r w:rsidR="00C80254">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Grynųjų pinigų paslaugos (3.3): bankomato operacijų vertė, kaip apibrėžta ECB/2013/43 7 lentelėje, taip pat nebiržinis pinigų išėmimas, kaip apibrėžta ECB/2014/15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xml:space="preserve"> 4 lentelėje.</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Vertybinių popierių atsiskaitymo paslaugos (3.4): vertybinių popierių pervedimų, atliktų klientų vardu, vertė. Tai apima sandorius, už kuriuos atsiskaityta naudojant vertybinių popierių atsiskaitymo sistemą arba už kuriuos informaciją teikiančios įstaigos atsiskaitė tarpusavyje, ir atsiskaitymo be mokėjimo operacijos.</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PSŠ tarpuskaitos paslaugos (3.5): pozicijos, kurias PSŠ, kurių narė yra įstaiga, klientų vardu prisiima įstaigos atžvilgiu. Reikia nurodyti atvirųjų pozicijų, susijusių su klientų veikla PSŠ, vidutinę dienos vertę. Jeigu šių duomenų neturima, galima nurodyti trumpesnio laikotarpio (pvz., kelių mėnesių) vidurkį.</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Saugojimo paslaugos (3.6): saugomo turto vertė, išreikšta tikrąja verte. Jeigu tikrosios vertės duomenų nėra, gali būti naudojamas kitas vertinimo pagrindas, įskaitant nominaliąją vertę. Tais atvejais, kai įstaiga teikia paslaugas tokiems subjektams kaip kolektyvinio investavimo subjektai ar pensijų fondai, gali būti nurodoma tokia susijusio </w:t>
            </w:r>
            <w:r>
              <w:rPr>
                <w:rFonts w:ascii="Times New Roman" w:hAnsi="Times New Roman"/>
                <w:color w:val="000000" w:themeColor="text1"/>
                <w:sz w:val="20"/>
                <w:szCs w:val="20"/>
              </w:rPr>
              <w:lastRenderedPageBreak/>
              <w:t xml:space="preserve">turto vertė, kokią šie subjektai nurodo savo balanse. Prireikus į nurodomas sumas įtraukiamos sukauptos palūkanos. </w:t>
            </w:r>
            <w:r>
              <w:t xml:space="preserve"> </w:t>
            </w:r>
            <w:r>
              <w:br/>
            </w:r>
            <w:r>
              <w:rPr>
                <w:rFonts w:ascii="Times New Roman" w:hAnsi="Times New Roman"/>
                <w:color w:val="000000" w:themeColor="text1"/>
                <w:sz w:val="20"/>
                <w:szCs w:val="20"/>
              </w:rPr>
              <w:t>(Nuoroda: FINREP III ir IV priedai, F 22.02 formos 010 skiltis).</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Kapitalo rinkos</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Tariamoji suma, nurodoma tik išvestinių finansinių priemonių atveju (4.1–4.2), – bendroji nominalioji visų sudarytų ir ataskaitinę datą dar neapmokėtų sandorių suma.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Nuorodos: apibrėžtis – FINREP V priedo 2 dalies 133 punktas; duomenys – FINREP III, IV ir V priedai.</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Bendra išvestinių finansinių priemonių vertė (4.1–4.2): F 10.00 formos 030 skilties 290 eilutė.</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Nebiržinės išvestinės finansinės priemonės (4.1): F 10.00 formos 030 skilties 300+310+320 eilutės.</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Antrinės rinkos veikla (4.3). Turto balansinė vertė – balansinė vertė, nurodoma balanso turto dalyje, įskaitant sukauptas palūkanas [FINREP V priedo 1 dalies 27 punktas] pagal nuosavybės priemones ir skolos vertybinius popierius [FINREP V priedo 1 dalies 31 punktas], priskiriamus prie „laikomų prekybai“ [FINREP V priedo 1 dalies 15 punkto a papunktis ir 16 punkto a papunktis].</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Nuoroda: FINREP III priedo F 04.01 formos 010 skilties 010+060+120 eilutės.</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Pirminės rinkos (4.4): paslaugų pajamos – mokesčiai už paslaugas ir komisiniai, gauti už dalyvavimą inicijuojant arba išleidžiant vertybinius popierius, kuriuos inicijavo arba išleido ne įstaiga.</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Nuoroda: FINREP III ir IV priedai, F 22.01 formos 010 skilties 030+180 eilutės.</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Didmeninis finansavimas</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Naudoti bendrąją balansinę vertę, kaip apibrėžta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Nuorodos: FINREP V priedo 1 dalies 34 punktas, FINREP III ir IV priedai, formos:</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Skolinimasis (5.1): F 20.06 formos 010 skilties 100+110 eilutės, visos šalys.</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Išvestinės finansinės priemonės (turtas) (5.2): F 20.04 formos 010 skilties 010 eilutė, visos šalys.</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Skolinimas (5.3): F 20.04 formos 010 skilties 170+180 eilutės, visos šalys.</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Išvestinės finansinės priemonės (įsipareigojimai) (5.4): F 20.06 formos 010 skilties 010 eilutė, visos šalys.</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Skaitinis rodiklis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Šios skilties turinys priklauso nuo teikiamos ekonominės funkcijos.</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Indėliai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Bendras klientų, kurie turi indėlių, kurių vertės išreikštos pinigų suma, skaičius. Jeigu klientas naudoja daugiau nei vieną indėlių produktą / sąskaitą, klientas į apskaičiavimą įtraukiamas tik kartą.</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Skolinimas</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Bendras klientų skaičius. Jeigu klientas naudoja kelis paskolų produktus / sąskaitas, klientas į apskaičiavimą įtraukiamas tik kartą.</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Mokėjimų, grynųjų pinigų, atsiskaitymo, tarpuskaitos, saugojimo paslaugos</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Paprastai nurodomas operacijų dienos vidurkis per metus. Jeigu šių duomenų neturima, gali būti nurodomi vidurkiai per trumpesnį laikotarpį (pvz., per kelis mėnesius).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Konkrečiai, kiek tai susiję su skirtingomis funkcijomis, atsižvelgiama į šiuos matus:</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Mokėjimo paslaugos (3.1–3.2): atliktų operacijų skaičius. </w:t>
            </w:r>
            <w:r>
              <w:t xml:space="preserve"> </w:t>
            </w:r>
            <w:r>
              <w:br/>
            </w:r>
            <w:r>
              <w:rPr>
                <w:rFonts w:ascii="Times New Roman" w:hAnsi="Times New Roman"/>
                <w:color w:val="000000" w:themeColor="text1"/>
                <w:sz w:val="20"/>
                <w:szCs w:val="20"/>
              </w:rPr>
              <w:t>Nuorodos: Direktyvos (ES) 2015/2366 4 straipsnio 5 dalis; ECB/2013/43.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Grynųjų pinigų paslaugos (3.3): bankomato operacijų skaičius, kaip apibrėžta ECB/2013/43 7 lentelėje, taip pat nebiržinis pinigų išėmimas, kaip apibrėžta ECB/2014/15 4 lentelėje.</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Vertybinių popierių atsiskaitymo paslaugos (3.4): vertybinių popierių pervedimo operacijų, atliktų klientų vardu, skaičius. Tai apima operacijas, kai atsiskaitoma naudojant vertybinių popierių atsiskaitymo sistemą arba informaciją teikiančios įstaigos arba grupės viduje, ir atsiskaitymo be mokėjimo operacijos.</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Kapitalo rinkos</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Sandorio šalių arba operacijų skaičius. Išvestinių finansinių priemonių (4.1–4.2) ir antrinės rinkos priemonių (4.3) atveju nurodomas bendras sandorio šalių skaičius. Pirminių rinkų (4.4) atveju – bendras pasirašytų operacijų skaičius.</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Didmeninis finansavimas</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Bendras sandorio šalių skaičius. Jeigu sandorio šalis turi daugiau nei vieną sąskaitą ir (arba) daugiau nei vieną sandorį, sandorio šalis į apskaičiavimą įtraukiama tik kartą.</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Poveikis rinkai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Apskaičiuotas staigaus funkcijos vykdymo nutraukimo poveikis trečiosioms šalims, finansų rinkoms ir realiajai ekonomikai, atsižvelgiant į įstaigos dydį, šalyje užimamą rinkos dalį, išorės ir vidaus tarpusavio sąsajas, sudėtingumą ir tarpvalstybinę veiklą.</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Poveikis įvertinamas kokybiškai, nurodant, ar jis yra didelis („High“, H)“, gana didelis („Medium-High“, MH)“, gana mažas („Medium-Low“, ML) ar mažas („Low“,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nurodoma, jeigu funkcijos vykdymo nutraukimas turėtų labai didelį poveikį nacionalinei rinkai; „MH“ – jei poveikis būtų reikšmingas; „ML“ – jei poveikis reikšmingas, tačiau ribotas, ir „L“ – jei poveikis mažas.</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Pakeičiamumas</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Deleguotojo reglamento (ES) 2016/778 6 straipsnio 3 dalis.</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Funkcija laikoma pakeičiama, kai ją galima priimtinu būdu pakeisti per protingą laiko tarpą ir taip išvengti realiosios ekonomikos ir finansų rinkų sisteminių problemų. Atsižvelgiama į šiuos kriterijus:</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tos funkcijos rinkos struktūrą ir pakaitinių paslaugos teikėjų egzistavimą;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kitų paslaugos teikėjų galimybes pajėgumo, funkcijos vykdymo reikalavimų ir galimų kliūčių patekti į rinką ar plėstis požiūriais;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kitų paslaugos teikėjų paskatas perimti šią veiklą;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laikotarpį, kurio reikia, kad paslaugos naudotojai pradėtų naudotis naujo paslaugų teikėjo paslaugomis, ir to paslaugų teikėjo pakeitimo išlaidas, laiką, kurio reikia, kad kiti konkurentai perimtų funkcijas, ir tai, ar tas laikotarpis pakankamai trumpas, kad būtų išvengta reikšmingo sutrikdymo atsižvelgiant į paslaugos rūšį.</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Poveikis įvertinamas kokybiškai, nurodant, ar jis yra didelis („High“, H)“, gana didelis („Medium-High“, MH)“, gana mažas („Medium-Low“, ML) ar mažas („Low“,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nurodoma, jeigu funkciją gali lengvai teikti kitas bankas panašiomis sąlygomis ir per protingą laiko tarpą;</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 jei funkcijos negalima lengvai ar greitai pakeisti;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ir „ML“ nurodoma tarpiniams atvejams, atsižvelgiant į skirtingus aspektus (pvz., rinkos dalį, rinkos koncentraciją, pakeitimo laiko tarpą, taip pat teisines patekimo į rinką ar plėtimosi joje kliūtis ir veiklos reikalavimus).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Ypatingos svarbos funkcija</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Šioje skiltyje nurodoma, ar, atsižvelgiant į kiekybinius duomenis ir ypatingos svarbos rodiklius šiame šablone, ekonominė funkcija atitinkamos šalies rinkoje yra laikoma ypatingos svarbos.</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Nurodoma „Taip“ arba „Ne“.</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lastRenderedPageBreak/>
        <w:t>Z 07.02. Ypatingos svarbos funkcijų susiejimas su juridiniais asmenimis (FUNC 2) Nurodymai dėl konkrečių pozicijų</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teikiama informacija apie visą grupę. Šiame šablone nurodomos tik ypatingos svarbos funkcijos, nurodytos {Z 07.01;070} (pagal valstybes nares).</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Šio šablono 0010, 0020 ir 0040 skiltyse nurodytų verčių derinys yra pirminis raktas, kuris turi būti unikalus kiekvienai šablono eilutei.</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Šalis</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Šalis, kurioje funkcija yra ypatingos svarbos, kaip nurodyta Z 07.01 (FUNC 1) šablone.</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Identifikatorius</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Ypatingos svarbos funkcijų, kaip apibrėžta II.7.1 skyriuje ir nurodyta Z 07.01 (FUNC 1) šablone, identifikatorius.</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Subjekto pavadinimas</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Subjekto, vykdančio ypatingos svarbos funkciją, pavadinimas, nurodytas Z 01.00 (ORG) šablone.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Jeigu tas pačias ypatingos svarbos funkcijas toje pačioje šalyje vykdo keli subjektai, kiekvienas subjektas nurodomas atskiroje eilutėje.</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Subjekto, vykdančio ypatingos svarbos funkciją, kodas, nurodytas šablone „Z 01.00. Organizacinė struktūra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Pinigų suma</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Juridinio asmens indėlis, išreikštas pinigų suma, į pinigų sumą, nurodytą Z 07.01 (FUNC 1) šablono 0030 skiltyje. </w:t>
            </w:r>
          </w:p>
        </w:tc>
      </w:tr>
    </w:tbl>
    <w:p w14:paraId="1C505975" w14:textId="77777777" w:rsidR="0056559D" w:rsidRPr="005E1A1B"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Pagrindinių verslo linijų susiejimas su juridiniais asmenimis (FUNC 3). Nurodymai dėl konkrečių pozicijų</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Šio šablono 0020 ir 0040 eilutėse nurodytų verčių derinys yra pirminis raktas, kuris turi būti unikalus kiekvienai šablono eilutei.</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Šiame šablone nurodomi tik atitinkami juridiniai asmenys.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Pagrindinė verslo linija</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Pagrindinė verslo linija pagal Direktyvos 2014/59/ES 2 straipsnio 1 dalies 36 punktą ir Komisijos deleguotojo reglamento (ES) 2016/778 7 straipsnį.  </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Verslo linijos identifikatorius</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Unikalus įstaigos pateiktinas verslo linijos identifikatorius.</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Aprašymas</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Pagrindinės verslo linijos aprašymas.</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Subjekto pavadinimas</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Subjekto, turinčio pagrindinę verslo liniją arba jai priklausančio, pavadinimas, nurodytas Z 01.00 (ORG) šablone.</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Jeigu tą pačią pagrindinę verslo liniją turi arba jai priklauso keli subjektai, kiekvienas subjektas nurodomas atskiroje eilutėje.</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Kodas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Subjekto, turinčio pagrindinę verslo liniją arba jai priklausančio, kodas, nurodytas Z 01.00 (ORG) šablone.</w:t>
            </w:r>
          </w:p>
        </w:tc>
      </w:tr>
    </w:tbl>
    <w:p w14:paraId="258A1667" w14:textId="3BCA2C0A" w:rsidR="0056559D" w:rsidRPr="00D92B3C" w:rsidRDefault="00F7117F" w:rsidP="00715DAB">
      <w:pPr>
        <w:pStyle w:val="Instructionsberschrift3"/>
      </w:pPr>
      <w:r>
        <w:t>Z 07.04. Ypatingos svarbos funkcijų susiejimas su pagrindinėmis verslo linijomis (FUNC 4). Nurodymai dėl konkrečių pozicijų</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Šio šablono 0010, 0020 ir 0040 skiltyse nurodytų verčių derinys yra pirminis raktas, kuris turi būti unikalus kiekvienai šablono eilutei.</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Šiame šablone nurodomos tik ypatingos svarbos funkcijos, nurodytos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Šalis</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Šalis, kurioje funkcija yra ypatingos svarbos, kaip nurodyta Z 07.01 (FUNC 1) šablone.</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Funkcijos identifikatorius</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Ypatingos svarbos funkcijų, kaip apibrėžta II.7.1 skyriuje ir nurodyta Z 07.01 (FUNC 1) šablone, identifikatorius.</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Pagrindinė verslo linija</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Pagrindinė verslo linija pagal Direktyvos 2014/59/ES 2 straipsnio 1 dalies 36 punktą ir 2016 m. vasario 2 d. Komisijos deleguotojo reglamento (ES) 2016/778 7 straipsnį, nurodyta Z 07.03 (FUNC 3) šablone.</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Verslo linijos identifikatorius</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Unikalus įstaigos pateiktinas verslo linijos identifikatorius; tas pats identifikatorius, koks nurodytas Z 07.03 (FUNC 3) šablone.</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44394"/>
      <w:r>
        <w:rPr>
          <w:rFonts w:ascii="Times New Roman" w:hAnsi="Times New Roman"/>
          <w:szCs w:val="20"/>
        </w:rPr>
        <w:t>Z 08.00. Ypatingos svarbos paslaugos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Bendrieji nurodymai</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vieną kartą pateikiama informacija apie visą grupę, jame grupės subjekto gautos ypatingos svarbos paslaugos išvardijamos ir susiejamos su grupės atliekamomis ypatingos svarbos funkcijomis.</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Ypatingos svarbos paslaugos yra pagrindinės operacijos, veikla ir paslaugos, vykdomos vienam (specializuotos paslaugos) ar keliems verslo padaliniams ar grupės juridiniams subjektams (bendrosios paslaugos), kurių reikia vienai ar kelioms ypatingos svarbos funkcijoms vykdyti. Ypatingos svarbos paslaugas gali teikti grupės subjektai (vidaus paslauga) arba pagal užsakomųjų paslaugų sutartį išorės paslaugų teikėjas (išorės paslauga). Paslauga laikytina ypatingos svarbos, kai nustojus ją teikti gali atsirasti didelių kliūčių arba būti visiškai sutrikdytas ypatingos svarbos funkcijų vykdymas, nes šios paslaugos yra neatsiejamai susijusios su ypatingos svarbos funkcijomis, kurias įstaiga vykdo trečiųjų šalių vardu.</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Tik viduje juridiniam asmeniui teikiamos paslaugos šiame šablone nenurodomos.</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Reikšmingo poveikio ypatingos svarbos funkcijoms neturinčios paslaugos šiame šablone nenurodomos.</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Šio šablono 0005, 0010, 0030, 0050, 0070 ir 0080 skiltyse nurodytų verčių derinys yra pirminis raktas, kuris turi būti unikalus kiekvienai šablono eilutei.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Nurodymai dėl konkrečių pozicijų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Identifikatorius</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Paslaugos rūšis</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Paslauga priskiriama prie vienos iš toliau nurodytų paslaugų rūšių.</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Kai įmanoma, nurodoma pakategorė (du skaitmenys). Jeigu pakategorės nėra arba nė viena pakategorė tinkamai neapibūdina įstaigos teikiamos paslaugos, nurodoma pagrindinė kategorija (vienas skaitmuo).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Parama žmogiškiesiems ištekliams</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Personalo administravimas, įskaitant sutarčių ir atlyginimų tvarkymą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Vidaus komunikacija</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Informacinės technologijos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IT ir komunikacijų techninė įranga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Duomenų saugojimas ir tvarkymas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Kita IT infrastruktūra, kompiuterizuotos darbo vietos, telekomunikacijos, serveriai, duomenų centrai ir susijusios paslaugos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Programinės įrangos licencijų ir taikomosios programinės įrangos tvarkymas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Prieiga prie išorės tiekėjų, visų pirma duomenų ir infrastruktūros tiekėjų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Taikomųjų programų priežiūra, įskaitant taikomosios programinės įrangos priežiūrą ir susijusius duomenų srautus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Ataskaitų kūrimas, vidaus informacijos srautai ir duomenų bazės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Parama naudotojams</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Veiklos atkūrimas avariniais atvejais ir po ekstremalių įvykių</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Operacijų tvarkymas, įskaitant teisinius su operacijomis susijusius klausimus, visų pirma pinigų plovimo</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Nekilnojamojo turto ir infrastruktūros tiekimas ar valdymas ir susijusi infrastruktūra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Biurų patalpos ir saugyklos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Vidaus infrastruktūros priežiūra</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Apsauga ir patekimo kontrolė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Nekilnojamojo turto portfelio valdymas</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Kita (nurodyti)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Teisinės paslaugos ir atitikties užtikrinimo funkcija: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Teisinė pagalba įmonėms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Teisinės paslaugos verslo ir operacijų klausimais</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Atitikties užtikrinimo parama</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Su iždu susijusios paslaugos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6.1</w:t>
            </w:r>
            <w:r>
              <w:tab/>
            </w:r>
            <w:r>
              <w:rPr>
                <w:rFonts w:ascii="Times New Roman" w:hAnsi="Times New Roman"/>
                <w:color w:val="000000" w:themeColor="text1"/>
                <w:sz w:val="20"/>
                <w:szCs w:val="20"/>
              </w:rPr>
              <w:t>Iždo veiklos koordinavimas, administravimas ir valdymas</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Subjektų refinansavimo koordinavimas, administravimas ir valdymas, įskaitant užtikrinimo priemonių valdymą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Ataskaitų teikimo funkcija, visu pirma susijusi su reguliuojamaisiais likvidumo rodikliais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Vidutinės trukmės ir ilgalaikio finansavimo programų koordinavimas, administravimas ir valdymas, taip pat grupės subjektų refinansavimas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Refinansavimo, visų pirma trumpalaikių emisijų, koordinavimas, administravimas ir valdymas</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Prekybos / turto valdymas</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Operacijų tvarkymas: prekybos sandorių nustatymas, koncepcija, realizavimas, prekybos produktų aptarnavimas</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Patvirtinimas, atsiskaitymas, mokėjimas</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Pozicijų ir sandorio šalių valdymas, kiek tai susiję su duomenų teikimu ir sandorio šalių santykiais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Pozicijų valdymas (rizika ir suderinimas)</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Rizikos valdymas ir vertinimas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Centrinės rizikos arba su verslo linija ar su rizikos rūšimi susijusios rizikos valdymas</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Rizikos ataskaitų kūrimas</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Apskaita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Teisės aktuose numatytų ir reguliavimo ataskaitų teikimas</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Vertinimas, visų pirma rinkos pozicijų</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Valdymo ataskaitų kūrimas</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Grynųjų pinigų tvarkymas</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Paslaugos gavėjas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Grupės subjektas, kuriam kitas grupės subjektas arba išorės teikėjas, nurodyti 0040–0050 skiltyse, teikia 0010 skiltyje nurodytą ypatingos svarbos paslaugą.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Subjekto pavadinimas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Turi skirtis nuo 0040 skiltyje nurodyto pavadinimo.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Kodas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Unikalus 0020 skiltyje nurodyto juridinio asmens identifikatorius, nurodytas Z 01.00 (ORG) šablone.</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Turi skirtis nuo 0050 skiltyje nurodyto identifikatoriaus.</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Paslaugos teikėjas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Juridinis asmuo (vidaus ar išorės), kuris grupės subjektui teikia 0010 skiltyje nurodytą ypatingos svarbos paslaugą.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Subjekto pavadinimas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Turi skirtis nuo 0020 skiltyje nurodyto pavadinimo.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Kodas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Unikalus 0040 skiltyje nurodyto juridinio asmens identifikatorius. Turi skirtis nuo 0030 skiltyje nurodyto identifikatoriaus.</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Jeigu paslaugos teikėjas yra grupės subjektas, nurodomas tas pats kodas, koks nurodytas Z 01.00 (ORG) šablone.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Jeigu paslaugos teikėjas nėra grupės subjektas, subjekto kodas yra:</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įstaigų atveju – 20-ies raidinių skaitinių ženklų LEI kodas;</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kitų subjektų kodas yra 20-ies raidinių skaitinių ženklų LEI kodas arba, jei jo nėra, pagal Sąjungoje taikomą vienodą kodų sistemą sudarytas kodas, arba, jei jo nėra – nacionalinis kodas.</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Kodas yra unikalus ir nuosekliai naudojamas visuose šablonuose.</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Grupės dalis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„Taip“, jeigu paslaugą teikia grupės (vidaus) subjektas.</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 jeigu paslaugą teikia grupei nepriklausantis (išorės) subjektas.</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Ypatingos svarbos funkcija</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Ypatingos svarbos funkcija, kurios vykdymas būtų labai sukliudytas arba visiškai sutrikdytas tuo atveju, jei būtų nustota teikti ypatingos svarbos paslaugą. Tai yra viena iš funkcijų, Z 07.01 (FUNC 1) šablone įvertintų kaip ypatingos svarbos.</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Šalis</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Valstybė narė, kurioje funkcija yra ypatingos svarbos, kaip nurodyta Z 07.01 (FUNC 1) šablone.</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Identifikatorius</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Ypatingos svarbos funkcijų, kaip apibrėžta II.7.1 skyriuje ir nurodyta Z 07.01 (FUNC 1) šablone, identifikatorius.</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Apytikris pakeitimo laikas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Apytikris laikas, kurio reikia, kad paslaugos teikėjas būtų pakeistas kitu, kad gaunamos paslaugos objektas, kokybė ir kaina būtų panaši.</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Nurodyti vieną iš šių verčių:</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diena – 1 savaitė“ – jeigu pakeitimo laikas yra ne ilgesnis nei savaitė;</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savaitė – 1 mėn.“ – jeigu pakeitimo laikas yra ilgesnis nei savaitė, bet ne ilgesnis nei mėnuo;</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„1–6 mėn.“ – jeigu pakeitimo laikas yra ilgesnis nei mėnuo, bet ne ilgesnis nei 6 mėnesiai;</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„6–12 mėn.“ – jeigu pakeitimo laikas yra ilgesnis nei 6 mėnesiai, bet ne ilgesnis nei metai;</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„daugiau nei 1 metai“ – jeigu pakeitimo laikas yra ilgesnis nei metai.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Apytikris prieigos prie sutarčių laikas</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Apytikris laikas, kurio reikia, kad, gavus pertvarkymo institucijos prašymą, būtų galima gauti šią informaciją apie sutartį, reglamentuojančią paslaugos teikimą:</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sutarties trukmė,</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sutarties šalys (užsakovas ir tiekėjas, asmenys ryšiams) ir jurisdikcija, kurioms jos priklauso,</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paslaugos pobūdis (t. y. trumpas šalių sudaryto sandorio aprašymas, įskaitant kainas),</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ar tą pačią paslaugą gali teikti kuris nors kitas vidaus / išorės teikėjas (ir nurodyti potencialius kandidatus),</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sutarčiai taikoma jurisdikcija,</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skyriaus, atsakingo už sutartyje numatytų pagrindinių operacijų tvarkymą, pavadinimas,</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pagrindinės nuobaudos, numatytos sutartyje mokėjimų sustabdymo ar vėlavimo atvejais,</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ankstyvo sutarties nutraukimo veiksnys ir sutarčiai nutraukti numatytas laikas,</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veiklos parama nutraukus sutartį,</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svarba ypatingos svarbos funkcijoms ir verslo linijoms.</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Nurodyti vieną iš šių verčių:</w:t>
            </w:r>
          </w:p>
          <w:p w14:paraId="1A34D4E0" w14:textId="2725171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diena</w:t>
            </w:r>
            <w:r w:rsidR="00C80254">
              <w:rPr>
                <w:rFonts w:ascii="Times New Roman" w:hAnsi="Times New Roman"/>
                <w:sz w:val="20"/>
                <w:szCs w:val="20"/>
              </w:rPr>
              <w:t>;</w:t>
            </w:r>
          </w:p>
          <w:p w14:paraId="77D7512A" w14:textId="7F0EDE96"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lastRenderedPageBreak/>
              <w:t>1 diena – 1 savaitė</w:t>
            </w:r>
            <w:r w:rsidR="00C80254">
              <w:rPr>
                <w:rFonts w:ascii="Times New Roman" w:hAnsi="Times New Roman"/>
                <w:sz w:val="20"/>
                <w:szCs w:val="20"/>
              </w:rPr>
              <w:t>;</w:t>
            </w:r>
          </w:p>
          <w:p w14:paraId="1A51B684" w14:textId="74562456"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daugiau nei 1 savaitė</w:t>
            </w:r>
            <w:r w:rsidR="00C80254">
              <w:rPr>
                <w:rFonts w:ascii="Times New Roman" w:hAnsi="Times New Roman"/>
                <w:sz w:val="20"/>
                <w:szCs w:val="20"/>
              </w:rPr>
              <w:t>;</w:t>
            </w:r>
          </w:p>
          <w:p w14:paraId="4BD39BFA" w14:textId="7868B365" w:rsidR="000713A0" w:rsidRPr="00D92B3C" w:rsidRDefault="000713A0">
            <w:pPr>
              <w:pStyle w:val="List1"/>
              <w:rPr>
                <w:rFonts w:eastAsia="Cambria"/>
                <w:w w:val="95"/>
              </w:rPr>
            </w:pPr>
            <w:r>
              <w:rPr>
                <w:rFonts w:ascii="Times New Roman" w:hAnsi="Times New Roman"/>
                <w:sz w:val="20"/>
                <w:szCs w:val="20"/>
              </w:rPr>
              <w:t>paslauga nėra reglamentuojama sutarties</w:t>
            </w:r>
            <w:r w:rsidR="00C80254">
              <w:rPr>
                <w:rFonts w:ascii="Times New Roman" w:hAnsi="Times New Roman"/>
                <w:sz w:val="20"/>
                <w:szCs w:val="20"/>
              </w:rPr>
              <w:t>.</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Taikoma teisė</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Šalies, kurios teisė taikoma sutarčiai, ISO kodas.</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Pertvarkant nekeičiama sutartis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Įvertinama, ar pertvarkymo atveju sutartį galima tęsti ir perduoti.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Atliekant vertinimą, be kitų dalykų, atsižvelgiama į:</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visas sąlygas, dėl kurių sandorio šalis galėtų nutraukti sutartį vien dėl pertvarkymo, ankstyvosios intervencijos priemonių arba priešpriešinių įsipareigojimų neįvykdymo scenarijų, nepaisant to, kad esminės pareigos vykdomos toliau;</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visas sąlygas, dėl kurių sandorio šalis galėtų pakeisti paslaugos sąlygas arba kainą vien dėl pertvarkymo, ankstyvosios intervencijos priemonių arba priešpriešinių įsipareigojimų neįvykdymo scenarijų, nepaisydama to, kad esminės pareigos vykdomos toliau;</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pertvarkymo institucijų turimų sustabdymo teisių pripažinimą sutartyje.</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Nurodyti vieną iš šių verčių:</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„Taip“ – jeigu padaroma išvada, kad sutartis pertvarkymo atveju yra nekeičiama;</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 – jeigu nepadaroma išvada, kad sutartis pertvarkymo atveju yra nekeičiama;</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„Neįvertinta“ – jeigu įvertinimas neatliktas.</w:t>
            </w:r>
          </w:p>
        </w:tc>
      </w:tr>
    </w:tbl>
    <w:p w14:paraId="4E1DED29" w14:textId="77777777" w:rsidR="00276FFB" w:rsidRPr="00D92B3C" w:rsidRDefault="00276FFB" w:rsidP="00276FFB">
      <w:pPr>
        <w:rPr>
          <w:rFonts w:ascii="Times New Roman" w:hAnsi="Times New Roman" w:cs="Times New Roman"/>
          <w:b/>
          <w:color w:val="000000" w:themeColor="text1"/>
          <w:sz w:val="20"/>
          <w:szCs w:val="20"/>
          <w:u w:val="single"/>
          <w:lang w:val="en-GB"/>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44395"/>
      <w:r>
        <w:rPr>
          <w:rFonts w:ascii="Times New Roman" w:hAnsi="Times New Roman"/>
          <w:color w:val="000000" w:themeColor="text1"/>
          <w:szCs w:val="20"/>
        </w:rPr>
        <w:t>Z 09.00. Finansų rinkos infrastruktūros paslaugos: teikėjai ir naudotojai. Susiejimas su ypatingos svarbos</w:t>
      </w:r>
      <w:bookmarkEnd w:id="26"/>
      <w:r>
        <w:rPr>
          <w:rFonts w:ascii="Times New Roman" w:hAnsi="Times New Roman"/>
          <w:color w:val="000000" w:themeColor="text1"/>
          <w:szCs w:val="20"/>
        </w:rPr>
        <w:t xml:space="preserve"> funkcijomis</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Bendrosios pastabos</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nurodoma tarpuskaitos, mokėjimų, vertybinių popierių atsiskaitymo ir saugojimo veikla, funkcijos ar paslaugos, kurias nustojus teikti gali būti labai sukliudytas arba visiškai sutrikdytas vienos ar daugiau ypatingos svarbos funkcijų atlikimas.</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Šiame šablone vieną kartą pateikiama informacija apie visą įstaigą arba grupę.</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Nurodomos tik tos finansų rinkos infrastruktūros, kurių veiklai sutrikus būtų labai sukliudytas arba sutrikdytas ypatingos svarbos funkcijos atlikimas.</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Šio šablono 0020, 0030, 0040, 0070 ir 0100 skiltyse nurodytų verčių derinys yra pirminis raktas, kuris turi būti unikalus kiekvienai šablono eilutei.</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Nurodymai dėl konkrečių pozicijų</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Naudotojas</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Grupės subjektas, kuris naudojasi mokėjimų, saugojimo, atsiskaitymo, tarpuskaitos arba sandorių duomenų saugyklos paslaugomis, nurodytas šablone „Z 01.00. Organizacinė struktūra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Subjekto pavadinimas</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Subjekto, kuris naudojasi mokėjimų, saugojimo, atsiskaitymo, tarpuskaitos arba sandorių duomenų saugyklos paslaugomis, pavadinimas, nurodytas šablone „Z 01.00. Organizacinė struktūra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Nurodomi tik tie subjektai, kurie Z 07.02 šablone identifikuoti kaip teikiantys ypatingos svarbos funkcijas.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Subjekto, kuris naudojasi mokėjimų, saugojimo, atsiskaitymo, tarpuskaitos arba sandorių duomenų saugyklos paslaugomis, kodas, nurodytas šablone „Z 01.00. Organizacinė struktūra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Ypatingos svarbos funkcija</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Subjekto vykdoma ypatingos svarbos funkcija, kurios atlikimas būtų sukliudytas arba sutrikdytas, jeigu būtų panaikinta galimybė naudotis mokėjimų, saugojimo, atsiskaitymo tarpuskaitos arba sandorių duomenų saugyklos paslaugomis.</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Šalis</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Šalis, kurioje funkcija yra ypatingos svarbos, kaip nurodyta Z 07.01 (FUNC 1) šablone.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Identifikatorius</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Ypatingos svarbos funkcijų, kaip apibrėžta II.7.1 skyriuje ir nurodyta Z 07.01 (FUNC 1) šablone, identifikatorius.</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Finansų rinkos infrastruktūra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Nuoroda: Mokėjimo ir atsiskaitymo sistemų komitetas (CPMI)</w:t>
            </w:r>
            <w:r>
              <w:t xml:space="preserve">, </w:t>
            </w:r>
            <w:hyperlink r:id="rId8" w:history="1">
              <w:r>
                <w:rPr>
                  <w:rFonts w:ascii="Times New Roman" w:hAnsi="Times New Roman"/>
                  <w:color w:val="000000" w:themeColor="text1"/>
                  <w:sz w:val="20"/>
                  <w:szCs w:val="20"/>
                </w:rPr>
                <w:t>Finansų rinkos infrastruktūrų principai („Principles for financial market infrastructures“)</w:t>
              </w:r>
            </w:hyperlink>
            <w:r>
              <w:t>.</w:t>
            </w:r>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Daugiašalė sistema, kuria naudojasi dalyvaujančios finansų įstaigos, įskaitant sistemos valdytoją, naudojama mokėjimams, vertybiniams popieriams, išvestinėms finansinėms priemonėms ar kitiems finansiniams sandoriams registruoti, jų tarpuskaitai atlikti ar atsiskaityti už juos.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Sistemos rūšis</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Nurodyti vieną iš šių verčių:</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 –</w:t>
            </w:r>
            <w:r>
              <w:tab/>
            </w:r>
            <w:r>
              <w:rPr>
                <w:rFonts w:ascii="Times New Roman" w:hAnsi="Times New Roman"/>
                <w:color w:val="000000" w:themeColor="text1"/>
                <w:sz w:val="20"/>
                <w:szCs w:val="20"/>
              </w:rPr>
              <w:t>mokėjimo sistema</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 (tarptautinis) centrinis vertybinių popierių depozitoriumas, įskaitant tuos (tarptautinius) centrinius vertybinių popierių depozitoriumus, kurie teikia tarpuskaitos paslaugas (viduje arba perduoda trečiosioms šalims pagal rangos sutartis)</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 –</w:t>
            </w:r>
            <w:r>
              <w:tab/>
            </w:r>
            <w:r>
              <w:rPr>
                <w:rFonts w:ascii="Times New Roman" w:hAnsi="Times New Roman"/>
                <w:color w:val="000000" w:themeColor="text1"/>
                <w:sz w:val="20"/>
                <w:szCs w:val="20"/>
              </w:rPr>
              <w:t>vertybinių popierių atsiskaitymo sistema be saugojimo</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„CCP-Securities“ –</w:t>
            </w:r>
            <w:r>
              <w:tab/>
            </w:r>
            <w:r>
              <w:rPr>
                <w:rFonts w:ascii="Times New Roman" w:hAnsi="Times New Roman"/>
                <w:color w:val="000000" w:themeColor="text1"/>
                <w:sz w:val="20"/>
                <w:szCs w:val="20"/>
              </w:rPr>
              <w:t xml:space="preserve">pagrindinė sandorio šalis vertybinių popierių tarpuskaitai atlikti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„CCP-Derivatives“ –</w:t>
            </w:r>
            <w:r>
              <w:tab/>
            </w:r>
            <w:r>
              <w:rPr>
                <w:rFonts w:ascii="Times New Roman" w:hAnsi="Times New Roman"/>
                <w:color w:val="000000" w:themeColor="text1"/>
                <w:sz w:val="20"/>
                <w:szCs w:val="20"/>
              </w:rPr>
              <w:t>pagrindinė sandorio šalis išvestinių finansinių priemonių tarpuskaitai atlikti</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 –</w:t>
            </w:r>
            <w:r>
              <w:tab/>
            </w:r>
            <w:r>
              <w:rPr>
                <w:rFonts w:ascii="Times New Roman" w:hAnsi="Times New Roman"/>
                <w:color w:val="000000" w:themeColor="text1"/>
                <w:sz w:val="20"/>
                <w:szCs w:val="20"/>
              </w:rPr>
              <w:t>sandorių duomenų saugykla</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„Kita“ –</w:t>
            </w:r>
            <w:r>
              <w:tab/>
            </w:r>
            <w:r>
              <w:rPr>
                <w:rFonts w:ascii="Times New Roman" w:hAnsi="Times New Roman"/>
                <w:color w:val="000000" w:themeColor="text1"/>
                <w:sz w:val="20"/>
                <w:szCs w:val="20"/>
              </w:rPr>
              <w:t>kai finansų rinkos infrastruktūros sistemos rūšis neatitinka nė vienos pirmiau nurodytos rūšies</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„Netaikoma“ –</w:t>
            </w:r>
            <w:r>
              <w:tab/>
            </w:r>
            <w:r>
              <w:rPr>
                <w:rFonts w:ascii="Times New Roman" w:hAnsi="Times New Roman"/>
                <w:color w:val="000000" w:themeColor="text1"/>
                <w:sz w:val="20"/>
                <w:szCs w:val="20"/>
              </w:rPr>
              <w:t>kai ypatingos svarbos mokėjimų, tarpuskaitos, atsiskaitymo ar saugojimo paslaugas teikia subjektas, kuris nėra pirmiau nurodyta finansų rinkos infrastruktūra, pavyzdžiui, bankas saugotojas.</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Pavadinimas</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Finansų rinkos infrastruktūros komercinis pavadinimas.</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Jeigu 0050 skiltyje nurodyta „Netaikoma“, ši skiltis nepildoma.</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Finansų rinkos infrastruktūros kodas</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 xml:space="preserve">Finansų rinkos infrastruktūros kodas. Jei turima, nurodomas 20-ies raidinių skaitinių ženklų LEI </w:t>
            </w:r>
            <w:r>
              <w:rPr>
                <w:rFonts w:ascii="Times New Roman" w:hAnsi="Times New Roman"/>
                <w:color w:val="000000" w:themeColor="text1"/>
                <w:sz w:val="20"/>
                <w:szCs w:val="20"/>
              </w:rPr>
              <w:lastRenderedPageBreak/>
              <w:t>kodas. Jei LEI kodo nėra, nurodomas pagal Sąjungoje taikomą vienodą kodų sistemą sudarytas kodas, arba, jei jo nėra – nacionalinis kodas.</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Jeigu 0050 skiltyje nurodyta „Netaikoma“, ši skiltis nepildoma.</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Dalyvavimo būdas</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Nurodyti vieną iš šių verčių:</w:t>
            </w:r>
          </w:p>
          <w:p w14:paraId="29E9376F" w14:textId="40EEEEF4"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„Tiesioginis“ –</w:t>
            </w:r>
            <w:r>
              <w:tab/>
            </w:r>
            <w:r>
              <w:rPr>
                <w:rFonts w:ascii="Times New Roman" w:hAnsi="Times New Roman"/>
                <w:color w:val="000000" w:themeColor="text1"/>
                <w:sz w:val="20"/>
                <w:szCs w:val="20"/>
              </w:rPr>
              <w:t>tiesioginės narystės arba tiesioginio dalyvavimo atveju</w:t>
            </w:r>
            <w:r w:rsidR="00C80254">
              <w:rPr>
                <w:rFonts w:ascii="Times New Roman" w:hAnsi="Times New Roman"/>
                <w:color w:val="000000" w:themeColor="text1"/>
                <w:sz w:val="20"/>
                <w:szCs w:val="20"/>
              </w:rPr>
              <w:t>;</w:t>
            </w:r>
          </w:p>
          <w:p w14:paraId="73006733" w14:textId="23ABC4DF"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„Netiesioginis“ –</w:t>
            </w:r>
            <w:r w:rsidR="00C80254">
              <w:rPr>
                <w:rFonts w:ascii="Times New Roman" w:hAnsi="Times New Roman"/>
                <w:color w:val="000000" w:themeColor="text1"/>
                <w:sz w:val="20"/>
                <w:szCs w:val="20"/>
              </w:rPr>
              <w:t xml:space="preserve"> </w:t>
            </w:r>
            <w:r>
              <w:rPr>
                <w:rFonts w:ascii="Times New Roman" w:hAnsi="Times New Roman"/>
                <w:color w:val="000000" w:themeColor="text1"/>
                <w:sz w:val="20"/>
                <w:szCs w:val="20"/>
              </w:rPr>
              <w:t>netiesioginės narystės arba netiesioginio dalyvavimo atveju</w:t>
            </w:r>
            <w:r w:rsidR="00C80254">
              <w:rPr>
                <w:rFonts w:ascii="Times New Roman" w:hAnsi="Times New Roman"/>
                <w:color w:val="000000" w:themeColor="text1"/>
                <w:sz w:val="20"/>
                <w:szCs w:val="20"/>
              </w:rPr>
              <w:t>;</w:t>
            </w:r>
          </w:p>
          <w:p w14:paraId="71841379" w14:textId="26AA00BB" w:rsidR="00772F88" w:rsidRPr="00D92B3C" w:rsidRDefault="00E01081" w:rsidP="00C80254">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„Netaikoma“ –</w:t>
            </w:r>
            <w:r>
              <w:tab/>
            </w:r>
            <w:r>
              <w:rPr>
                <w:rFonts w:ascii="Times New Roman" w:hAnsi="Times New Roman"/>
                <w:color w:val="000000" w:themeColor="text1"/>
                <w:sz w:val="20"/>
                <w:szCs w:val="20"/>
              </w:rPr>
              <w:t>kai 0050 skiltyje nurodyta „Netaikoma“.</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Pavadinimas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Komercinis tarpininko pavadinimas, kai 0080 skiltyje nurodyta „Netiesioginis“ arba „Netaikoma“.</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Kai 0080 skiltyje nurodyta „Tiesioginis“, nurodoma „Netaikoma“.</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Tarpininkas gali arba priklausyti grupei, kuriai priklauso informaciją teikiantis subjektas, arba būti kita, su ta grupe nesusijusi kredito įstaiga.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Tarpininkas gali būti įmonė, kitoms įmonėms teikianti tarpuskaitos, mokėjimų, vertybinių popierių atsiskaitymo ir (arba) saugojimo paslaugas (ypač tais atvejais, kai 0050 skiltyje nurodyta „Netaikoma“; jis gali būti tiesioginis vienos ar kelių finansų rinkos infrastruktūrų narys, netiesiogiai teikiantis galimybę naudotis tokių finansų rinkos infrastruktūrų paslaugomis (ypač tais atvejais, kai 0080 skiltyje nurodyta „Netiesioginis“).</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Tarpininko kodas. Jei turima, nurodomas 20-ies raidinių skaitinių ženklų LEI kodas. Jei LEI kodo nėra, nurodomas pagal Sąjungoje taikomą vienodą kodų sistemą sudarytas kodas, arba, jei jo nėra – nacionalinis kodas.</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Kai 0090 skiltyje nurodyta „Tiesioginis“, nurodoma „Netaikoma“.</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Paslaugos aprašymas</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Paslaugos aprašymas, jeigu 050 nurodyta sistemos rūšis yra „Kita“ arba nurodyta „Netaikoma“.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Taikoma teisė</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Šalies, kurios teisė reglamentuoja prieigą prie finansų rinkos infrastruktūros, ISO 3166-1 dviraidis kodas.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Tiesioginės narystės ar tiesioginio dalyvavimo atveju reikia nurodyti teisę, taikomą finansų rinkos infrastruktūros ir naudotojo sutarčiai. Netiesioginės narystės ar netiesioginio dalyvavimo atveju reikia nurodyti teisę, taikomą atstovaujančios įstaigos ir naudotojo sutarčiai.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44396"/>
      <w:r>
        <w:rPr>
          <w:rFonts w:ascii="Times New Roman" w:hAnsi="Times New Roman"/>
          <w:color w:val="000000" w:themeColor="text1"/>
          <w:szCs w:val="20"/>
        </w:rPr>
        <w:t>Ypatingos svarbos informacinės sistemos</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Bendrosios pastabos</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Šį skirsnį sudaro šie šablonai:</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Ypatingos svarbos informacinės sistemos (bendroji informacija) (CIS 1)“ – jame nurodomos visos grupės ypatingos svarbos informacinės sistemos;</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Ypatingos svarbos informacinių sistemų susiejimas (CIS 2)“ – jame ypatingos svarbos informacinės sistemos susiejamos su jas naudojančiais grupės subjektais ir ypatingos svarbos funkcijomis.</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lastRenderedPageBreak/>
        <w:t>Ypatingos svarbos informacinė sistema – IT taikomoji programa arba programinė įranga, palaikanti ypatingos svarbos paslaugą, kurią nustojus teikti būtų labai sukliudytas arba sutrikdytas ypatingos svarbos funkcijos atlikimas.</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Šiuose šablonuose teikiama informacija apie visą grupę.</w:t>
      </w:r>
    </w:p>
    <w:p w14:paraId="70CC17BA" w14:textId="77777777" w:rsidR="00AD4B22" w:rsidRPr="005E1A1B" w:rsidRDefault="00AD4B22" w:rsidP="00EA3B0A">
      <w:pPr>
        <w:pStyle w:val="Numberedtitlelevel3"/>
        <w:numPr>
          <w:ilvl w:val="0"/>
          <w:numId w:val="0"/>
        </w:numPr>
        <w:rPr>
          <w:rFonts w:ascii="Times New Roman" w:hAnsi="Times New Roman" w:cs="Times New Roman"/>
          <w:color w:val="000000" w:themeColor="text1"/>
          <w:sz w:val="20"/>
          <w:szCs w:val="20"/>
          <w:lang w:val="es-ES"/>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Ypatingos svarbos informacinės sistemos (bendroji informacija) (CIS 1) Nurodymai dėl konkrečių pozicijų</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Šio šablono 0010 skiltyje nurodyta vertė yra pirminis raktas, kuris turi būti unikalus kiekvienai šablono eilutei. </w:t>
      </w:r>
    </w:p>
    <w:p w14:paraId="06AD164E" w14:textId="77777777" w:rsidR="000B75A6" w:rsidRPr="005E1A1B"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Ypatingos svarbos informacinė sistema</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Sistemos identifikavimo kodas</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Sistemos identifikavimo kodas yra įstaigos nustatyta santrumpa, kuria aiškiai identifikuojama ypatingos svarbos informacinė sistema.</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Šiuo unikaliu identifikatoriumi identifikuojama kiekviena šablono eilutė.</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Sistemos pavadinimas</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Komercinis arba vidinis sistemos pavadinimas.</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Sistemos rūšis</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Nurodyti vieną iš šių verčių:</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„Pagal užsakymą sukurta verslo paramos programinė įranga“</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Taikomosios programos, sukurtos pagal išsamias veiklos specifikacijas. Ji gali būti sukurta viduje arba išorės rangovų, tačiau jos paskirtis visuomet yra verslo parama.</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„Standartinė programinė įranga“</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Rinkoje įsigytos taikomosios programos, kurias paprastai parduoda arba kurioms licenciją suteikia pardavėjas ir kurios nebuvo specialiai pritaikytos prie organizacijos veiklos. Prie šios kategorijos priskiriamos taikomosios programos, kurioms taikyti įprasti konfigūravimo mechanizmai.</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„Specialiai pritaikyta įsigyta programinė įranga“</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Rinkoje įsigytos taikomosios programos, kai pardavėjas (arba jo atstovas) sukūrė specialią tos programos versiją, pritaikytą jos įdiegimo aplinkybėms. Tokioje specialioje versijoje paprastai pakeičiamas taikomosios programos veikimas, įdiegiamos naujos savybės arba nestandartiniai papildiniai, sukurti atsižvelgiant į organizacijos veiklą.</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„Taikomoji programa / išorės portalas“</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Išorės portalai arba taikomosios programos, kurias tiekia trečiosios šalys, paprastai partneriai, kad būtų galima naudotis jų teikiamomis paslaugomis. Paprastai jos nepatenka į organizacijos informacinių sistemų valdymo aprėptį, jas įdiegia, prižiūri ir valdo pats partneris. Tokios taikomosios programos dažnai yra portalai (į kuriuos galima patekti per internetą arba privačius tinklus) ir nepaisant to, kad jos nepatenka į organizacijos informacinių sistemų valdymo paslaugų aprėptį, jos yra svarbios (arba ypatingos svarbos) tam tikroms veiklos funkcijoms.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Aprašymas</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Informacinės sistemos pagrindinės paskirties atsižvelgiant į veiklos aplinkybes aprašymas.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Už sistemą atsakingas grupės subjektas</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Subjekto pavadinimas</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Juridinio asmens, grupėje atsakingo už sistemą, pavadinimas.</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Tai yra subjektas, apskritai atsakingas už informacinės sistemos pirkimą, plėtojimą, integravimą, adaptavimą, veikimą, priežiūrą ir naudojimo nutraukimą, kuris daugiausiai prisideda prie sistemos struktūros specifikacijų kūrimo, siekdamas užtikrinti, kad reikalingos saugumo ir naudotojų operacinės funkcijos būtų patvirtintos dokumentais, išbandytos ir įdiegtos.</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Subjekto, grupėje atsakingo už sistemą, kodas, nurodytas šablone „Z 01.00. Organizacinė struktūra (ORG)“.</w:t>
            </w:r>
          </w:p>
        </w:tc>
      </w:tr>
    </w:tbl>
    <w:p w14:paraId="70CC4DE4" w14:textId="77777777" w:rsidR="00AD4B22" w:rsidRPr="00D92B3C" w:rsidRDefault="00AD4B22" w:rsidP="00AD4B22">
      <w:pPr>
        <w:pStyle w:val="body"/>
        <w:rPr>
          <w:rFonts w:ascii="Times New Roman" w:hAnsi="Times New Roman" w:cs="Times New Roman"/>
          <w:color w:val="000000" w:themeColor="text1"/>
          <w:sz w:val="20"/>
          <w:szCs w:val="20"/>
          <w:lang w:val="en-GB"/>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 02 . Informacinių sistemų susiejimas (CIS 2). Nurodymai dėl konkrečių pozicijų</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Šio šablono 0010, 0030, 0040, 0050 ir 0060 skiltyse nurodytų verčių derinys yra pirminis raktas, kuris turi būti unikalus kiekvienai šablono eilutei. </w:t>
      </w:r>
    </w:p>
    <w:p w14:paraId="3AB449B8" w14:textId="77777777" w:rsidR="00720344" w:rsidRPr="005E1A1B"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Skiltys</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Nurodymai</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Sistemos identifikavimo kodas</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Informacinės sistemos identifikavimo kodas, nurodytas Z 10.01 (CIS 1) šablono 010 skiltyje.</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Sistemą naudojantis grupės subjektas</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Sistemą naudojantis grupės subjektas (naudotojas). Jeigu yra keli naudotojai, informacija apie kiekvieną tos pačios informacinės sistemos naudotoją pateikiama atskiroje eilutėje.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Subjekto pavadinimas</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Naudotojo subjekto pavadinimas, nurodytas Z 01.00 (ORG) šablone.</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Kodas</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Naudotojo subjekto kodas, nurodytas Z 01.00 (ORG) šablone.</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Ypatingos svarbos paslauga</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Ypatingos svarbos paslaugos, nurodytos Z 08.00 šablone (0005 skiltyje), kurią sistema palaiko, identifikatorius. Ypatingos svarbos paslauga pati gali būti IT paslauga arba kitos rūšies paslauga (pavyzdžiui, operacijų tvarkymas), kurią palaiko informacinė sistema.</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Ypatingos svarbos funkcija</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Ypatingos svarbos funkcija, kurios atlikimas būtų labai sukliudytas arba visiškai sutrikdytas, jeigu sutriktų paslaugų, kurias palaiko informacinė sistema, teikimas. Jeigu ypatingos svarbos funkcijų yra kelios, informacija apie tą pačią sistemą pateikiama keliose eilutėse.</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Šalis</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Šalis, kurioje funkcija yra ypatingos svarbos, kaip nurodyta Z 07.01 (FUNC 1) šablone.</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Identifikatorius</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Ypatingos svarbos funkcijų, kaip apibrėžta II.7.1 skyriuje ir nurodyta Z 07.01 (FUNC 1) šablone, identifikatorius.</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B9D237" w14:textId="77777777" w:rsidR="0067493B" w:rsidRDefault="0067493B" w:rsidP="001E5EDF">
      <w:r>
        <w:separator/>
      </w:r>
    </w:p>
  </w:endnote>
  <w:endnote w:type="continuationSeparator" w:id="0">
    <w:p w14:paraId="68995FA5" w14:textId="77777777" w:rsidR="0067493B" w:rsidRDefault="0067493B"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7CA65A18" w:rsidR="005E1A1B" w:rsidRDefault="005E1A1B" w:rsidP="000E60D6">
        <w:pPr>
          <w:pStyle w:val="Footer"/>
          <w:jc w:val="center"/>
        </w:pPr>
        <w:r>
          <w:fldChar w:fldCharType="begin"/>
        </w:r>
        <w:r>
          <w:instrText xml:space="preserve"> PAGE   \* MERGEFORMAT </w:instrText>
        </w:r>
        <w:r>
          <w:fldChar w:fldCharType="separate"/>
        </w:r>
        <w:r w:rsidR="006F6DA7">
          <w:rPr>
            <w:noProof/>
          </w:rPr>
          <w:t>1</w:t>
        </w:r>
        <w:r>
          <w:fldChar w:fldCharType="end"/>
        </w:r>
      </w:p>
    </w:sdtContent>
  </w:sdt>
  <w:p w14:paraId="2B922E4C" w14:textId="77777777" w:rsidR="005E1A1B" w:rsidRDefault="005E1A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0E9B50" w14:textId="77777777" w:rsidR="0067493B" w:rsidRDefault="0067493B" w:rsidP="001E5EDF">
      <w:r>
        <w:separator/>
      </w:r>
    </w:p>
  </w:footnote>
  <w:footnote w:type="continuationSeparator" w:id="0">
    <w:p w14:paraId="4A9E9D1D" w14:textId="77777777" w:rsidR="0067493B" w:rsidRDefault="0067493B" w:rsidP="001E5EDF">
      <w:r>
        <w:continuationSeparator/>
      </w:r>
    </w:p>
  </w:footnote>
  <w:footnote w:id="1">
    <w:p w14:paraId="56760551" w14:textId="08561B46" w:rsidR="005E1A1B" w:rsidRPr="008E5458" w:rsidRDefault="005E1A1B" w:rsidP="0090323D">
      <w:pPr>
        <w:pStyle w:val="FootnoteText"/>
      </w:pPr>
      <w:r>
        <w:rPr>
          <w:rStyle w:val="FootnoteReference"/>
          <w:rFonts w:ascii="Times New Roman" w:hAnsi="Times New Roman"/>
        </w:rPr>
        <w:footnoteRef/>
      </w:r>
      <w:r>
        <w:tab/>
        <w:t>2020 m. gruodžio 17 d. Komisijos įgyvendinimo reglamentas (ES) 2021/451, kuriuo nustatomi Europos Parlamento ir Tarybos reglamento (ES) Nr. 575/2013 taikymo įstaigų priežiūros ataskaitų teikimo srityje techniniai įgyvendinimo standartai ir panaikinamas Įgyvendinimo reglamentas (ES) Nr. 680/2014 (OL L 97, 2021 3 19, p. 1–1955).</w:t>
      </w:r>
    </w:p>
  </w:footnote>
  <w:footnote w:id="2">
    <w:p w14:paraId="733D3558" w14:textId="77777777" w:rsidR="005E1A1B" w:rsidRPr="00E17940" w:rsidRDefault="005E1A1B">
      <w:pPr>
        <w:pStyle w:val="FootnoteText"/>
      </w:pPr>
      <w:r>
        <w:rPr>
          <w:rStyle w:val="FootnoteReference"/>
          <w:rFonts w:ascii="Times New Roman" w:hAnsi="Times New Roman"/>
        </w:rPr>
        <w:footnoteRef/>
      </w:r>
      <w:r>
        <w:tab/>
        <w:t>2002 m. liepos 19 d. Europos Parlamento ir Tarybos reglamentas (EB) Nr. 1606/2002 dėl tarptautinių apskaitos standartų taikymo (OL L 243, 2002 9 11, p. 1).</w:t>
      </w:r>
    </w:p>
  </w:footnote>
  <w:footnote w:id="3">
    <w:p w14:paraId="3BD45C59" w14:textId="6A60F93C" w:rsidR="005E1A1B" w:rsidRPr="0090323D" w:rsidRDefault="005E1A1B">
      <w:pPr>
        <w:pStyle w:val="FootnoteText"/>
      </w:pPr>
      <w:r>
        <w:rPr>
          <w:rStyle w:val="FootnoteReference"/>
        </w:rPr>
        <w:footnoteRef/>
      </w:r>
      <w:r>
        <w:tab/>
        <w:t xml:space="preserve">Išsamios informacijos galima rasti šioje svetainėje: </w:t>
      </w:r>
      <w:hyperlink r:id="rId1" w:history="1">
        <w:r>
          <w:t>www.leiroc.org</w:t>
        </w:r>
      </w:hyperlink>
      <w:r>
        <w:t>.</w:t>
      </w:r>
    </w:p>
  </w:footnote>
  <w:footnote w:id="4">
    <w:p w14:paraId="0A6B3364" w14:textId="77777777" w:rsidR="005E1A1B" w:rsidRPr="00BB34DC" w:rsidRDefault="005E1A1B">
      <w:pPr>
        <w:pStyle w:val="FootnoteText"/>
      </w:pPr>
      <w:r>
        <w:rPr>
          <w:rStyle w:val="FootnoteReference"/>
          <w:rFonts w:ascii="Times New Roman" w:hAnsi="Times New Roman"/>
        </w:rPr>
        <w:footnoteRef/>
      </w:r>
      <w:r>
        <w:tab/>
        <w:t>1986 m. gruodžio 8 d. Tarybos direktyva 86/635/EEB dėl bankų ir kitų finansų įstaigų metinės finansinės atskaitomybės ir konsoliduotos finansinės atskaitomybės (OL L 372, 1986 12 31, p. 1).</w:t>
      </w:r>
    </w:p>
  </w:footnote>
  <w:footnote w:id="5">
    <w:p w14:paraId="4D9F3A53" w14:textId="77777777" w:rsidR="005E1A1B" w:rsidRPr="00E17940" w:rsidRDefault="005E1A1B">
      <w:pPr>
        <w:pStyle w:val="FootnoteText"/>
      </w:pPr>
      <w:r>
        <w:rPr>
          <w:rStyle w:val="FootnoteReference"/>
          <w:rFonts w:ascii="Times New Roman" w:hAnsi="Times New Roman"/>
        </w:rPr>
        <w:footnoteRef/>
      </w:r>
      <w:r>
        <w:tab/>
        <w:t>2013 m. birželio 26 d. Europos Parlamento ir Tarybos reglamentas (ES) Nr. 575/2013 dėl prudencinių reikalavimų kredito įstaigoms ir investicinėms įmonėms ir kuriuo iš dalies keičiamas Reglamentas (ES) Nr. 648/2012 (OL L 176, 2013 6 27, p. 1).</w:t>
      </w:r>
    </w:p>
  </w:footnote>
  <w:footnote w:id="6">
    <w:p w14:paraId="708D686D" w14:textId="77777777" w:rsidR="005E1A1B" w:rsidRPr="00E17940" w:rsidRDefault="005E1A1B">
      <w:pPr>
        <w:pStyle w:val="FootnoteText"/>
      </w:pPr>
      <w:r>
        <w:rPr>
          <w:rStyle w:val="FootnoteReference"/>
        </w:rPr>
        <w:footnoteRef/>
      </w:r>
      <w:r>
        <w:tab/>
        <w:t>2013 m. birželio 26 d. Europos Parlamento ir Tarybos direktyva 2013/36/ES dėl galimybės verstis kredito įstaigų veikla ir dėl riziką ribojančios kredito įstaigų ir investicinių įmonių priežiūros, kuria iš dalies keičiama Direktyva 2002/87/EB ir panaikinamos direktyvos 2006/48/EB bei 2006/49/EB (OL L 176, 2013 6 27, p. 338).</w:t>
      </w:r>
    </w:p>
  </w:footnote>
  <w:footnote w:id="7">
    <w:p w14:paraId="7BEC1B79" w14:textId="49B4DD17" w:rsidR="005E1A1B" w:rsidRPr="00CF3EBF" w:rsidRDefault="005E1A1B">
      <w:pPr>
        <w:pStyle w:val="FootnoteText"/>
      </w:pPr>
      <w:r>
        <w:rPr>
          <w:rStyle w:val="FootnoteReference"/>
          <w:rFonts w:ascii="Times New Roman" w:hAnsi="Times New Roman"/>
        </w:rPr>
        <w:footnoteRef/>
      </w:r>
      <w:r>
        <w:tab/>
        <w:t>2009 m. lapkričio 25 d. Europos Parlamento ir Tarybos direktyva 2009/138/EB dėl draudimo ir perdraudimo veiklos pradėjimo ir jos vykdymo (Mokumas II) (OL L 335, 2009 12 17, p. 1).</w:t>
      </w:r>
    </w:p>
  </w:footnote>
  <w:footnote w:id="8">
    <w:p w14:paraId="2BE6F728" w14:textId="3AB24581" w:rsidR="005E1A1B" w:rsidRPr="00113543" w:rsidRDefault="005E1A1B">
      <w:pPr>
        <w:pStyle w:val="FootnoteText"/>
      </w:pPr>
      <w:r>
        <w:rPr>
          <w:rStyle w:val="FootnoteReference"/>
          <w:rFonts w:ascii="Times New Roman" w:hAnsi="Times New Roman"/>
        </w:rPr>
        <w:footnoteRef/>
      </w:r>
      <w:r>
        <w:tab/>
        <w:t>2003 m. gegužės 6 d. Komisijos rekomendacija dėl labai mažų, mažųjų ir vidutinių įmonių apibrėžimo (OL L 124, 2003 5 20, p. 36).</w:t>
      </w:r>
    </w:p>
  </w:footnote>
  <w:footnote w:id="9">
    <w:p w14:paraId="56A4794B" w14:textId="1D36E5BD" w:rsidR="005E1A1B" w:rsidRDefault="005E1A1B">
      <w:pPr>
        <w:pStyle w:val="FootnoteText"/>
      </w:pPr>
      <w:r>
        <w:rPr>
          <w:rStyle w:val="FootnoteReference"/>
          <w:rFonts w:ascii="Times New Roman" w:hAnsi="Times New Roman"/>
        </w:rPr>
        <w:footnoteRef/>
      </w:r>
      <w:r>
        <w:tab/>
        <w:t>Europos Centrinio Banko reglamentas (ES) 2021/379 dėl kredito įstaigų ir pinigų finansų įstaigų sektoriaus balansinių straipsnių (nauja redakcija) (OL L 73, 2021 3 3, p. 16–85).</w:t>
      </w:r>
    </w:p>
  </w:footnote>
  <w:footnote w:id="10">
    <w:p w14:paraId="33320726" w14:textId="397F1E31" w:rsidR="005E1A1B" w:rsidRPr="00433423" w:rsidRDefault="005E1A1B">
      <w:pPr>
        <w:pStyle w:val="FootnoteText"/>
      </w:pPr>
      <w:r>
        <w:rPr>
          <w:rStyle w:val="FootnoteReference"/>
        </w:rPr>
        <w:footnoteRef/>
      </w:r>
      <w:r>
        <w:tab/>
        <w:t>2014 m. gegužės 15 d. Europos Parlamento ir Tarybos direktyva 2014/65/ES dėl finansinių priemonių rinkų, kuria iš dalies keičiamos Direktyva 2002/92/EB ir Direktyva 2011/61/ES (OL L 173, 2014 6 12, p. 349).</w:t>
      </w:r>
    </w:p>
  </w:footnote>
  <w:footnote w:id="11">
    <w:p w14:paraId="7ECE222F" w14:textId="77777777" w:rsidR="005E1A1B" w:rsidRPr="00B77FC7" w:rsidRDefault="005E1A1B">
      <w:pPr>
        <w:pStyle w:val="FootnoteText"/>
      </w:pPr>
      <w:r>
        <w:rPr>
          <w:rStyle w:val="FootnoteReference"/>
        </w:rPr>
        <w:footnoteRef/>
      </w:r>
      <w:r>
        <w:tab/>
        <w:t>2014 m. gegužės 15 d. Europos Parlamento ir Tarybos direktyva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 (OL L 173, 2014 6 12, p. 190).</w:t>
      </w:r>
    </w:p>
  </w:footnote>
  <w:footnote w:id="12">
    <w:p w14:paraId="45027383" w14:textId="7473EDB5" w:rsidR="005E1A1B" w:rsidRPr="001D3665" w:rsidRDefault="005E1A1B">
      <w:pPr>
        <w:pStyle w:val="FootnoteText"/>
      </w:pPr>
      <w:r>
        <w:rPr>
          <w:rStyle w:val="FootnoteReference"/>
        </w:rPr>
        <w:footnoteRef/>
      </w:r>
      <w:r>
        <w:tab/>
        <w:t>2014 m. balandžio 16 d. Europos Parlamento ir Europos Tarybos direktyva 2014/49/ES dėl indėlių garantijų sistemų (OL L 173, 2014 6 12, p. 149).</w:t>
      </w:r>
    </w:p>
  </w:footnote>
  <w:footnote w:id="13">
    <w:p w14:paraId="0A164DF9" w14:textId="77777777" w:rsidR="005E1A1B" w:rsidRPr="00EB1AD3" w:rsidRDefault="005E1A1B">
      <w:pPr>
        <w:pStyle w:val="FootnoteText"/>
      </w:pPr>
      <w:r>
        <w:rPr>
          <w:rStyle w:val="FootnoteReference"/>
        </w:rPr>
        <w:footnoteRef/>
      </w:r>
      <w:r>
        <w:tab/>
        <w:t>2009 m. liepos 13 d. Europos Parlamento ir Tarybos direktyva 2009/65/EB dėl įstatymų ir kitų teisės aktų, susijusių su kolektyvinio investavimo į perleidžiamus vertybinius popierius subjektais (KIPVPS), derinimo (OL L 302, 2009 11 17, p. 32).</w:t>
      </w:r>
    </w:p>
  </w:footnote>
  <w:footnote w:id="14">
    <w:p w14:paraId="14B9F3B8" w14:textId="59942C0A" w:rsidR="005E1A1B" w:rsidRPr="00EB1AD3" w:rsidRDefault="005E1A1B">
      <w:pPr>
        <w:pStyle w:val="FootnoteText"/>
      </w:pPr>
      <w:r>
        <w:rPr>
          <w:rStyle w:val="FootnoteReference"/>
        </w:rPr>
        <w:footnoteRef/>
      </w:r>
      <w:r>
        <w:tab/>
        <w:t>2011 m. birželio 8 d. Europos Parlamento ir Tarybos direktyva 2011/61/ES dėl alternatyvaus investavimo fondų valdytojų, kuria iš dalies keičiami direktyvos 2003/41/EB ir 2009/65/EB bei reglamentai (EB) Nr. 1060/2009 ir (ES) Nr. 1095/2010 (OL L 174, 2011 7 1, p. 1).</w:t>
      </w:r>
    </w:p>
  </w:footnote>
  <w:footnote w:id="15">
    <w:p w14:paraId="7EA8BC4D" w14:textId="4A625A59" w:rsidR="005E1A1B" w:rsidRPr="002B0D5A" w:rsidRDefault="005E1A1B">
      <w:pPr>
        <w:pStyle w:val="FootnoteText"/>
      </w:pPr>
      <w:r>
        <w:rPr>
          <w:rStyle w:val="FootnoteReference"/>
        </w:rPr>
        <w:footnoteRef/>
      </w:r>
      <w:r>
        <w:tab/>
        <w:t>1998 m. gegužės 19 d. Europos Parlamento ir Tarybos direktyva 98/26/EB dėl atsiskaitymų baigtinumo mokėjimų ir vertybinių popierių atsiskaitymų sistemose (OL L 166, 1998 6 11, p. 45).</w:t>
      </w:r>
    </w:p>
  </w:footnote>
  <w:footnote w:id="16">
    <w:p w14:paraId="55D8C4D7" w14:textId="234F6046" w:rsidR="005E1A1B" w:rsidRPr="00D90DF8" w:rsidRDefault="005E1A1B">
      <w:pPr>
        <w:pStyle w:val="FootnoteText"/>
      </w:pPr>
      <w:r>
        <w:rPr>
          <w:rStyle w:val="FootnoteReference"/>
        </w:rPr>
        <w:footnoteRef/>
      </w:r>
      <w:r>
        <w:tab/>
        <w:t>2012 m. liepos 4 d. Europos Parlamento ir Tarybos reglamentas (ES) Nr. 648/2012 dėl ne biržos išvestinių finansinių priemonių, pagrindinių sandorio šalių ir sandorių duomenų saugyklų (OL L 201, 2012 7 27, p. 1).</w:t>
      </w:r>
    </w:p>
  </w:footnote>
  <w:footnote w:id="17">
    <w:p w14:paraId="5114B6F9" w14:textId="77777777" w:rsidR="005E1A1B" w:rsidRPr="00CD04C7" w:rsidRDefault="005E1A1B">
      <w:pPr>
        <w:pStyle w:val="FootnoteText"/>
      </w:pPr>
      <w:r>
        <w:rPr>
          <w:rStyle w:val="FootnoteReference"/>
          <w:rFonts w:ascii="Times New Roman" w:hAnsi="Times New Roman"/>
        </w:rPr>
        <w:footnoteRef/>
      </w:r>
      <w:r>
        <w:tab/>
        <w:t>2016 m. gegužės 23 d. Komisijos deleguotasis reglamentas (ES) 2016/1401, kuriuo Europos Parlamento ir Tarybos direktyva 2014/59/ES, kuria nustatoma kredito įstaigų ir investicinių įmonių gaivinimo ir pertvarkymo sistema, papildoma techniniais reguliavimo standartais, susijusiais su įsipareigojimų, kurių atsiranda dėl išvestinių finansinių priemonių, vertinimo metodikomis ir principais (OL L 228, 2016 8 23, p. 7).</w:t>
      </w:r>
    </w:p>
  </w:footnote>
  <w:footnote w:id="18">
    <w:p w14:paraId="22BC5B54" w14:textId="77777777" w:rsidR="005E1A1B" w:rsidRPr="00CF2751" w:rsidRDefault="005E1A1B">
      <w:pPr>
        <w:pStyle w:val="FootnoteText"/>
      </w:pPr>
      <w:r>
        <w:rPr>
          <w:rStyle w:val="FootnoteReference"/>
          <w:rFonts w:ascii="Times New Roman" w:hAnsi="Times New Roman"/>
          <w:sz w:val="18"/>
        </w:rPr>
        <w:footnoteRef/>
      </w:r>
      <w:r>
        <w:rPr>
          <w:sz w:val="14"/>
        </w:rPr>
        <w:t xml:space="preserve"> </w:t>
      </w:r>
      <w:r>
        <w:t xml:space="preserve">2016 m. vasario 2 d. Komisijos deleguotasis reglamentas (ES) 2016/778, kuriuo Europos Parlamento ir Tarybos direktyva 2014/59/ES papildoma nuostatomis dėl aplinkybių ir sąlygų, kuriomis papildomų </w:t>
      </w:r>
      <w:r w:rsidRPr="003E0503">
        <w:rPr>
          <w:i/>
        </w:rPr>
        <w:t>ex post</w:t>
      </w:r>
      <w:r>
        <w:t xml:space="preserve"> įnašų mokėjimas gali būti iš dalies ar visiškai atidėtas, nuostatomis dėl nustatymo, kuri veikla, paslaugos ir operacijos yra ypatingos svarbos funkcijos, kriterijų ir nuostatomis dėl nustatymo, kurios verslo linijos ir susijusios paslaugos yra pagrindinės verslo linijos, kriterijų (OL L 131, 2016 5 20, p. 41).</w:t>
      </w:r>
    </w:p>
  </w:footnote>
  <w:footnote w:id="19">
    <w:p w14:paraId="2F087C6F" w14:textId="77777777" w:rsidR="005E1A1B" w:rsidRPr="00D66550" w:rsidRDefault="005E1A1B">
      <w:pPr>
        <w:pStyle w:val="FootnoteText"/>
      </w:pPr>
      <w:r>
        <w:rPr>
          <w:rStyle w:val="FootnoteReference"/>
          <w:rFonts w:ascii="Times New Roman" w:hAnsi="Times New Roman"/>
          <w:sz w:val="18"/>
        </w:rPr>
        <w:footnoteRef/>
      </w:r>
      <w:r>
        <w:rPr>
          <w:sz w:val="14"/>
        </w:rPr>
        <w:t xml:space="preserve"> </w:t>
      </w:r>
      <w:r>
        <w:t>2015 m. lapkričio 25 d. Europos Parlamento ir Tarybos direktyva (ES) 2015/2366 dėl mokėjimo paslaugų vidaus rinkoje, kuria iš dalies keičiamos direktyvos 2002/65/EB, 2009/110/EB ir 2013/36/ES bei Reglamentas (ES) Nr. 1093/2010 ir panaikinama Direktyva 2007/64/EB (OL L 337, 2015 12 23, p. 35).</w:t>
      </w:r>
    </w:p>
  </w:footnote>
  <w:footnote w:id="20">
    <w:p w14:paraId="17404B79" w14:textId="34E49F40" w:rsidR="005E1A1B" w:rsidRPr="00CF3B41" w:rsidRDefault="005E1A1B">
      <w:pPr>
        <w:pStyle w:val="FootnoteText"/>
      </w:pPr>
      <w:r>
        <w:rPr>
          <w:rStyle w:val="FootnoteReference"/>
        </w:rPr>
        <w:footnoteRef/>
      </w:r>
      <w:r>
        <w:tab/>
        <w:t>2006 m. rugpjūčio 10 d. Komisijos reglamentas (EB) Nr. 1287/2006, įgyvendinantis Europos Parlamento ir Tarybos direktyvą 2004/39/EB dėl investicinėms įmonėms taikomų apskaitos dokumentų tvarkymo reikalavimų, informacijos apie sandorius pateikimo, rinkos skaidrumo, leidimų prekiauti finansinėmis priemonėmis ir toje direktyvoje apibrėžtų sąlygų (OL L 241, 2006 9 2, p. 1).</w:t>
      </w:r>
    </w:p>
  </w:footnote>
  <w:footnote w:id="21">
    <w:p w14:paraId="1556A3CF" w14:textId="00EE3CBB" w:rsidR="005E1A1B" w:rsidRPr="00264CA3" w:rsidRDefault="005E1A1B">
      <w:pPr>
        <w:pStyle w:val="FootnoteText"/>
      </w:pPr>
      <w:r>
        <w:rPr>
          <w:rStyle w:val="FootnoteReference"/>
        </w:rPr>
        <w:footnoteRef/>
      </w:r>
      <w:r>
        <w:tab/>
        <w:t>2013 m. lapkričio 28 d. Europos Centrinio Banko reglamentas (ES) Nr. 1409/2013 dėl mokėjimų statistikos (OL L 352, 2013 12 24, p. 18–44).</w:t>
      </w:r>
    </w:p>
  </w:footnote>
  <w:footnote w:id="22">
    <w:p w14:paraId="19BD785A" w14:textId="266D260C" w:rsidR="005E1A1B" w:rsidRPr="00264CA3" w:rsidRDefault="005E1A1B" w:rsidP="00575F7D">
      <w:pPr>
        <w:pStyle w:val="FootnoteText"/>
      </w:pPr>
      <w:r>
        <w:rPr>
          <w:rStyle w:val="FootnoteReference"/>
        </w:rPr>
        <w:footnoteRef/>
      </w:r>
      <w:r>
        <w:tab/>
        <w:t>2014 m. balandžio 4 d. Europos Centrinio Banko gairės dėl pinigų ir finansų statistikos (ECB/2014/15) (OL L 340, 2014 11 26, p. 1–209).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5E1A1B" w:rsidRPr="000E60D6" w:rsidRDefault="005E1A1B" w:rsidP="000E60D6">
    <w:pPr>
      <w:pStyle w:val="Header"/>
      <w:jc w:val="center"/>
      <w:rPr>
        <w:rFonts w:ascii="Times New Roman" w:hAnsi="Times New Roman" w:cs="Times New Roman"/>
      </w:rPr>
    </w:pPr>
    <w:r>
      <w:rPr>
        <w:rFonts w:ascii="Times New Roman" w:hAnsi="Times New Roman"/>
      </w:rPr>
      <w:t>LT</w:t>
    </w:r>
  </w:p>
  <w:p w14:paraId="0BBD0984" w14:textId="77777777" w:rsidR="005E1A1B" w:rsidRPr="000E60D6" w:rsidRDefault="005E1A1B" w:rsidP="000E60D6">
    <w:pPr>
      <w:pStyle w:val="Header"/>
      <w:jc w:val="center"/>
      <w:rPr>
        <w:rFonts w:ascii="Times New Roman" w:hAnsi="Times New Roman" w:cs="Times New Roman"/>
      </w:rPr>
    </w:pPr>
    <w:r>
      <w:rPr>
        <w:rFonts w:ascii="Times New Roman" w:hAnsi="Times New Roman"/>
      </w:rPr>
      <w:t>II PRIEDAS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3ADA"/>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503"/>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56F0"/>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1A1B"/>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5361"/>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93B"/>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6DA7"/>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5945"/>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1D9"/>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1ED0"/>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ED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A15"/>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254"/>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6301"/>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452B"/>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lt-LT"/>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lt-LT"/>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lt-LT"/>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lt-LT"/>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lt-LT"/>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lt-LT"/>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lt-LT"/>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lt-LT"/>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lt-LT"/>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lt-LT"/>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lt-LT"/>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lt-LT"/>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lt-LT"/>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lt-LT"/>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lt-LT"/>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lt-LT"/>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lt-LT"/>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lt-LT"/>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lt-LT"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A6C6-31E8-4D31-9C10-7BA4324A0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43</Pages>
  <Words>13336</Words>
  <Characters>92020</Characters>
  <Application>Microsoft Office Word</Application>
  <DocSecurity>0</DocSecurity>
  <Lines>2000</Lines>
  <Paragraphs>1505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2022-03-08T15:41:00Z</dcterms:created>
  <dcterms:modified xsi:type="dcterms:W3CDTF">2022-03-08T15:41:00Z</dcterms:modified>
</cp:coreProperties>
</file>