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44AB4B0A" w:rsidR="001C2816" w:rsidRPr="00537479" w:rsidRDefault="00671C7B" w:rsidP="008C6732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3836E83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525FF1E8-B9B9-47F4-A00C-C11D62A6707A" style="width:455.35pt;height:440.65pt">
            <v:imagedata r:id="rId7" o:title=""/>
          </v:shape>
        </w:pict>
      </w:r>
    </w:p>
    <w:p w14:paraId="66835F60" w14:textId="77777777" w:rsidR="00745799" w:rsidRPr="00537479" w:rsidRDefault="00745799">
      <w:pPr>
        <w:rPr>
          <w:noProof/>
        </w:rPr>
        <w:sectPr w:rsidR="00745799" w:rsidRPr="00537479" w:rsidSect="008C6732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3D79C7AE" w:rsidR="00745799" w:rsidRPr="00537479" w:rsidRDefault="00537479" w:rsidP="00537479">
      <w:pPr>
        <w:pStyle w:val="Typedudocument"/>
        <w:rPr>
          <w:noProof/>
        </w:rPr>
      </w:pPr>
      <w:r w:rsidRPr="00537479">
        <w:rPr>
          <w:noProof/>
        </w:rPr>
        <w:lastRenderedPageBreak/>
        <w:t>RÈGLEMENT D’EXÉCUTION (UE) …/... DE LA COMMISSION</w:t>
      </w:r>
    </w:p>
    <w:p w14:paraId="5FDAE07D" w14:textId="01B7B220" w:rsidR="00745799" w:rsidRPr="00537479" w:rsidRDefault="00CB69D3" w:rsidP="00537479">
      <w:pPr>
        <w:pStyle w:val="Datedadoption"/>
        <w:rPr>
          <w:noProof/>
        </w:rPr>
      </w:pPr>
      <w:r>
        <w:t>du 3.3.2022</w:t>
      </w:r>
    </w:p>
    <w:p w14:paraId="6AE2FFE3" w14:textId="4C7DCFD1" w:rsidR="00745799" w:rsidRPr="00537479" w:rsidRDefault="00537479" w:rsidP="00537479">
      <w:pPr>
        <w:pStyle w:val="Titreobjet"/>
        <w:rPr>
          <w:noProof/>
        </w:rPr>
      </w:pPr>
      <w:r w:rsidRPr="00537479">
        <w:rPr>
          <w:noProof/>
        </w:rPr>
        <w:t xml:space="preserve">modifiant le règlement d’exécution (UE) 2018/1624 définissant des normes techniques d’exécution concernant les procédures, les formulaires types et les modèles à utiliser pour la fourniture d’informations aux fins de l’établissement de plans de résolution pour les établissements de crédit et les entreprises d’investissement, conformément à la directive 2014/59/UE du Parlement européen et du Conseil </w:t>
      </w:r>
      <w:r w:rsidRPr="00537479">
        <w:rPr>
          <w:noProof/>
        </w:rPr>
        <w:br/>
      </w:r>
    </w:p>
    <w:p w14:paraId="217F978F" w14:textId="69AE1CD2" w:rsidR="00745799" w:rsidRPr="00537479" w:rsidRDefault="00537479" w:rsidP="00537479">
      <w:pPr>
        <w:pStyle w:val="IntrtEEE"/>
        <w:rPr>
          <w:noProof/>
        </w:rPr>
      </w:pPr>
      <w:r w:rsidRPr="00537479">
        <w:rPr>
          <w:noProof/>
        </w:rPr>
        <w:t>(Texte présentant de l’intérêt pour l’EEE)</w:t>
      </w:r>
    </w:p>
    <w:p w14:paraId="36E61899" w14:textId="77777777" w:rsidR="00745799" w:rsidRPr="00537479" w:rsidRDefault="00745799" w:rsidP="004E1EF9">
      <w:pPr>
        <w:pStyle w:val="Institutionquiagit"/>
        <w:rPr>
          <w:noProof/>
        </w:rPr>
      </w:pPr>
      <w:r w:rsidRPr="00537479">
        <w:rPr>
          <w:noProof/>
        </w:rPr>
        <w:t>LA COMMISSION EUROPÉENNE,</w:t>
      </w:r>
    </w:p>
    <w:p w14:paraId="344A82A5" w14:textId="77777777" w:rsidR="00745799" w:rsidRPr="00537479" w:rsidRDefault="00745799" w:rsidP="004E1EF9">
      <w:pPr>
        <w:rPr>
          <w:noProof/>
        </w:rPr>
      </w:pPr>
      <w:r w:rsidRPr="00537479">
        <w:rPr>
          <w:noProof/>
          <w:color w:val="000000"/>
        </w:rPr>
        <w:t>vu le traité sur le fonctionnement de l’Union européenne</w:t>
      </w:r>
      <w:r w:rsidRPr="00537479">
        <w:rPr>
          <w:noProof/>
        </w:rPr>
        <w:t>,</w:t>
      </w:r>
    </w:p>
    <w:p w14:paraId="2982BE59" w14:textId="5250076C" w:rsidR="00745799" w:rsidRPr="00537479" w:rsidRDefault="00745799" w:rsidP="004E1EF9">
      <w:pPr>
        <w:rPr>
          <w:noProof/>
        </w:rPr>
      </w:pPr>
      <w:r w:rsidRPr="00537479">
        <w:rPr>
          <w:noProof/>
        </w:rPr>
        <w:t>vu la directive 2014/59/UE du Parlement européen et du Conseil établissant un cadre pour le redressement et la résolution des établissements de crédit et des entreprises d’investissement et modifiant la directive 82/891/CEE du Conseil ainsi que les directives du Parlement européen et du Conseil 2001/24/CE, 2002/47/CE, 2004/25/CE, 2005/56/CE, 2007/36/CE, 2011/35/UE, 2012/30/UE et 2013/36/UE et les règlements du Parlement européen et du Conseil (UE) nº 1093/2010 et (UE) nº 648/2012</w:t>
      </w:r>
      <w:r w:rsidRPr="00537479">
        <w:rPr>
          <w:rStyle w:val="FootnoteReference"/>
          <w:noProof/>
        </w:rPr>
        <w:footnoteReference w:id="1"/>
      </w:r>
      <w:r w:rsidRPr="00537479">
        <w:rPr>
          <w:noProof/>
        </w:rPr>
        <w:t>, et notamment son article 11, paragraphe 3,</w:t>
      </w:r>
    </w:p>
    <w:p w14:paraId="3303916E" w14:textId="77777777" w:rsidR="00745799" w:rsidRPr="00537479" w:rsidRDefault="00745799" w:rsidP="004E1EF9">
      <w:pPr>
        <w:rPr>
          <w:noProof/>
        </w:rPr>
      </w:pPr>
      <w:r w:rsidRPr="00537479">
        <w:rPr>
          <w:noProof/>
        </w:rPr>
        <w:t>considérant ce qui suit:</w:t>
      </w:r>
    </w:p>
    <w:p w14:paraId="2AEEF6BD" w14:textId="62B891F4" w:rsidR="00745799" w:rsidRPr="00537479" w:rsidRDefault="00134A83" w:rsidP="00134A83">
      <w:pPr>
        <w:pStyle w:val="ManualConsidrant"/>
        <w:rPr>
          <w:noProof/>
        </w:rPr>
      </w:pPr>
      <w:r w:rsidRPr="00134A83">
        <w:t>(1)</w:t>
      </w:r>
      <w:r w:rsidRPr="00134A83">
        <w:tab/>
      </w:r>
      <w:r w:rsidR="00745799" w:rsidRPr="00537479">
        <w:rPr>
          <w:noProof/>
        </w:rPr>
        <w:t>La directive (UE) 2019/879 du Parlement européen et du Conseil</w:t>
      </w:r>
      <w:r w:rsidR="00745799" w:rsidRPr="00537479">
        <w:rPr>
          <w:rStyle w:val="FootnoteReference"/>
          <w:noProof/>
        </w:rPr>
        <w:footnoteReference w:id="2"/>
      </w:r>
      <w:r w:rsidR="00745799" w:rsidRPr="00537479">
        <w:rPr>
          <w:noProof/>
        </w:rPr>
        <w:t xml:space="preserve"> a apporté certaines modifications à l’exigence minimale de fonds propres et d’engagements éligibles prévue par la directive 2014/59/UE. Les informations sur la capacité des établissements à satisfaire à cette exigence sont aussi prises en compte, dans une mesure limitée, dans le cadre de la planification de la résolution.</w:t>
      </w:r>
    </w:p>
    <w:p w14:paraId="4C198264" w14:textId="3D7F965F" w:rsidR="00745799" w:rsidRPr="00537479" w:rsidRDefault="00134A83" w:rsidP="00134A83">
      <w:pPr>
        <w:pStyle w:val="ManualConsidrant"/>
        <w:rPr>
          <w:noProof/>
        </w:rPr>
      </w:pPr>
      <w:r w:rsidRPr="00134A83">
        <w:t>(2)</w:t>
      </w:r>
      <w:r w:rsidRPr="00134A83">
        <w:tab/>
      </w:r>
      <w:r w:rsidR="005F79AB" w:rsidRPr="00537479">
        <w:rPr>
          <w:noProof/>
        </w:rPr>
        <w:t>Il convient donc de modifier le règlement d’exécution (UE) 2018/1624 de la Commission</w:t>
      </w:r>
      <w:r w:rsidR="005F79AB" w:rsidRPr="00537479">
        <w:rPr>
          <w:rStyle w:val="FootnoteReference"/>
          <w:noProof/>
        </w:rPr>
        <w:footnoteReference w:id="3"/>
      </w:r>
      <w:r w:rsidR="005F79AB" w:rsidRPr="00537479">
        <w:rPr>
          <w:noProof/>
        </w:rPr>
        <w:t xml:space="preserve"> en conséquence.</w:t>
      </w:r>
    </w:p>
    <w:p w14:paraId="2F996AE9" w14:textId="63B54E09" w:rsidR="00745799" w:rsidRPr="00537479" w:rsidRDefault="00134A83" w:rsidP="00134A83">
      <w:pPr>
        <w:pStyle w:val="ManualConsidrant"/>
        <w:rPr>
          <w:noProof/>
        </w:rPr>
      </w:pPr>
      <w:r w:rsidRPr="00134A83">
        <w:t>(3)</w:t>
      </w:r>
      <w:r w:rsidRPr="00134A83">
        <w:tab/>
      </w:r>
      <w:r w:rsidR="00745799" w:rsidRPr="00537479">
        <w:rPr>
          <w:noProof/>
        </w:rPr>
        <w:t xml:space="preserve">Le présent règlement se fonde sur les projets de normes techniques d’exécution soumis à la Commission par l’Autorité bancaire européenne (ABE). </w:t>
      </w:r>
    </w:p>
    <w:p w14:paraId="505703BE" w14:textId="145388D7" w:rsidR="00745799" w:rsidRPr="00537479" w:rsidRDefault="00134A83" w:rsidP="00134A83">
      <w:pPr>
        <w:pStyle w:val="ManualConsidrant"/>
        <w:rPr>
          <w:noProof/>
        </w:rPr>
      </w:pPr>
      <w:r w:rsidRPr="00134A83">
        <w:t>(4)</w:t>
      </w:r>
      <w:r w:rsidRPr="00134A83">
        <w:tab/>
      </w:r>
      <w:r w:rsidR="00745799" w:rsidRPr="00537479">
        <w:rPr>
          <w:noProof/>
        </w:rPr>
        <w:t xml:space="preserve">L’ABE n’a pas procédé à des consultations publiques ouvertes sur les projets de normes techniques d’exécution sur lesquels se fonde le présent règlement, ni analysé les coûts et avantages potentiels qu’ils impliquent, car elle a estimé que cela aurait été </w:t>
      </w:r>
      <w:r w:rsidR="00745799" w:rsidRPr="00537479">
        <w:rPr>
          <w:noProof/>
        </w:rPr>
        <w:lastRenderedPageBreak/>
        <w:t>hautement disproportionné au regard de la portée très limitée, du petit nombre et de la faible incidence des modifications prévues, puisque celles-ci se limitent à des mises à jour des références à la directive 2014/59/UE, l’ajout de deux nouveaux éléments à déclarer et des modifications mineures visant à supprimer des obstacles techniques à la déclaration. L’ABE a sollicité l’avis du groupe des parties intéressées au secteur financier institué par l’article 37 du règlement (UE) nº 1093/2010 du Parlement européen et du Conseil</w:t>
      </w:r>
      <w:r w:rsidR="00745799" w:rsidRPr="00537479">
        <w:rPr>
          <w:rStyle w:val="FootnoteReference"/>
          <w:noProof/>
        </w:rPr>
        <w:footnoteReference w:id="4"/>
      </w:r>
      <w:r w:rsidR="00745799" w:rsidRPr="00537479">
        <w:rPr>
          <w:noProof/>
        </w:rPr>
        <w:t>,</w:t>
      </w:r>
    </w:p>
    <w:p w14:paraId="3F0100F6" w14:textId="77777777" w:rsidR="00745799" w:rsidRPr="00537479" w:rsidRDefault="00745799" w:rsidP="004E1EF9">
      <w:pPr>
        <w:pStyle w:val="Formuledadoption"/>
        <w:rPr>
          <w:noProof/>
        </w:rPr>
      </w:pPr>
      <w:r w:rsidRPr="00537479">
        <w:rPr>
          <w:noProof/>
        </w:rPr>
        <w:t>A ADOPTÉ LE PRÉSENT RÈGLEMENT:</w:t>
      </w:r>
    </w:p>
    <w:p w14:paraId="248EA0A8" w14:textId="77777777" w:rsidR="00745799" w:rsidRPr="00537479" w:rsidRDefault="00745799" w:rsidP="004E1EF9">
      <w:pPr>
        <w:pStyle w:val="Titrearticle"/>
        <w:rPr>
          <w:noProof/>
        </w:rPr>
      </w:pPr>
      <w:r w:rsidRPr="00537479">
        <w:rPr>
          <w:noProof/>
        </w:rPr>
        <w:t>Article premier</w:t>
      </w:r>
    </w:p>
    <w:p w14:paraId="0EB604DB" w14:textId="07D2792D" w:rsidR="00745799" w:rsidRPr="00537479" w:rsidRDefault="00745799" w:rsidP="004E1EF9">
      <w:pPr>
        <w:rPr>
          <w:noProof/>
        </w:rPr>
      </w:pPr>
      <w:r w:rsidRPr="00537479">
        <w:rPr>
          <w:noProof/>
        </w:rPr>
        <w:t>Le règlement d’exécution (UE) 2018/1624 est modifié comme suit:</w:t>
      </w:r>
    </w:p>
    <w:p w14:paraId="6C2E9789" w14:textId="5F928DB7" w:rsidR="002E04D0" w:rsidRPr="00537479" w:rsidRDefault="00134A83" w:rsidP="00134A83">
      <w:pPr>
        <w:pStyle w:val="Point0"/>
        <w:rPr>
          <w:noProof/>
        </w:rPr>
      </w:pPr>
      <w:r w:rsidRPr="00134A83">
        <w:t>(1)</w:t>
      </w:r>
      <w:r w:rsidRPr="00134A83">
        <w:tab/>
      </w:r>
      <w:r w:rsidR="00745799" w:rsidRPr="00537479">
        <w:rPr>
          <w:noProof/>
        </w:rPr>
        <w:t>L’annexe I est modifiée comme suit:</w:t>
      </w:r>
    </w:p>
    <w:p w14:paraId="307F7177" w14:textId="22C7A1AF" w:rsidR="00745799" w:rsidRPr="00537479" w:rsidRDefault="00134A83" w:rsidP="00134A83">
      <w:pPr>
        <w:pStyle w:val="Point0"/>
        <w:rPr>
          <w:noProof/>
        </w:rPr>
      </w:pPr>
      <w:r w:rsidRPr="00134A83">
        <w:t>(a)</w:t>
      </w:r>
      <w:r w:rsidRPr="00134A83">
        <w:tab/>
      </w:r>
      <w:r w:rsidR="002E04D0" w:rsidRPr="00537479">
        <w:rPr>
          <w:noProof/>
        </w:rPr>
        <w:t>le modèle Z 02.00 est remplacé par le modèle Z 02.00 de l’annexe I du présent règlement;</w:t>
      </w:r>
    </w:p>
    <w:p w14:paraId="2AC11875" w14:textId="58146DDD" w:rsidR="002E04D0" w:rsidRPr="00537479" w:rsidRDefault="00134A83" w:rsidP="00134A83">
      <w:pPr>
        <w:pStyle w:val="Point0"/>
        <w:rPr>
          <w:noProof/>
        </w:rPr>
      </w:pPr>
      <w:r w:rsidRPr="00134A83">
        <w:t>(b)</w:t>
      </w:r>
      <w:r w:rsidRPr="00134A83">
        <w:tab/>
      </w:r>
      <w:r w:rsidR="002E04D0" w:rsidRPr="00537479">
        <w:rPr>
          <w:noProof/>
        </w:rPr>
        <w:t>le modèle Z 03.00 est remplacé par le modèle Z 03.00 de l’annexe I du présent règlement.</w:t>
      </w:r>
    </w:p>
    <w:p w14:paraId="60F6BC37" w14:textId="52606BCD" w:rsidR="00745799" w:rsidRPr="00537479" w:rsidRDefault="00134A83" w:rsidP="00134A83">
      <w:pPr>
        <w:pStyle w:val="Point0"/>
        <w:rPr>
          <w:noProof/>
        </w:rPr>
      </w:pPr>
      <w:r w:rsidRPr="00134A83">
        <w:t>(2)</w:t>
      </w:r>
      <w:r w:rsidRPr="00134A83">
        <w:tab/>
      </w:r>
      <w:r w:rsidR="00090F84" w:rsidRPr="00537479">
        <w:rPr>
          <w:noProof/>
        </w:rPr>
        <w:t xml:space="preserve">L’annexe II est remplacée par le texte figurant à l’annexe II du présent règlement. </w:t>
      </w:r>
    </w:p>
    <w:p w14:paraId="77E50565" w14:textId="37F839DE" w:rsidR="00745799" w:rsidRPr="00537479" w:rsidRDefault="00745799" w:rsidP="004E1EF9">
      <w:pPr>
        <w:pStyle w:val="Titrearticle"/>
        <w:rPr>
          <w:noProof/>
          <w:color w:val="000000" w:themeColor="text1"/>
        </w:rPr>
      </w:pPr>
      <w:r w:rsidRPr="00537479">
        <w:rPr>
          <w:noProof/>
        </w:rPr>
        <w:t>Article 2</w:t>
      </w:r>
    </w:p>
    <w:p w14:paraId="280CEA9B" w14:textId="288234FC" w:rsidR="00745799" w:rsidRPr="00537479" w:rsidRDefault="00745799" w:rsidP="004E1EF9">
      <w:pPr>
        <w:rPr>
          <w:noProof/>
        </w:rPr>
      </w:pPr>
      <w:r w:rsidRPr="00537479">
        <w:rPr>
          <w:noProof/>
        </w:rPr>
        <w:t xml:space="preserve">Le présent règlement entre en vigueur le vingtième jour suivant celui de sa publication au </w:t>
      </w:r>
      <w:r w:rsidRPr="00537479">
        <w:rPr>
          <w:i/>
          <w:noProof/>
        </w:rPr>
        <w:t>Journal officiel de l’Union européenne</w:t>
      </w:r>
      <w:r w:rsidRPr="00537479">
        <w:rPr>
          <w:noProof/>
        </w:rPr>
        <w:t>.</w:t>
      </w:r>
    </w:p>
    <w:p w14:paraId="5ED2B21A" w14:textId="77777777" w:rsidR="00745799" w:rsidRPr="00537479" w:rsidRDefault="00745799" w:rsidP="004E1EF9">
      <w:pPr>
        <w:pStyle w:val="Applicationdirecte"/>
        <w:rPr>
          <w:noProof/>
        </w:rPr>
      </w:pPr>
      <w:r w:rsidRPr="00537479">
        <w:rPr>
          <w:noProof/>
        </w:rPr>
        <w:t>Le présent règlement est obligatoire dans tous ses éléments et directement applicable dans tout État membre.</w:t>
      </w:r>
    </w:p>
    <w:p w14:paraId="3D8C8E1A" w14:textId="56DD7E36" w:rsidR="00745799" w:rsidRPr="00537479" w:rsidRDefault="0035366E" w:rsidP="00FF66BE">
      <w:pPr>
        <w:pStyle w:val="Fait"/>
        <w:rPr>
          <w:noProof/>
        </w:rPr>
      </w:pPr>
      <w:r w:rsidRPr="0035366E">
        <w:t>Fait à Bruxelles, le 3.3.2022</w:t>
      </w:r>
    </w:p>
    <w:p w14:paraId="54345AFA" w14:textId="77777777" w:rsidR="00745799" w:rsidRPr="00537479" w:rsidRDefault="00745799" w:rsidP="00FF66BE">
      <w:pPr>
        <w:pStyle w:val="Institutionquisigne"/>
        <w:rPr>
          <w:noProof/>
        </w:rPr>
      </w:pPr>
      <w:r w:rsidRPr="00537479">
        <w:rPr>
          <w:noProof/>
        </w:rPr>
        <w:tab/>
        <w:t>Par la Commission</w:t>
      </w:r>
    </w:p>
    <w:p w14:paraId="77E16C5B" w14:textId="4CEF6CAB" w:rsidR="008A5816" w:rsidRPr="00537479" w:rsidRDefault="009E429F" w:rsidP="00FF66BE">
      <w:pPr>
        <w:pStyle w:val="Personnequisigne"/>
        <w:keepNext/>
        <w:rPr>
          <w:noProof/>
        </w:rPr>
      </w:pPr>
      <w:r>
        <w:tab/>
        <w:t>La présidente</w:t>
      </w:r>
      <w:r>
        <w:br/>
      </w:r>
      <w:r>
        <w:tab/>
        <w:t>Ursula VON DER LEYEN</w:t>
      </w:r>
    </w:p>
    <w:p w14:paraId="7793195C" w14:textId="575984BF" w:rsidR="00745799" w:rsidRPr="00537479" w:rsidRDefault="00745799" w:rsidP="00745799">
      <w:pPr>
        <w:pStyle w:val="Personnequisigne"/>
        <w:rPr>
          <w:noProof/>
        </w:rPr>
      </w:pPr>
    </w:p>
    <w:sectPr w:rsidR="00745799" w:rsidRPr="00537479" w:rsidSect="008C6732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80056B" w14:textId="2904ECF0" w:rsidR="00C52AC5" w:rsidRPr="008C6732" w:rsidRDefault="008C6732" w:rsidP="008C6732">
    <w:pPr>
      <w:pStyle w:val="Footer"/>
      <w:rPr>
        <w:rFonts w:ascii="Arial" w:hAnsi="Arial" w:cs="Arial"/>
        <w:b/>
        <w:sz w:val="48"/>
      </w:rPr>
    </w:pPr>
    <w:r w:rsidRPr="008C6732">
      <w:rPr>
        <w:rFonts w:ascii="Arial" w:hAnsi="Arial" w:cs="Arial"/>
        <w:b/>
        <w:sz w:val="48"/>
      </w:rPr>
      <w:t>FR</w:t>
    </w:r>
    <w:r w:rsidRPr="008C6732">
      <w:rPr>
        <w:rFonts w:ascii="Arial" w:hAnsi="Arial" w:cs="Arial"/>
        <w:b/>
        <w:sz w:val="48"/>
      </w:rPr>
      <w:tab/>
    </w:r>
    <w:r w:rsidRPr="008C6732">
      <w:rPr>
        <w:rFonts w:ascii="Arial" w:hAnsi="Arial" w:cs="Arial"/>
        <w:b/>
        <w:sz w:val="48"/>
      </w:rPr>
      <w:tab/>
    </w:r>
    <w:r w:rsidRPr="008C6732">
      <w:tab/>
    </w:r>
    <w:r w:rsidRPr="008C6732">
      <w:rPr>
        <w:rFonts w:ascii="Arial" w:hAnsi="Arial" w:cs="Arial"/>
        <w:b/>
        <w:sz w:val="48"/>
      </w:rPr>
      <w:t>FR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680945" w14:textId="5870D1D8" w:rsidR="008C6732" w:rsidRPr="008C6732" w:rsidRDefault="008C6732" w:rsidP="008C6732">
    <w:pPr>
      <w:pStyle w:val="Footer"/>
      <w:rPr>
        <w:rFonts w:ascii="Arial" w:hAnsi="Arial" w:cs="Arial"/>
        <w:b/>
        <w:sz w:val="48"/>
      </w:rPr>
    </w:pPr>
    <w:r w:rsidRPr="008C6732">
      <w:rPr>
        <w:rFonts w:ascii="Arial" w:hAnsi="Arial" w:cs="Arial"/>
        <w:b/>
        <w:sz w:val="48"/>
      </w:rPr>
      <w:t>FR</w:t>
    </w:r>
    <w:r w:rsidRPr="008C6732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71C7B">
      <w:rPr>
        <w:noProof/>
      </w:rPr>
      <w:t>2</w:t>
    </w:r>
    <w:r>
      <w:fldChar w:fldCharType="end"/>
    </w:r>
    <w:r>
      <w:tab/>
    </w:r>
    <w:r w:rsidRPr="008C6732">
      <w:tab/>
    </w:r>
    <w:r w:rsidRPr="008C6732">
      <w:rPr>
        <w:rFonts w:ascii="Arial" w:hAnsi="Arial" w:cs="Arial"/>
        <w:b/>
        <w:sz w:val="48"/>
      </w:rPr>
      <w:t>FR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7B98D9" w14:textId="77777777" w:rsidR="008C6732" w:rsidRPr="008C6732" w:rsidRDefault="008C6732" w:rsidP="008C67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JO L 173 du 12.6.2014, p. 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Directive (UE) 2019/879 du Parlement européen et du Conseil du 20 mai 2019 modifiant la directive 2014/59/UE en ce qui concerne la capacité d’absorption des pertes et de recapitalisation des établissements de crédit et des entreprises d’investissement et la directive 98/26/CE (JO L 150 du 7.6.2019, p. 296).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Règlement d’exécution (UE) 2018/1624 de la Commission du 23 octobre 2018 définissant des normes techniques d’exécution concernant les procédures, les formulaires types et les modèles à utiliser pour la fourniture d’informations aux fins de l’établissement de plans de résolution pour les établissements de crédit et les entreprises d’investissement, conformément à la directive 2014/59/UE du Parlement européen et du Conseil, et abrogeant le règlement d’exécution (UE) 2016/1066 de la Commission (JO L 277 du 7.11.2018, p. 1).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Règlement (UE) nº 1093/2010 du Parlement européen et du Conseil du 24 novembre 2010 instituant une Autorité européenne de surveillance (Autorité bancaire européenne), modifiant la décision nº 716/2009/CE et abrogeant la décision 2009/78/CE de la Commission (JO L 331 du 15.12.2010, p.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20"/>
  </w:num>
  <w:num w:numId="26">
    <w:abstractNumId w:val="20"/>
  </w:num>
  <w:num w:numId="27">
    <w:abstractNumId w:val="20"/>
  </w:num>
  <w:num w:numId="28">
    <w:abstractNumId w:val="14"/>
  </w:num>
  <w:num w:numId="29">
    <w:abstractNumId w:val="9"/>
  </w:num>
  <w:num w:numId="30">
    <w:abstractNumId w:val="9"/>
  </w:num>
  <w:num w:numId="31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50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525FF1E8-B9B9-47F4-A00C-C11D62A6707A"/>
    <w:docVar w:name="LW_COVERPAGE_TYPE" w:val="1"/>
    <w:docVar w:name="LW_CROSSREFERENCE" w:val="&lt;UNUSED&gt;"/>
    <w:docVar w:name="LW_DATE.ADOPT.CP" w:val="du 3.3.2022"/>
    <w:docVar w:name="LW_DATE.ADOPT.CP_DATEFORMAT" w:val="du %DATE%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xelles, l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e présentant de l’intérêt pour l’EEE)"/>
    <w:docVar w:name="LW_LANGUE" w:val="FR"/>
    <w:docVar w:name="LW_LANGUESFAISANTFOI.CP" w:val="&lt;UNUSED&gt;"/>
    <w:docVar w:name="LW_LEVEL_OF_SENSITIVITY" w:val="Standard treatment"/>
    <w:docVar w:name="LW_NOM.INST" w:val="COMMISSION EUROPÉENN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modifiant le règlement d’exécution (UE) 2018/1624 définissant des normes techniques d’exécution concernant les procédures, les formulaires types et les modèles à utiliser pour la fourniture d’informations aux fins de l’établissement de plans de résolution pour les établissements de crédit et les entreprises d’investissement, conformément à la directive 2014/59/UE du Parlement européen et du Conseil _x000b_"/>
    <w:docVar w:name="LW_TYPE.DOC.CP" w:val="RÈGLEMENT D’EXÉCUTION (UE) …/... DE LA COMMISSION"/>
    <w:docVar w:name="LwApiVersions" w:val="LW4CoDe 1.23.2.0; LW 8.0, Build 20211117"/>
  </w:docVars>
  <w:rsids>
    <w:rsidRoot w:val="00745799"/>
    <w:rsid w:val="000105B9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1337E"/>
    <w:rsid w:val="00123B47"/>
    <w:rsid w:val="00134A83"/>
    <w:rsid w:val="001838A3"/>
    <w:rsid w:val="001C2816"/>
    <w:rsid w:val="001D72C1"/>
    <w:rsid w:val="00213F5B"/>
    <w:rsid w:val="00232E98"/>
    <w:rsid w:val="002529F8"/>
    <w:rsid w:val="00283253"/>
    <w:rsid w:val="002E04D0"/>
    <w:rsid w:val="003053DC"/>
    <w:rsid w:val="003151E2"/>
    <w:rsid w:val="00333B7B"/>
    <w:rsid w:val="0035366E"/>
    <w:rsid w:val="003D725F"/>
    <w:rsid w:val="003E38EA"/>
    <w:rsid w:val="00426704"/>
    <w:rsid w:val="0046430B"/>
    <w:rsid w:val="004B08D1"/>
    <w:rsid w:val="004B333D"/>
    <w:rsid w:val="004F579B"/>
    <w:rsid w:val="00511345"/>
    <w:rsid w:val="00537479"/>
    <w:rsid w:val="00556A93"/>
    <w:rsid w:val="005B1217"/>
    <w:rsid w:val="005F79AB"/>
    <w:rsid w:val="00603FDC"/>
    <w:rsid w:val="00671C7B"/>
    <w:rsid w:val="006944A9"/>
    <w:rsid w:val="006B3BDB"/>
    <w:rsid w:val="006D5B8E"/>
    <w:rsid w:val="0070128F"/>
    <w:rsid w:val="007170E9"/>
    <w:rsid w:val="00745799"/>
    <w:rsid w:val="00753C08"/>
    <w:rsid w:val="0076684E"/>
    <w:rsid w:val="007C06F6"/>
    <w:rsid w:val="007E3268"/>
    <w:rsid w:val="007F3383"/>
    <w:rsid w:val="00813DCB"/>
    <w:rsid w:val="00824FBA"/>
    <w:rsid w:val="008A5816"/>
    <w:rsid w:val="008B152E"/>
    <w:rsid w:val="008C6732"/>
    <w:rsid w:val="008F621A"/>
    <w:rsid w:val="00911DBE"/>
    <w:rsid w:val="009202AA"/>
    <w:rsid w:val="00945758"/>
    <w:rsid w:val="00986B33"/>
    <w:rsid w:val="00987AD5"/>
    <w:rsid w:val="009B7138"/>
    <w:rsid w:val="009C3971"/>
    <w:rsid w:val="009E429F"/>
    <w:rsid w:val="00B63485"/>
    <w:rsid w:val="00B85498"/>
    <w:rsid w:val="00BE246D"/>
    <w:rsid w:val="00BF17AA"/>
    <w:rsid w:val="00BF5167"/>
    <w:rsid w:val="00BF5875"/>
    <w:rsid w:val="00C24556"/>
    <w:rsid w:val="00C52AC5"/>
    <w:rsid w:val="00CA6AAF"/>
    <w:rsid w:val="00CB69D3"/>
    <w:rsid w:val="00D4394C"/>
    <w:rsid w:val="00DE78DA"/>
    <w:rsid w:val="00DF7421"/>
    <w:rsid w:val="00E578DB"/>
    <w:rsid w:val="00F20062"/>
    <w:rsid w:val="00FF227E"/>
    <w:rsid w:val="00F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fr-FR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7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7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7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7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46430B"/>
    <w:pPr>
      <w:keepNext/>
      <w:numPr>
        <w:ilvl w:val="4"/>
        <w:numId w:val="27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46430B"/>
    <w:pPr>
      <w:keepNext/>
      <w:numPr>
        <w:ilvl w:val="5"/>
        <w:numId w:val="27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46430B"/>
    <w:pPr>
      <w:keepNext/>
      <w:numPr>
        <w:ilvl w:val="6"/>
        <w:numId w:val="27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fr-FR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fr-FR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C6732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8C6732"/>
    <w:rPr>
      <w:rFonts w:ascii="Times New Roman" w:hAnsi="Times New Roman" w:cs="Times New Roman"/>
      <w:sz w:val="24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8C6732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8C6732"/>
    <w:rPr>
      <w:rFonts w:ascii="Times New Roman" w:hAnsi="Times New Roman" w:cs="Times New Roman"/>
      <w:sz w:val="24"/>
      <w:lang w:val="fr-FR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8C6732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8C6732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8C67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8C6732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8C673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1"/>
      </w:numPr>
    </w:pPr>
  </w:style>
  <w:style w:type="paragraph" w:customStyle="1" w:styleId="Tiret1">
    <w:name w:val="Tiret 1"/>
    <w:basedOn w:val="Point1"/>
    <w:rsid w:val="009B7138"/>
    <w:pPr>
      <w:numPr>
        <w:numId w:val="12"/>
      </w:numPr>
    </w:pPr>
  </w:style>
  <w:style w:type="paragraph" w:customStyle="1" w:styleId="Tiret2">
    <w:name w:val="Tiret 2"/>
    <w:basedOn w:val="Point2"/>
    <w:rsid w:val="009B7138"/>
    <w:pPr>
      <w:numPr>
        <w:numId w:val="13"/>
      </w:numPr>
    </w:pPr>
  </w:style>
  <w:style w:type="paragraph" w:customStyle="1" w:styleId="Tiret3">
    <w:name w:val="Tiret 3"/>
    <w:basedOn w:val="Point3"/>
    <w:rsid w:val="009B7138"/>
    <w:pPr>
      <w:numPr>
        <w:numId w:val="14"/>
      </w:numPr>
    </w:pPr>
  </w:style>
  <w:style w:type="paragraph" w:customStyle="1" w:styleId="Tiret4">
    <w:name w:val="Tiret 4"/>
    <w:basedOn w:val="Point4"/>
    <w:rsid w:val="009B7138"/>
    <w:pPr>
      <w:numPr>
        <w:numId w:val="15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1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1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1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1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8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8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8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8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8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8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8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8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8"/>
      </w:numPr>
    </w:pPr>
  </w:style>
  <w:style w:type="paragraph" w:customStyle="1" w:styleId="Bullet0">
    <w:name w:val="Bullet 0"/>
    <w:basedOn w:val="Normal"/>
    <w:rsid w:val="009B7138"/>
    <w:pPr>
      <w:numPr>
        <w:numId w:val="19"/>
      </w:numPr>
    </w:pPr>
  </w:style>
  <w:style w:type="paragraph" w:customStyle="1" w:styleId="Bullet1">
    <w:name w:val="Bullet 1"/>
    <w:basedOn w:val="Normal"/>
    <w:rsid w:val="009B7138"/>
    <w:pPr>
      <w:numPr>
        <w:numId w:val="20"/>
      </w:numPr>
    </w:pPr>
  </w:style>
  <w:style w:type="paragraph" w:customStyle="1" w:styleId="Bullet2">
    <w:name w:val="Bullet 2"/>
    <w:basedOn w:val="Normal"/>
    <w:rsid w:val="009B7138"/>
    <w:pPr>
      <w:numPr>
        <w:numId w:val="21"/>
      </w:numPr>
    </w:pPr>
  </w:style>
  <w:style w:type="paragraph" w:customStyle="1" w:styleId="Bullet3">
    <w:name w:val="Bullet 3"/>
    <w:basedOn w:val="Normal"/>
    <w:rsid w:val="009B7138"/>
    <w:pPr>
      <w:numPr>
        <w:numId w:val="22"/>
      </w:numPr>
    </w:pPr>
  </w:style>
  <w:style w:type="paragraph" w:customStyle="1" w:styleId="Bullet4">
    <w:name w:val="Bullet 4"/>
    <w:basedOn w:val="Normal"/>
    <w:rsid w:val="009B7138"/>
    <w:pPr>
      <w:numPr>
        <w:numId w:val="23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4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46430B"/>
    <w:rPr>
      <w:rFonts w:ascii="Times New Roman" w:eastAsiaTheme="majorEastAsia" w:hAnsi="Times New Roman" w:cs="Times New Roman"/>
      <w:sz w:val="24"/>
      <w:lang w:val="fr-FR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6430B"/>
    <w:rPr>
      <w:rFonts w:ascii="Times New Roman" w:eastAsiaTheme="majorEastAsia" w:hAnsi="Times New Roman" w:cs="Times New Roman"/>
      <w:iCs/>
      <w:sz w:val="24"/>
      <w:lang w:val="fr-FR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6430B"/>
    <w:rPr>
      <w:rFonts w:ascii="Times New Roman" w:eastAsiaTheme="majorEastAsia" w:hAnsi="Times New Roman" w:cs="Times New Roman"/>
      <w:iCs/>
      <w:sz w:val="24"/>
      <w:lang w:val="fr-FR"/>
    </w:rPr>
  </w:style>
  <w:style w:type="paragraph" w:customStyle="1" w:styleId="ManualHeading5">
    <w:name w:val="Manual Heading 5"/>
    <w:basedOn w:val="Normal"/>
    <w:next w:val="Text2"/>
    <w:rsid w:val="0046430B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46430B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46430B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46430B"/>
    <w:pPr>
      <w:ind w:left="3118"/>
    </w:pPr>
  </w:style>
  <w:style w:type="paragraph" w:customStyle="1" w:styleId="Text6">
    <w:name w:val="Text 6"/>
    <w:basedOn w:val="Normal"/>
    <w:rsid w:val="0046430B"/>
    <w:pPr>
      <w:ind w:left="3685"/>
    </w:pPr>
  </w:style>
  <w:style w:type="paragraph" w:customStyle="1" w:styleId="Point5">
    <w:name w:val="Point 5"/>
    <w:basedOn w:val="Normal"/>
    <w:rsid w:val="0046430B"/>
    <w:pPr>
      <w:ind w:left="3685" w:hanging="567"/>
    </w:pPr>
  </w:style>
  <w:style w:type="paragraph" w:customStyle="1" w:styleId="Tiret5">
    <w:name w:val="Tiret 5"/>
    <w:basedOn w:val="Point5"/>
    <w:rsid w:val="0046430B"/>
    <w:pPr>
      <w:numPr>
        <w:numId w:val="28"/>
      </w:numPr>
    </w:pPr>
  </w:style>
  <w:style w:type="paragraph" w:customStyle="1" w:styleId="NumPar5">
    <w:name w:val="NumPar 5"/>
    <w:basedOn w:val="Normal"/>
    <w:next w:val="Text2"/>
    <w:rsid w:val="0046430B"/>
    <w:pPr>
      <w:numPr>
        <w:ilvl w:val="4"/>
        <w:numId w:val="31"/>
      </w:numPr>
    </w:pPr>
  </w:style>
  <w:style w:type="paragraph" w:customStyle="1" w:styleId="NumPar6">
    <w:name w:val="NumPar 6"/>
    <w:basedOn w:val="Normal"/>
    <w:next w:val="Text2"/>
    <w:rsid w:val="0046430B"/>
    <w:pPr>
      <w:numPr>
        <w:ilvl w:val="5"/>
        <w:numId w:val="31"/>
      </w:numPr>
    </w:pPr>
  </w:style>
  <w:style w:type="paragraph" w:customStyle="1" w:styleId="NumPar7">
    <w:name w:val="NumPar 7"/>
    <w:basedOn w:val="Normal"/>
    <w:next w:val="Text2"/>
    <w:rsid w:val="0046430B"/>
    <w:pPr>
      <w:numPr>
        <w:ilvl w:val="6"/>
        <w:numId w:val="31"/>
      </w:numPr>
    </w:pPr>
  </w:style>
  <w:style w:type="paragraph" w:customStyle="1" w:styleId="ManualNumPar5">
    <w:name w:val="Manual NumPar 5"/>
    <w:basedOn w:val="Normal"/>
    <w:next w:val="Text2"/>
    <w:rsid w:val="0046430B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46430B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46430B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510</Words>
  <Characters>2847</Characters>
  <Application>Microsoft Office Word</Application>
  <DocSecurity>0</DocSecurity>
  <Lines>58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2022-03-08T13:23:00Z</dcterms:created>
  <dcterms:modified xsi:type="dcterms:W3CDTF">2022-03-08T13:23:00Z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