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„II. MELLÉKLET</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Útmutató</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746E9EA3" w14:textId="1BC6B67B" w:rsidR="009B4613" w:rsidRDefault="001D258F">
      <w:pPr>
        <w:pStyle w:val="TOC2"/>
        <w:rPr>
          <w:lang w:eastAsia="hu-HU"/>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96187364" w:history="1">
        <w:r w:rsidR="009B4613" w:rsidRPr="0096601D">
          <w:rPr>
            <w:rStyle w:val="Hyperlink"/>
            <w:rFonts w:ascii="Times New Roman" w:hAnsi="Times New Roman" w:cs="Times New Roman"/>
          </w:rPr>
          <w:t>I.</w:t>
        </w:r>
        <w:r w:rsidR="009B4613">
          <w:rPr>
            <w:lang w:eastAsia="hu-HU"/>
          </w:rPr>
          <w:tab/>
        </w:r>
        <w:r w:rsidR="009B4613" w:rsidRPr="0096601D">
          <w:rPr>
            <w:rStyle w:val="Hyperlink"/>
            <w:rFonts w:ascii="Times New Roman" w:hAnsi="Times New Roman"/>
          </w:rPr>
          <w:t>Általános útmutató</w:t>
        </w:r>
        <w:r w:rsidR="009B4613">
          <w:rPr>
            <w:webHidden/>
          </w:rPr>
          <w:tab/>
        </w:r>
        <w:r w:rsidR="009B4613">
          <w:rPr>
            <w:webHidden/>
          </w:rPr>
          <w:fldChar w:fldCharType="begin"/>
        </w:r>
        <w:r w:rsidR="009B4613">
          <w:rPr>
            <w:webHidden/>
          </w:rPr>
          <w:instrText xml:space="preserve"> PAGEREF _Toc96187364 \h </w:instrText>
        </w:r>
        <w:r w:rsidR="009B4613">
          <w:rPr>
            <w:webHidden/>
          </w:rPr>
        </w:r>
        <w:r w:rsidR="009B4613">
          <w:rPr>
            <w:webHidden/>
          </w:rPr>
          <w:fldChar w:fldCharType="separate"/>
        </w:r>
        <w:r w:rsidR="009B4613">
          <w:rPr>
            <w:webHidden/>
          </w:rPr>
          <w:t>2</w:t>
        </w:r>
        <w:r w:rsidR="009B4613">
          <w:rPr>
            <w:webHidden/>
          </w:rPr>
          <w:fldChar w:fldCharType="end"/>
        </w:r>
      </w:hyperlink>
    </w:p>
    <w:p w14:paraId="52C8DC42" w14:textId="14C627B0" w:rsidR="009B4613" w:rsidRDefault="00D1789A">
      <w:pPr>
        <w:pStyle w:val="TOC2"/>
        <w:rPr>
          <w:lang w:eastAsia="hu-HU"/>
        </w:rPr>
      </w:pPr>
      <w:hyperlink w:anchor="_Toc96187365" w:history="1">
        <w:r w:rsidR="009B4613" w:rsidRPr="0096601D">
          <w:rPr>
            <w:rStyle w:val="Hyperlink"/>
            <w:rFonts w:ascii="Times New Roman" w:hAnsi="Times New Roman" w:cs="Times New Roman"/>
          </w:rPr>
          <w:t>I.1</w:t>
        </w:r>
        <w:r w:rsidR="009B4613">
          <w:rPr>
            <w:lang w:eastAsia="hu-HU"/>
          </w:rPr>
          <w:tab/>
        </w:r>
        <w:r w:rsidR="009B4613" w:rsidRPr="0096601D">
          <w:rPr>
            <w:rStyle w:val="Hyperlink"/>
            <w:rFonts w:ascii="Times New Roman" w:hAnsi="Times New Roman"/>
          </w:rPr>
          <w:t>Szerkezet</w:t>
        </w:r>
        <w:r w:rsidR="009B4613">
          <w:rPr>
            <w:webHidden/>
          </w:rPr>
          <w:tab/>
        </w:r>
        <w:r w:rsidR="009B4613">
          <w:rPr>
            <w:webHidden/>
          </w:rPr>
          <w:fldChar w:fldCharType="begin"/>
        </w:r>
        <w:r w:rsidR="009B4613">
          <w:rPr>
            <w:webHidden/>
          </w:rPr>
          <w:instrText xml:space="preserve"> PAGEREF _Toc96187365 \h </w:instrText>
        </w:r>
        <w:r w:rsidR="009B4613">
          <w:rPr>
            <w:webHidden/>
          </w:rPr>
        </w:r>
        <w:r w:rsidR="009B4613">
          <w:rPr>
            <w:webHidden/>
          </w:rPr>
          <w:fldChar w:fldCharType="separate"/>
        </w:r>
        <w:r w:rsidR="009B4613">
          <w:rPr>
            <w:webHidden/>
          </w:rPr>
          <w:t>2</w:t>
        </w:r>
        <w:r w:rsidR="009B4613">
          <w:rPr>
            <w:webHidden/>
          </w:rPr>
          <w:fldChar w:fldCharType="end"/>
        </w:r>
      </w:hyperlink>
    </w:p>
    <w:p w14:paraId="7EB6B25B" w14:textId="2C2EFEAA" w:rsidR="009B4613" w:rsidRDefault="00D1789A">
      <w:pPr>
        <w:pStyle w:val="TOC2"/>
        <w:rPr>
          <w:lang w:eastAsia="hu-HU"/>
        </w:rPr>
      </w:pPr>
      <w:hyperlink w:anchor="_Toc96187366" w:history="1">
        <w:r w:rsidR="009B4613" w:rsidRPr="0096601D">
          <w:rPr>
            <w:rStyle w:val="Hyperlink"/>
            <w:rFonts w:ascii="Times New Roman" w:hAnsi="Times New Roman" w:cs="Times New Roman"/>
          </w:rPr>
          <w:t>I.2</w:t>
        </w:r>
        <w:r w:rsidR="009B4613">
          <w:rPr>
            <w:lang w:eastAsia="hu-HU"/>
          </w:rPr>
          <w:tab/>
        </w:r>
        <w:r w:rsidR="009B4613" w:rsidRPr="0096601D">
          <w:rPr>
            <w:rStyle w:val="Hyperlink"/>
            <w:rFonts w:ascii="Times New Roman" w:hAnsi="Times New Roman"/>
          </w:rPr>
          <w:t>Hivatkozások</w:t>
        </w:r>
        <w:r w:rsidR="009B4613">
          <w:rPr>
            <w:webHidden/>
          </w:rPr>
          <w:tab/>
        </w:r>
        <w:r w:rsidR="009B4613">
          <w:rPr>
            <w:webHidden/>
          </w:rPr>
          <w:fldChar w:fldCharType="begin"/>
        </w:r>
        <w:r w:rsidR="009B4613">
          <w:rPr>
            <w:webHidden/>
          </w:rPr>
          <w:instrText xml:space="preserve"> PAGEREF _Toc96187366 \h </w:instrText>
        </w:r>
        <w:r w:rsidR="009B4613">
          <w:rPr>
            <w:webHidden/>
          </w:rPr>
        </w:r>
        <w:r w:rsidR="009B4613">
          <w:rPr>
            <w:webHidden/>
          </w:rPr>
          <w:fldChar w:fldCharType="separate"/>
        </w:r>
        <w:r w:rsidR="009B4613">
          <w:rPr>
            <w:webHidden/>
          </w:rPr>
          <w:t>2</w:t>
        </w:r>
        <w:r w:rsidR="009B4613">
          <w:rPr>
            <w:webHidden/>
          </w:rPr>
          <w:fldChar w:fldCharType="end"/>
        </w:r>
      </w:hyperlink>
    </w:p>
    <w:p w14:paraId="41E539DB" w14:textId="0B0DC8FA" w:rsidR="009B4613" w:rsidRDefault="00D1789A">
      <w:pPr>
        <w:pStyle w:val="TOC2"/>
        <w:rPr>
          <w:lang w:eastAsia="hu-HU"/>
        </w:rPr>
      </w:pPr>
      <w:hyperlink w:anchor="_Toc96187367" w:history="1">
        <w:r w:rsidR="009B4613" w:rsidRPr="0096601D">
          <w:rPr>
            <w:rStyle w:val="Hyperlink"/>
            <w:rFonts w:ascii="Times New Roman" w:hAnsi="Times New Roman" w:cs="Times New Roman"/>
          </w:rPr>
          <w:t>I.3</w:t>
        </w:r>
        <w:r w:rsidR="009B4613">
          <w:rPr>
            <w:lang w:eastAsia="hu-HU"/>
          </w:rPr>
          <w:tab/>
        </w:r>
        <w:r w:rsidR="009B4613" w:rsidRPr="0096601D">
          <w:rPr>
            <w:rStyle w:val="Hyperlink"/>
            <w:rFonts w:ascii="Times New Roman" w:hAnsi="Times New Roman"/>
          </w:rPr>
          <w:t>Számviteli standardok</w:t>
        </w:r>
        <w:r w:rsidR="009B4613">
          <w:rPr>
            <w:webHidden/>
          </w:rPr>
          <w:tab/>
        </w:r>
        <w:r w:rsidR="009B4613">
          <w:rPr>
            <w:webHidden/>
          </w:rPr>
          <w:fldChar w:fldCharType="begin"/>
        </w:r>
        <w:r w:rsidR="009B4613">
          <w:rPr>
            <w:webHidden/>
          </w:rPr>
          <w:instrText xml:space="preserve"> PAGEREF _Toc96187367 \h </w:instrText>
        </w:r>
        <w:r w:rsidR="009B4613">
          <w:rPr>
            <w:webHidden/>
          </w:rPr>
        </w:r>
        <w:r w:rsidR="009B4613">
          <w:rPr>
            <w:webHidden/>
          </w:rPr>
          <w:fldChar w:fldCharType="separate"/>
        </w:r>
        <w:r w:rsidR="009B4613">
          <w:rPr>
            <w:webHidden/>
          </w:rPr>
          <w:t>3</w:t>
        </w:r>
        <w:r w:rsidR="009B4613">
          <w:rPr>
            <w:webHidden/>
          </w:rPr>
          <w:fldChar w:fldCharType="end"/>
        </w:r>
      </w:hyperlink>
    </w:p>
    <w:p w14:paraId="11E95683" w14:textId="09789BF6" w:rsidR="009B4613" w:rsidRDefault="00D1789A">
      <w:pPr>
        <w:pStyle w:val="TOC2"/>
        <w:rPr>
          <w:lang w:eastAsia="hu-HU"/>
        </w:rPr>
      </w:pPr>
      <w:hyperlink w:anchor="_Toc96187368" w:history="1">
        <w:r w:rsidR="009B4613" w:rsidRPr="0096601D">
          <w:rPr>
            <w:rStyle w:val="Hyperlink"/>
            <w:rFonts w:ascii="Times New Roman" w:hAnsi="Times New Roman" w:cs="Times New Roman"/>
          </w:rPr>
          <w:t>I.4</w:t>
        </w:r>
        <w:r w:rsidR="009B4613">
          <w:rPr>
            <w:lang w:eastAsia="hu-HU"/>
          </w:rPr>
          <w:tab/>
        </w:r>
        <w:r w:rsidR="009B4613" w:rsidRPr="0096601D">
          <w:rPr>
            <w:rStyle w:val="Hyperlink"/>
            <w:rFonts w:ascii="Times New Roman" w:hAnsi="Times New Roman"/>
          </w:rPr>
          <w:t>A konszolidáció hatóköre</w:t>
        </w:r>
        <w:r w:rsidR="009B4613">
          <w:rPr>
            <w:webHidden/>
          </w:rPr>
          <w:tab/>
        </w:r>
        <w:r w:rsidR="009B4613">
          <w:rPr>
            <w:webHidden/>
          </w:rPr>
          <w:fldChar w:fldCharType="begin"/>
        </w:r>
        <w:r w:rsidR="009B4613">
          <w:rPr>
            <w:webHidden/>
          </w:rPr>
          <w:instrText xml:space="preserve"> PAGEREF _Toc96187368 \h </w:instrText>
        </w:r>
        <w:r w:rsidR="009B4613">
          <w:rPr>
            <w:webHidden/>
          </w:rPr>
        </w:r>
        <w:r w:rsidR="009B4613">
          <w:rPr>
            <w:webHidden/>
          </w:rPr>
          <w:fldChar w:fldCharType="separate"/>
        </w:r>
        <w:r w:rsidR="009B4613">
          <w:rPr>
            <w:webHidden/>
          </w:rPr>
          <w:t>3</w:t>
        </w:r>
        <w:r w:rsidR="009B4613">
          <w:rPr>
            <w:webHidden/>
          </w:rPr>
          <w:fldChar w:fldCharType="end"/>
        </w:r>
      </w:hyperlink>
    </w:p>
    <w:p w14:paraId="3FA88BCC" w14:textId="3BE11720" w:rsidR="009B4613" w:rsidRDefault="00D1789A">
      <w:pPr>
        <w:pStyle w:val="TOC2"/>
        <w:rPr>
          <w:lang w:eastAsia="hu-HU"/>
        </w:rPr>
      </w:pPr>
      <w:hyperlink w:anchor="_Toc96187369" w:history="1">
        <w:r w:rsidR="009B4613" w:rsidRPr="0096601D">
          <w:rPr>
            <w:rStyle w:val="Hyperlink"/>
            <w:rFonts w:ascii="Times New Roman" w:hAnsi="Times New Roman" w:cs="Times New Roman"/>
          </w:rPr>
          <w:t>I.5</w:t>
        </w:r>
        <w:r w:rsidR="009B4613">
          <w:rPr>
            <w:lang w:eastAsia="hu-HU"/>
          </w:rPr>
          <w:tab/>
        </w:r>
        <w:r w:rsidR="009B4613" w:rsidRPr="0096601D">
          <w:rPr>
            <w:rStyle w:val="Hyperlink"/>
            <w:rFonts w:ascii="Times New Roman" w:hAnsi="Times New Roman"/>
          </w:rPr>
          <w:t>Számozási és egyéb szabályok</w:t>
        </w:r>
        <w:r w:rsidR="009B4613">
          <w:rPr>
            <w:webHidden/>
          </w:rPr>
          <w:tab/>
        </w:r>
        <w:r w:rsidR="009B4613">
          <w:rPr>
            <w:webHidden/>
          </w:rPr>
          <w:fldChar w:fldCharType="begin"/>
        </w:r>
        <w:r w:rsidR="009B4613">
          <w:rPr>
            <w:webHidden/>
          </w:rPr>
          <w:instrText xml:space="preserve"> PAGEREF _Toc96187369 \h </w:instrText>
        </w:r>
        <w:r w:rsidR="009B4613">
          <w:rPr>
            <w:webHidden/>
          </w:rPr>
        </w:r>
        <w:r w:rsidR="009B4613">
          <w:rPr>
            <w:webHidden/>
          </w:rPr>
          <w:fldChar w:fldCharType="separate"/>
        </w:r>
        <w:r w:rsidR="009B4613">
          <w:rPr>
            <w:webHidden/>
          </w:rPr>
          <w:t>3</w:t>
        </w:r>
        <w:r w:rsidR="009B4613">
          <w:rPr>
            <w:webHidden/>
          </w:rPr>
          <w:fldChar w:fldCharType="end"/>
        </w:r>
      </w:hyperlink>
    </w:p>
    <w:p w14:paraId="4007F164" w14:textId="379858DD" w:rsidR="009B4613" w:rsidRDefault="00D1789A">
      <w:pPr>
        <w:pStyle w:val="TOC2"/>
        <w:rPr>
          <w:lang w:eastAsia="hu-HU"/>
        </w:rPr>
      </w:pPr>
      <w:hyperlink w:anchor="_Toc96187370" w:history="1">
        <w:r w:rsidR="009B4613" w:rsidRPr="0096601D">
          <w:rPr>
            <w:rStyle w:val="Hyperlink"/>
            <w:rFonts w:ascii="Times New Roman" w:hAnsi="Times New Roman" w:cs="Times New Roman"/>
          </w:rPr>
          <w:t>II.</w:t>
        </w:r>
        <w:r w:rsidR="009B4613">
          <w:rPr>
            <w:lang w:eastAsia="hu-HU"/>
          </w:rPr>
          <w:tab/>
        </w:r>
        <w:r w:rsidR="009B4613" w:rsidRPr="0096601D">
          <w:rPr>
            <w:rStyle w:val="Hyperlink"/>
            <w:rFonts w:ascii="Times New Roman" w:hAnsi="Times New Roman"/>
          </w:rPr>
          <w:t>A táblákhoz kapcsolódó útmutató</w:t>
        </w:r>
        <w:r w:rsidR="009B4613">
          <w:rPr>
            <w:webHidden/>
          </w:rPr>
          <w:tab/>
        </w:r>
        <w:r w:rsidR="009B4613">
          <w:rPr>
            <w:webHidden/>
          </w:rPr>
          <w:fldChar w:fldCharType="begin"/>
        </w:r>
        <w:r w:rsidR="009B4613">
          <w:rPr>
            <w:webHidden/>
          </w:rPr>
          <w:instrText xml:space="preserve"> PAGEREF _Toc96187370 \h </w:instrText>
        </w:r>
        <w:r w:rsidR="009B4613">
          <w:rPr>
            <w:webHidden/>
          </w:rPr>
        </w:r>
        <w:r w:rsidR="009B4613">
          <w:rPr>
            <w:webHidden/>
          </w:rPr>
          <w:fldChar w:fldCharType="separate"/>
        </w:r>
        <w:r w:rsidR="009B4613">
          <w:rPr>
            <w:webHidden/>
          </w:rPr>
          <w:t>4</w:t>
        </w:r>
        <w:r w:rsidR="009B4613">
          <w:rPr>
            <w:webHidden/>
          </w:rPr>
          <w:fldChar w:fldCharType="end"/>
        </w:r>
      </w:hyperlink>
    </w:p>
    <w:p w14:paraId="0BC472D5" w14:textId="2FDB480A" w:rsidR="009B4613" w:rsidRDefault="00D1789A">
      <w:pPr>
        <w:pStyle w:val="TOC2"/>
        <w:rPr>
          <w:lang w:eastAsia="hu-HU"/>
        </w:rPr>
      </w:pPr>
      <w:hyperlink w:anchor="_Toc96187371" w:history="1">
        <w:r w:rsidR="009B4613" w:rsidRPr="0096601D">
          <w:rPr>
            <w:rStyle w:val="Hyperlink"/>
            <w:rFonts w:ascii="Times New Roman" w:hAnsi="Times New Roman" w:cs="Times New Roman"/>
          </w:rPr>
          <w:t>II.1</w:t>
        </w:r>
        <w:r w:rsidR="009B4613">
          <w:rPr>
            <w:lang w:eastAsia="hu-HU"/>
          </w:rPr>
          <w:tab/>
        </w:r>
        <w:r w:rsidR="009B4613" w:rsidRPr="0096601D">
          <w:rPr>
            <w:rStyle w:val="Hyperlink"/>
            <w:rFonts w:ascii="Times New Roman" w:hAnsi="Times New Roman"/>
          </w:rPr>
          <w:t>Z 01.00 - Szervezeti felépítés (ORG)</w:t>
        </w:r>
        <w:r w:rsidR="009B4613">
          <w:rPr>
            <w:webHidden/>
          </w:rPr>
          <w:tab/>
        </w:r>
        <w:r w:rsidR="009B4613">
          <w:rPr>
            <w:webHidden/>
          </w:rPr>
          <w:fldChar w:fldCharType="begin"/>
        </w:r>
        <w:r w:rsidR="009B4613">
          <w:rPr>
            <w:webHidden/>
          </w:rPr>
          <w:instrText xml:space="preserve"> PAGEREF _Toc96187371 \h </w:instrText>
        </w:r>
        <w:r w:rsidR="009B4613">
          <w:rPr>
            <w:webHidden/>
          </w:rPr>
        </w:r>
        <w:r w:rsidR="009B4613">
          <w:rPr>
            <w:webHidden/>
          </w:rPr>
          <w:fldChar w:fldCharType="separate"/>
        </w:r>
        <w:r w:rsidR="009B4613">
          <w:rPr>
            <w:webHidden/>
          </w:rPr>
          <w:t>4</w:t>
        </w:r>
        <w:r w:rsidR="009B4613">
          <w:rPr>
            <w:webHidden/>
          </w:rPr>
          <w:fldChar w:fldCharType="end"/>
        </w:r>
      </w:hyperlink>
    </w:p>
    <w:p w14:paraId="0A75FF44" w14:textId="2AC0EA52" w:rsidR="009B4613" w:rsidRDefault="00D1789A">
      <w:pPr>
        <w:pStyle w:val="TOC2"/>
        <w:rPr>
          <w:lang w:eastAsia="hu-HU"/>
        </w:rPr>
      </w:pPr>
      <w:hyperlink w:anchor="_Toc96187372" w:history="1">
        <w:r w:rsidR="009B4613" w:rsidRPr="0096601D">
          <w:rPr>
            <w:rStyle w:val="Hyperlink"/>
            <w:rFonts w:ascii="Times New Roman" w:hAnsi="Times New Roman" w:cs="Times New Roman"/>
          </w:rPr>
          <w:t>II.2</w:t>
        </w:r>
        <w:r w:rsidR="009B4613">
          <w:rPr>
            <w:lang w:eastAsia="hu-HU"/>
          </w:rPr>
          <w:tab/>
        </w:r>
        <w:r w:rsidR="009B4613" w:rsidRPr="0096601D">
          <w:rPr>
            <w:rStyle w:val="Hyperlink"/>
            <w:rFonts w:ascii="Times New Roman" w:hAnsi="Times New Roman"/>
          </w:rPr>
          <w:t>Z 02.00 - Kötelezettségek szerkezete (LIAB)</w:t>
        </w:r>
        <w:r w:rsidR="009B4613">
          <w:rPr>
            <w:webHidden/>
          </w:rPr>
          <w:tab/>
        </w:r>
        <w:r w:rsidR="009B4613">
          <w:rPr>
            <w:webHidden/>
          </w:rPr>
          <w:fldChar w:fldCharType="begin"/>
        </w:r>
        <w:r w:rsidR="009B4613">
          <w:rPr>
            <w:webHidden/>
          </w:rPr>
          <w:instrText xml:space="preserve"> PAGEREF _Toc96187372 \h </w:instrText>
        </w:r>
        <w:r w:rsidR="009B4613">
          <w:rPr>
            <w:webHidden/>
          </w:rPr>
        </w:r>
        <w:r w:rsidR="009B4613">
          <w:rPr>
            <w:webHidden/>
          </w:rPr>
          <w:fldChar w:fldCharType="separate"/>
        </w:r>
        <w:r w:rsidR="009B4613">
          <w:rPr>
            <w:webHidden/>
          </w:rPr>
          <w:t>7</w:t>
        </w:r>
        <w:r w:rsidR="009B4613">
          <w:rPr>
            <w:webHidden/>
          </w:rPr>
          <w:fldChar w:fldCharType="end"/>
        </w:r>
      </w:hyperlink>
    </w:p>
    <w:p w14:paraId="6BCE9BC8" w14:textId="5D76361A" w:rsidR="009B4613" w:rsidRDefault="00D1789A">
      <w:pPr>
        <w:pStyle w:val="TOC2"/>
        <w:rPr>
          <w:lang w:eastAsia="hu-HU"/>
        </w:rPr>
      </w:pPr>
      <w:hyperlink w:anchor="_Toc96187373" w:history="1">
        <w:r w:rsidR="009B4613" w:rsidRPr="0096601D">
          <w:rPr>
            <w:rStyle w:val="Hyperlink"/>
            <w:rFonts w:ascii="Times New Roman" w:hAnsi="Times New Roman" w:cs="Times New Roman"/>
          </w:rPr>
          <w:t>II.3</w:t>
        </w:r>
        <w:r w:rsidR="009B4613">
          <w:rPr>
            <w:lang w:eastAsia="hu-HU"/>
          </w:rPr>
          <w:tab/>
        </w:r>
        <w:r w:rsidR="009B4613" w:rsidRPr="0096601D">
          <w:rPr>
            <w:rStyle w:val="Hyperlink"/>
            <w:rFonts w:ascii="Times New Roman" w:hAnsi="Times New Roman"/>
          </w:rPr>
          <w:t>Z 03.00 – Szavatolótőke-követelmények (OWN)</w:t>
        </w:r>
        <w:r w:rsidR="009B4613">
          <w:rPr>
            <w:webHidden/>
          </w:rPr>
          <w:tab/>
        </w:r>
        <w:r w:rsidR="009B4613">
          <w:rPr>
            <w:webHidden/>
          </w:rPr>
          <w:fldChar w:fldCharType="begin"/>
        </w:r>
        <w:r w:rsidR="009B4613">
          <w:rPr>
            <w:webHidden/>
          </w:rPr>
          <w:instrText xml:space="preserve"> PAGEREF _Toc96187373 \h </w:instrText>
        </w:r>
        <w:r w:rsidR="009B4613">
          <w:rPr>
            <w:webHidden/>
          </w:rPr>
        </w:r>
        <w:r w:rsidR="009B4613">
          <w:rPr>
            <w:webHidden/>
          </w:rPr>
          <w:fldChar w:fldCharType="separate"/>
        </w:r>
        <w:r w:rsidR="009B4613">
          <w:rPr>
            <w:webHidden/>
          </w:rPr>
          <w:t>15</w:t>
        </w:r>
        <w:r w:rsidR="009B4613">
          <w:rPr>
            <w:webHidden/>
          </w:rPr>
          <w:fldChar w:fldCharType="end"/>
        </w:r>
      </w:hyperlink>
    </w:p>
    <w:p w14:paraId="703B3DD1" w14:textId="28680B64" w:rsidR="009B4613" w:rsidRDefault="00D1789A">
      <w:pPr>
        <w:pStyle w:val="TOC2"/>
        <w:rPr>
          <w:lang w:eastAsia="hu-HU"/>
        </w:rPr>
      </w:pPr>
      <w:hyperlink w:anchor="_Toc96187374" w:history="1">
        <w:r w:rsidR="009B4613" w:rsidRPr="0096601D">
          <w:rPr>
            <w:rStyle w:val="Hyperlink"/>
            <w:rFonts w:ascii="Times New Roman" w:hAnsi="Times New Roman" w:cs="Times New Roman"/>
          </w:rPr>
          <w:t>II.4</w:t>
        </w:r>
        <w:r w:rsidR="009B4613">
          <w:rPr>
            <w:lang w:eastAsia="hu-HU"/>
          </w:rPr>
          <w:tab/>
        </w:r>
        <w:r w:rsidR="009B4613" w:rsidRPr="0096601D">
          <w:rPr>
            <w:rStyle w:val="Hyperlink"/>
            <w:rFonts w:ascii="Times New Roman" w:hAnsi="Times New Roman"/>
          </w:rPr>
          <w:t>Z 04.00 - Csoporton belüli pénzügyi kapcsolódások (IFC)</w:t>
        </w:r>
        <w:r w:rsidR="009B4613">
          <w:rPr>
            <w:webHidden/>
          </w:rPr>
          <w:tab/>
        </w:r>
        <w:r w:rsidR="009B4613">
          <w:rPr>
            <w:webHidden/>
          </w:rPr>
          <w:fldChar w:fldCharType="begin"/>
        </w:r>
        <w:r w:rsidR="009B4613">
          <w:rPr>
            <w:webHidden/>
          </w:rPr>
          <w:instrText xml:space="preserve"> PAGEREF _Toc96187374 \h </w:instrText>
        </w:r>
        <w:r w:rsidR="009B4613">
          <w:rPr>
            <w:webHidden/>
          </w:rPr>
        </w:r>
        <w:r w:rsidR="009B4613">
          <w:rPr>
            <w:webHidden/>
          </w:rPr>
          <w:fldChar w:fldCharType="separate"/>
        </w:r>
        <w:r w:rsidR="009B4613">
          <w:rPr>
            <w:webHidden/>
          </w:rPr>
          <w:t>18</w:t>
        </w:r>
        <w:r w:rsidR="009B4613">
          <w:rPr>
            <w:webHidden/>
          </w:rPr>
          <w:fldChar w:fldCharType="end"/>
        </w:r>
      </w:hyperlink>
    </w:p>
    <w:p w14:paraId="2BBF6600" w14:textId="67E289A5" w:rsidR="009B4613" w:rsidRDefault="00D1789A">
      <w:pPr>
        <w:pStyle w:val="TOC2"/>
        <w:rPr>
          <w:lang w:eastAsia="hu-HU"/>
        </w:rPr>
      </w:pPr>
      <w:hyperlink w:anchor="_Toc96187375" w:history="1">
        <w:r w:rsidR="009B4613" w:rsidRPr="0096601D">
          <w:rPr>
            <w:rStyle w:val="Hyperlink"/>
            <w:rFonts w:ascii="Times New Roman" w:hAnsi="Times New Roman" w:cs="Times New Roman"/>
          </w:rPr>
          <w:t>II.5</w:t>
        </w:r>
        <w:r w:rsidR="009B4613">
          <w:rPr>
            <w:lang w:eastAsia="hu-HU"/>
          </w:rPr>
          <w:tab/>
        </w:r>
        <w:r w:rsidR="009B4613" w:rsidRPr="0096601D">
          <w:rPr>
            <w:rStyle w:val="Hyperlink"/>
            <w:rFonts w:ascii="Times New Roman" w:hAnsi="Times New Roman"/>
          </w:rPr>
          <w:t>Z 05.01 és Z 05.02 – Fő partnerek (MCP)</w:t>
        </w:r>
        <w:r w:rsidR="009B4613">
          <w:rPr>
            <w:webHidden/>
          </w:rPr>
          <w:tab/>
        </w:r>
        <w:r w:rsidR="009B4613">
          <w:rPr>
            <w:webHidden/>
          </w:rPr>
          <w:fldChar w:fldCharType="begin"/>
        </w:r>
        <w:r w:rsidR="009B4613">
          <w:rPr>
            <w:webHidden/>
          </w:rPr>
          <w:instrText xml:space="preserve"> PAGEREF _Toc96187375 \h </w:instrText>
        </w:r>
        <w:r w:rsidR="009B4613">
          <w:rPr>
            <w:webHidden/>
          </w:rPr>
        </w:r>
        <w:r w:rsidR="009B4613">
          <w:rPr>
            <w:webHidden/>
          </w:rPr>
          <w:fldChar w:fldCharType="separate"/>
        </w:r>
        <w:r w:rsidR="009B4613">
          <w:rPr>
            <w:webHidden/>
          </w:rPr>
          <w:t>20</w:t>
        </w:r>
        <w:r w:rsidR="009B4613">
          <w:rPr>
            <w:webHidden/>
          </w:rPr>
          <w:fldChar w:fldCharType="end"/>
        </w:r>
      </w:hyperlink>
    </w:p>
    <w:p w14:paraId="68B8D734" w14:textId="42251F50" w:rsidR="009B4613" w:rsidRDefault="00D1789A">
      <w:pPr>
        <w:pStyle w:val="TOC2"/>
        <w:rPr>
          <w:lang w:eastAsia="hu-HU"/>
        </w:rPr>
      </w:pPr>
      <w:hyperlink w:anchor="_Toc96187376" w:history="1">
        <w:r w:rsidR="009B4613" w:rsidRPr="0096601D">
          <w:rPr>
            <w:rStyle w:val="Hyperlink"/>
            <w:rFonts w:ascii="Times New Roman" w:hAnsi="Times New Roman" w:cs="Times New Roman"/>
          </w:rPr>
          <w:t>II.6</w:t>
        </w:r>
        <w:r w:rsidR="009B4613">
          <w:rPr>
            <w:lang w:eastAsia="hu-HU"/>
          </w:rPr>
          <w:tab/>
        </w:r>
        <w:r w:rsidR="009B4613" w:rsidRPr="0096601D">
          <w:rPr>
            <w:rStyle w:val="Hyperlink"/>
            <w:rFonts w:ascii="Times New Roman" w:hAnsi="Times New Roman"/>
          </w:rPr>
          <w:t>Z 06.00 - Betétbiztosítás (DIS)</w:t>
        </w:r>
        <w:r w:rsidR="009B4613">
          <w:rPr>
            <w:webHidden/>
          </w:rPr>
          <w:tab/>
        </w:r>
        <w:r w:rsidR="009B4613">
          <w:rPr>
            <w:webHidden/>
          </w:rPr>
          <w:fldChar w:fldCharType="begin"/>
        </w:r>
        <w:r w:rsidR="009B4613">
          <w:rPr>
            <w:webHidden/>
          </w:rPr>
          <w:instrText xml:space="preserve"> PAGEREF _Toc96187376 \h </w:instrText>
        </w:r>
        <w:r w:rsidR="009B4613">
          <w:rPr>
            <w:webHidden/>
          </w:rPr>
        </w:r>
        <w:r w:rsidR="009B4613">
          <w:rPr>
            <w:webHidden/>
          </w:rPr>
          <w:fldChar w:fldCharType="separate"/>
        </w:r>
        <w:r w:rsidR="009B4613">
          <w:rPr>
            <w:webHidden/>
          </w:rPr>
          <w:t>23</w:t>
        </w:r>
        <w:r w:rsidR="009B4613">
          <w:rPr>
            <w:webHidden/>
          </w:rPr>
          <w:fldChar w:fldCharType="end"/>
        </w:r>
      </w:hyperlink>
    </w:p>
    <w:p w14:paraId="1624D17E" w14:textId="06099D63" w:rsidR="009B4613" w:rsidRDefault="00D1789A">
      <w:pPr>
        <w:pStyle w:val="TOC2"/>
        <w:rPr>
          <w:lang w:eastAsia="hu-HU"/>
        </w:rPr>
      </w:pPr>
      <w:hyperlink w:anchor="_Toc96187377" w:history="1">
        <w:r w:rsidR="009B4613" w:rsidRPr="0096601D">
          <w:rPr>
            <w:rStyle w:val="Hyperlink"/>
            <w:rFonts w:ascii="Times New Roman" w:hAnsi="Times New Roman" w:cs="Times New Roman"/>
          </w:rPr>
          <w:t>II.7</w:t>
        </w:r>
        <w:r w:rsidR="009B4613">
          <w:rPr>
            <w:lang w:eastAsia="hu-HU"/>
          </w:rPr>
          <w:tab/>
        </w:r>
        <w:r w:rsidR="009B4613" w:rsidRPr="0096601D">
          <w:rPr>
            <w:rStyle w:val="Hyperlink"/>
            <w:rFonts w:ascii="Times New Roman" w:hAnsi="Times New Roman"/>
          </w:rPr>
          <w:t>Kritikus funkciók és fő üzletágak</w:t>
        </w:r>
        <w:r w:rsidR="009B4613">
          <w:rPr>
            <w:webHidden/>
          </w:rPr>
          <w:tab/>
        </w:r>
        <w:r w:rsidR="009B4613">
          <w:rPr>
            <w:webHidden/>
          </w:rPr>
          <w:fldChar w:fldCharType="begin"/>
        </w:r>
        <w:r w:rsidR="009B4613">
          <w:rPr>
            <w:webHidden/>
          </w:rPr>
          <w:instrText xml:space="preserve"> PAGEREF _Toc96187377 \h </w:instrText>
        </w:r>
        <w:r w:rsidR="009B4613">
          <w:rPr>
            <w:webHidden/>
          </w:rPr>
        </w:r>
        <w:r w:rsidR="009B4613">
          <w:rPr>
            <w:webHidden/>
          </w:rPr>
          <w:fldChar w:fldCharType="separate"/>
        </w:r>
        <w:r w:rsidR="009B4613">
          <w:rPr>
            <w:webHidden/>
          </w:rPr>
          <w:t>26</w:t>
        </w:r>
        <w:r w:rsidR="009B4613">
          <w:rPr>
            <w:webHidden/>
          </w:rPr>
          <w:fldChar w:fldCharType="end"/>
        </w:r>
      </w:hyperlink>
    </w:p>
    <w:p w14:paraId="1D857BF5" w14:textId="576114F6" w:rsidR="009B4613" w:rsidRDefault="00D1789A">
      <w:pPr>
        <w:pStyle w:val="TOC2"/>
        <w:rPr>
          <w:lang w:eastAsia="hu-HU"/>
        </w:rPr>
      </w:pPr>
      <w:hyperlink w:anchor="_Toc96187378" w:history="1">
        <w:r w:rsidR="009B4613" w:rsidRPr="0096601D">
          <w:rPr>
            <w:rStyle w:val="Hyperlink"/>
            <w:rFonts w:ascii="Times New Roman" w:hAnsi="Times New Roman" w:cs="Times New Roman"/>
          </w:rPr>
          <w:t>II.8</w:t>
        </w:r>
        <w:r w:rsidR="009B4613">
          <w:rPr>
            <w:lang w:eastAsia="hu-HU"/>
          </w:rPr>
          <w:tab/>
        </w:r>
        <w:r w:rsidR="009B4613" w:rsidRPr="0096601D">
          <w:rPr>
            <w:rStyle w:val="Hyperlink"/>
            <w:rFonts w:ascii="Times New Roman" w:hAnsi="Times New Roman"/>
          </w:rPr>
          <w:t>Z 08.00 - Kritikus szolgáltatások (SERV)</w:t>
        </w:r>
        <w:r w:rsidR="009B4613">
          <w:rPr>
            <w:webHidden/>
          </w:rPr>
          <w:tab/>
        </w:r>
        <w:r w:rsidR="009B4613">
          <w:rPr>
            <w:webHidden/>
          </w:rPr>
          <w:fldChar w:fldCharType="begin"/>
        </w:r>
        <w:r w:rsidR="009B4613">
          <w:rPr>
            <w:webHidden/>
          </w:rPr>
          <w:instrText xml:space="preserve"> PAGEREF _Toc96187378 \h </w:instrText>
        </w:r>
        <w:r w:rsidR="009B4613">
          <w:rPr>
            <w:webHidden/>
          </w:rPr>
        </w:r>
        <w:r w:rsidR="009B4613">
          <w:rPr>
            <w:webHidden/>
          </w:rPr>
          <w:fldChar w:fldCharType="separate"/>
        </w:r>
        <w:r w:rsidR="009B4613">
          <w:rPr>
            <w:webHidden/>
          </w:rPr>
          <w:t>35</w:t>
        </w:r>
        <w:r w:rsidR="009B4613">
          <w:rPr>
            <w:webHidden/>
          </w:rPr>
          <w:fldChar w:fldCharType="end"/>
        </w:r>
      </w:hyperlink>
    </w:p>
    <w:p w14:paraId="24F12DCA" w14:textId="0622FA44" w:rsidR="009B4613" w:rsidRDefault="00D1789A">
      <w:pPr>
        <w:pStyle w:val="TOC2"/>
        <w:rPr>
          <w:lang w:eastAsia="hu-HU"/>
        </w:rPr>
      </w:pPr>
      <w:hyperlink w:anchor="_Toc96187379" w:history="1">
        <w:r w:rsidR="009B4613" w:rsidRPr="0096601D">
          <w:rPr>
            <w:rStyle w:val="Hyperlink"/>
            <w:rFonts w:ascii="Times New Roman" w:hAnsi="Times New Roman" w:cs="Times New Roman"/>
          </w:rPr>
          <w:t>II.9</w:t>
        </w:r>
        <w:r w:rsidR="009B4613">
          <w:rPr>
            <w:lang w:eastAsia="hu-HU"/>
          </w:rPr>
          <w:tab/>
        </w:r>
        <w:r w:rsidR="009B4613" w:rsidRPr="0096601D">
          <w:rPr>
            <w:rStyle w:val="Hyperlink"/>
            <w:rFonts w:ascii="Times New Roman" w:hAnsi="Times New Roman"/>
          </w:rPr>
          <w:t>Z 09.00 – Pénzügyi piaci infrastrukturális szolgáltatások – Szolgáltatók és felhasználók – Kritikus funkciókhoz való hozzárendelés</w:t>
        </w:r>
        <w:r w:rsidR="009B4613">
          <w:rPr>
            <w:webHidden/>
          </w:rPr>
          <w:tab/>
        </w:r>
        <w:r w:rsidR="009B4613">
          <w:rPr>
            <w:webHidden/>
          </w:rPr>
          <w:fldChar w:fldCharType="begin"/>
        </w:r>
        <w:r w:rsidR="009B4613">
          <w:rPr>
            <w:webHidden/>
          </w:rPr>
          <w:instrText xml:space="preserve"> PAGEREF _Toc96187379 \h </w:instrText>
        </w:r>
        <w:r w:rsidR="009B4613">
          <w:rPr>
            <w:webHidden/>
          </w:rPr>
        </w:r>
        <w:r w:rsidR="009B4613">
          <w:rPr>
            <w:webHidden/>
          </w:rPr>
          <w:fldChar w:fldCharType="separate"/>
        </w:r>
        <w:r w:rsidR="009B4613">
          <w:rPr>
            <w:webHidden/>
          </w:rPr>
          <w:t>39</w:t>
        </w:r>
        <w:r w:rsidR="009B4613">
          <w:rPr>
            <w:webHidden/>
          </w:rPr>
          <w:fldChar w:fldCharType="end"/>
        </w:r>
      </w:hyperlink>
    </w:p>
    <w:p w14:paraId="5376524F" w14:textId="14EC985C" w:rsidR="009B4613" w:rsidRDefault="00D1789A">
      <w:pPr>
        <w:pStyle w:val="TOC2"/>
        <w:rPr>
          <w:lang w:eastAsia="hu-HU"/>
        </w:rPr>
      </w:pPr>
      <w:hyperlink w:anchor="_Toc96187380" w:history="1">
        <w:r w:rsidR="009B4613" w:rsidRPr="0096601D">
          <w:rPr>
            <w:rStyle w:val="Hyperlink"/>
            <w:rFonts w:ascii="Times New Roman" w:hAnsi="Times New Roman" w:cs="Times New Roman"/>
          </w:rPr>
          <w:t>II.10</w:t>
        </w:r>
        <w:r w:rsidR="009B4613">
          <w:rPr>
            <w:lang w:eastAsia="hu-HU"/>
          </w:rPr>
          <w:tab/>
        </w:r>
        <w:r w:rsidR="009B4613" w:rsidRPr="0096601D">
          <w:rPr>
            <w:rStyle w:val="Hyperlink"/>
            <w:rFonts w:ascii="Times New Roman" w:hAnsi="Times New Roman"/>
          </w:rPr>
          <w:t>Kritikus információs rendszerek</w:t>
        </w:r>
        <w:r w:rsidR="009B4613">
          <w:rPr>
            <w:webHidden/>
          </w:rPr>
          <w:tab/>
        </w:r>
        <w:r w:rsidR="009B4613">
          <w:rPr>
            <w:webHidden/>
          </w:rPr>
          <w:fldChar w:fldCharType="begin"/>
        </w:r>
        <w:r w:rsidR="009B4613">
          <w:rPr>
            <w:webHidden/>
          </w:rPr>
          <w:instrText xml:space="preserve"> PAGEREF _Toc96187380 \h </w:instrText>
        </w:r>
        <w:r w:rsidR="009B4613">
          <w:rPr>
            <w:webHidden/>
          </w:rPr>
        </w:r>
        <w:r w:rsidR="009B4613">
          <w:rPr>
            <w:webHidden/>
          </w:rPr>
          <w:fldChar w:fldCharType="separate"/>
        </w:r>
        <w:r w:rsidR="009B4613">
          <w:rPr>
            <w:webHidden/>
          </w:rPr>
          <w:t>42</w:t>
        </w:r>
        <w:r w:rsidR="009B4613">
          <w:rPr>
            <w:webHidden/>
          </w:rPr>
          <w:fldChar w:fldCharType="end"/>
        </w:r>
      </w:hyperlink>
    </w:p>
    <w:p w14:paraId="04631A3A" w14:textId="6BAA042A" w:rsidR="00385C06" w:rsidRPr="00D92B3C" w:rsidRDefault="001D258F" w:rsidP="00385C0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96187364"/>
      <w:r>
        <w:rPr>
          <w:rFonts w:ascii="Times New Roman" w:hAnsi="Times New Roman"/>
          <w:szCs w:val="20"/>
        </w:rPr>
        <w:lastRenderedPageBreak/>
        <w:t>Általános útmutató</w:t>
      </w:r>
      <w:bookmarkEnd w:id="1"/>
      <w:bookmarkEnd w:id="2"/>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3" w:name="_Toc96187365"/>
      <w:r>
        <w:rPr>
          <w:rFonts w:ascii="Times New Roman" w:hAnsi="Times New Roman"/>
          <w:szCs w:val="20"/>
        </w:rPr>
        <w:t>Szerkezet</w:t>
      </w:r>
      <w:bookmarkEnd w:id="3"/>
    </w:p>
    <w:p w14:paraId="4B1CB2EA" w14:textId="77777777" w:rsidR="002B2A61" w:rsidRPr="00D92B3C" w:rsidRDefault="002B2A61" w:rsidP="00496909">
      <w:pPr>
        <w:pStyle w:val="InstructionsText2"/>
        <w:rPr>
          <w:rFonts w:cs="Times New Roman"/>
        </w:rPr>
      </w:pPr>
      <w:r>
        <w:t xml:space="preserve">A keret 15 </w:t>
      </w:r>
      <w:r w:rsidRPr="0013301A">
        <w:t>táblából</w:t>
      </w:r>
      <w:r>
        <w:t xml:space="preserve"> áll, amelyek 3 blokkot alkotnak:</w:t>
      </w:r>
    </w:p>
    <w:p w14:paraId="27088A49" w14:textId="769E64FF" w:rsidR="002B2A61" w:rsidRPr="00D92B3C" w:rsidRDefault="00170788" w:rsidP="008F43E2">
      <w:pPr>
        <w:pStyle w:val="body"/>
        <w:numPr>
          <w:ilvl w:val="0"/>
          <w:numId w:val="15"/>
        </w:numPr>
        <w:rPr>
          <w:rFonts w:ascii="Times New Roman" w:hAnsi="Times New Roman" w:cs="Times New Roman"/>
          <w:color w:val="000000" w:themeColor="text1"/>
          <w:sz w:val="20"/>
          <w:szCs w:val="20"/>
        </w:rPr>
      </w:pPr>
      <w:r>
        <w:rPr>
          <w:rFonts w:ascii="Times New Roman" w:hAnsi="Times New Roman"/>
          <w:color w:val="000000" w:themeColor="text1"/>
          <w:sz w:val="20"/>
          <w:szCs w:val="20"/>
        </w:rPr>
        <w:t>Az „Általános információk” blokk áttekintést nyújt egy csoport és annak szervezetei szervezeti felépítéséről, az eszközök megoszlásáról és a kockázati kitettségértékek összegéről. Ezt a blokkot a „Z 01.00 – Szervezeti felépítés (ORG)” tábla alkotja.</w:t>
      </w:r>
    </w:p>
    <w:p w14:paraId="0DADCCBE" w14:textId="77777777" w:rsidR="00170788" w:rsidRPr="00D92B3C" w:rsidRDefault="00170788" w:rsidP="008F43E2">
      <w:pPr>
        <w:pStyle w:val="body"/>
        <w:numPr>
          <w:ilvl w:val="0"/>
          <w:numId w:val="15"/>
        </w:numPr>
        <w:rPr>
          <w:rFonts w:ascii="Times New Roman" w:hAnsi="Times New Roman" w:cs="Times New Roman"/>
          <w:color w:val="000000" w:themeColor="text1"/>
          <w:sz w:val="20"/>
          <w:szCs w:val="20"/>
        </w:rPr>
      </w:pPr>
      <w:r>
        <w:rPr>
          <w:rFonts w:ascii="Times New Roman" w:hAnsi="Times New Roman"/>
          <w:color w:val="000000" w:themeColor="text1"/>
          <w:sz w:val="20"/>
          <w:szCs w:val="20"/>
        </w:rPr>
        <w:t>„A mérlegen belüli és a mérlegen kívüli tételekre vonatkozó információ” blokk a kötelezettségek, a szavatolótőke, a csoporthoz tartozó vállalkozások közötti pénzügyi kapcsolatok, a fő partnerekkel szembeni kötelezettségek és a fő partnerektől kapott mérlegen kívüli tételek, valamint a betétbiztosítás tekintetében nyújt pénzügyi információkat. Ez a blokk 6 táblából áll:</w:t>
      </w:r>
    </w:p>
    <w:p w14:paraId="5F944DAB" w14:textId="77777777" w:rsidR="00D44790" w:rsidRPr="00D92B3C" w:rsidRDefault="00A040CC" w:rsidP="008F43E2">
      <w:pPr>
        <w:pStyle w:val="body"/>
        <w:numPr>
          <w:ilvl w:val="0"/>
          <w:numId w:val="35"/>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02.00 – Kötelezettségek szerkezete (LIAB)”;</w:t>
      </w:r>
    </w:p>
    <w:p w14:paraId="57747F3F" w14:textId="77777777" w:rsidR="00D44790" w:rsidRPr="00D92B3C" w:rsidRDefault="00A040CC" w:rsidP="008F43E2">
      <w:pPr>
        <w:pStyle w:val="body"/>
        <w:numPr>
          <w:ilvl w:val="0"/>
          <w:numId w:val="35"/>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03.00 – Szavatolótőke-követelmények (OWN)”;</w:t>
      </w:r>
    </w:p>
    <w:p w14:paraId="2B4283D5" w14:textId="77777777" w:rsidR="00D44790" w:rsidRPr="00D92B3C" w:rsidRDefault="00A040CC" w:rsidP="008F43E2">
      <w:pPr>
        <w:pStyle w:val="body"/>
        <w:numPr>
          <w:ilvl w:val="0"/>
          <w:numId w:val="35"/>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04.00 – Csoporton belüli pénzügyi kapcsolódások (IFC)”;</w:t>
      </w:r>
    </w:p>
    <w:p w14:paraId="31C84418" w14:textId="77777777" w:rsidR="001F072D" w:rsidRPr="00D92B3C" w:rsidRDefault="00C87003" w:rsidP="008F43E2">
      <w:pPr>
        <w:pStyle w:val="body"/>
        <w:numPr>
          <w:ilvl w:val="0"/>
          <w:numId w:val="35"/>
        </w:numPr>
        <w:rPr>
          <w:rFonts w:ascii="Times New Roman" w:hAnsi="Times New Roman" w:cs="Times New Roman"/>
          <w:color w:val="000000" w:themeColor="text1"/>
          <w:sz w:val="20"/>
          <w:szCs w:val="20"/>
        </w:rPr>
      </w:pPr>
      <w:r>
        <w:rPr>
          <w:rFonts w:ascii="Times New Roman" w:hAnsi="Times New Roman"/>
          <w:color w:val="000000" w:themeColor="text1"/>
          <w:sz w:val="20"/>
          <w:szCs w:val="20"/>
        </w:rPr>
        <w:t>A főbb partnerekkel kapcsolatos két tábla: „Z 05.01 – Fő partnerek (kötelezettségek alapján) (Z-MCP 1)” és „Z 05.02 – Fő partnerek (mérlegen kívüli tételek alapján) (Z-MCP 2)”.</w:t>
      </w:r>
    </w:p>
    <w:p w14:paraId="6AE90BA8" w14:textId="77777777" w:rsidR="00A040CC" w:rsidRPr="00274771" w:rsidRDefault="00A040CC" w:rsidP="008F43E2">
      <w:pPr>
        <w:pStyle w:val="body"/>
        <w:numPr>
          <w:ilvl w:val="0"/>
          <w:numId w:val="35"/>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06.00 – Betétbiztosítás (Z-DIS)”.</w:t>
      </w:r>
    </w:p>
    <w:p w14:paraId="09711C0D" w14:textId="77777777" w:rsidR="00BB5812" w:rsidRPr="00D92B3C" w:rsidRDefault="00BB5812" w:rsidP="008F43E2">
      <w:pPr>
        <w:pStyle w:val="body"/>
        <w:numPr>
          <w:ilvl w:val="0"/>
          <w:numId w:val="15"/>
        </w:numPr>
        <w:rPr>
          <w:rFonts w:ascii="Times New Roman" w:hAnsi="Times New Roman" w:cs="Times New Roman"/>
          <w:color w:val="000000" w:themeColor="text1"/>
          <w:sz w:val="20"/>
          <w:szCs w:val="20"/>
        </w:rPr>
      </w:pPr>
      <w:r>
        <w:rPr>
          <w:rFonts w:ascii="Times New Roman" w:hAnsi="Times New Roman"/>
          <w:color w:val="000000" w:themeColor="text1"/>
          <w:sz w:val="20"/>
          <w:szCs w:val="20"/>
        </w:rPr>
        <w:t>A „Kritikus funkciók” blokk áttekintést nyújt a kritikus funkciókról és azok szervezetek, fő üzletágak, kritikus szolgáltatások, pénzügyi piaci infrastruktúrák és információs rendszerek szerinti elrendeződéséről. Ez a blokk 7 táblából áll:</w:t>
      </w:r>
    </w:p>
    <w:p w14:paraId="534DE77A" w14:textId="68AC897F" w:rsidR="002B2A61" w:rsidRPr="00D92B3C" w:rsidRDefault="001E6258" w:rsidP="008F43E2">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4 tábla a kritikus funkciók azonosítására és azok fő üzletágakhoz és a csoporthoz tartozó szervezetekhez való hozzárendelésére vonatkozik: „Z 07.01 – A gazdasági funkciók kritikusságának értékelése (Z-FUNC 1)”, „Z 07.02 – A kritikus funkciók szervezetekhez való hozzárendelése (Z-FUNC 2)”, „Z 07.03 – A fő üzletágak szervezetekhez való hozzárendelése (Z-FUNC 3)” és „Z 07.04 – A kritikus funkciók fő üzletágakhoz való hozzárendelése (Z-FUNC 4)”;</w:t>
      </w:r>
    </w:p>
    <w:p w14:paraId="6EB61B78" w14:textId="77777777" w:rsidR="001E6258" w:rsidRPr="00D92B3C" w:rsidRDefault="00B24A26" w:rsidP="008F43E2">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08.00 – Kritikus szolgáltatások (Z-SERV)”;</w:t>
      </w:r>
    </w:p>
    <w:p w14:paraId="5B48B6DD" w14:textId="7AF372BF" w:rsidR="00B24A26" w:rsidRPr="00D92B3C" w:rsidRDefault="00B24A26" w:rsidP="008F43E2">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09.00 – Pénzügyi piaci infrastrukturális szolgáltatások – Szolgáltatók és felhasználók – Hozzárendelés a kritikus funkciókhoz (Z-FMI)”;</w:t>
      </w:r>
    </w:p>
    <w:p w14:paraId="0F9C2843" w14:textId="77777777" w:rsidR="00D91F52" w:rsidRPr="00D92B3C" w:rsidRDefault="00D62530" w:rsidP="008F43E2">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2 tábla a kritikus információs rendszerekről: „Z 10.01 – Kritikus információs rendszerek (általános információk) (Z-CIS 1)” és „Z 10.02 – Információs rendszerek hozzárendelése (Z-CIS 2)”.</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4" w:name="_Toc96187366"/>
      <w:r>
        <w:rPr>
          <w:rFonts w:ascii="Times New Roman" w:hAnsi="Times New Roman"/>
          <w:szCs w:val="20"/>
        </w:rPr>
        <w:t>Hivatkozások</w:t>
      </w:r>
      <w:bookmarkEnd w:id="4"/>
    </w:p>
    <w:p w14:paraId="3427A58A" w14:textId="77777777" w:rsidR="00C93D9F" w:rsidRPr="00D92B3C" w:rsidRDefault="00C93D9F" w:rsidP="00496909">
      <w:pPr>
        <w:pStyle w:val="InstructionsText2"/>
        <w:rPr>
          <w:rFonts w:cs="Times New Roman"/>
        </w:rPr>
      </w:pPr>
      <w:r>
        <w:t>E melléklet alkalmazásában:</w:t>
      </w:r>
    </w:p>
    <w:p w14:paraId="70067B5E" w14:textId="77777777" w:rsidR="00CF3051" w:rsidRPr="00D92B3C" w:rsidRDefault="00CF3051" w:rsidP="008F43E2">
      <w:pPr>
        <w:pStyle w:val="ListParagraph"/>
        <w:numPr>
          <w:ilvl w:val="0"/>
          <w:numId w:val="14"/>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„BCBS”: a Nemzetközi Fizetések Bankjának Bázeli Bankfelügyeleti Bizottsága;</w:t>
      </w:r>
    </w:p>
    <w:p w14:paraId="43B7B5FE" w14:textId="77777777" w:rsidR="00B466DD" w:rsidRPr="00D92B3C" w:rsidRDefault="00B466DD" w:rsidP="008F43E2">
      <w:pPr>
        <w:pStyle w:val="ListParagraph"/>
        <w:numPr>
          <w:ilvl w:val="0"/>
          <w:numId w:val="14"/>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„CPMI”: a Nemzetközi Fizetések Bankjának Fizetési és Piaci Infrastruktúra Bizottsága;</w:t>
      </w:r>
    </w:p>
    <w:p w14:paraId="79CD9A07" w14:textId="193D1B32" w:rsidR="00E52C33" w:rsidRPr="00D92B3C" w:rsidRDefault="00E52C33" w:rsidP="008F43E2">
      <w:pPr>
        <w:pStyle w:val="ListParagraph"/>
        <w:numPr>
          <w:ilvl w:val="0"/>
          <w:numId w:val="14"/>
        </w:numPr>
        <w:ind w:left="1074"/>
        <w:jc w:val="both"/>
        <w:rPr>
          <w:rFonts w:ascii="Times New Roman" w:hAnsi="Times New Roman"/>
          <w:color w:val="000000" w:themeColor="text1"/>
          <w:sz w:val="20"/>
          <w:szCs w:val="20"/>
        </w:rPr>
      </w:pPr>
      <w:r>
        <w:rPr>
          <w:rFonts w:ascii="Times New Roman" w:hAnsi="Times New Roman"/>
          <w:sz w:val="20"/>
          <w:szCs w:val="20"/>
        </w:rPr>
        <w:lastRenderedPageBreak/>
        <w:t>„FINREP”: az (EU) 2021/451 bizottsági végrehajtási rendelet III. és IV. mellékletében szereplő pénzügyi információs táblák</w:t>
      </w:r>
      <w:r>
        <w:rPr>
          <w:rStyle w:val="FootnoteReference"/>
          <w:rFonts w:ascii="Times New Roman" w:hAnsi="Times New Roman"/>
          <w:sz w:val="20"/>
          <w:szCs w:val="20"/>
        </w:rPr>
        <w:footnoteReference w:id="1"/>
      </w:r>
      <w:r>
        <w:rPr>
          <w:rFonts w:ascii="Times New Roman" w:hAnsi="Times New Roman"/>
          <w:sz w:val="20"/>
          <w:szCs w:val="20"/>
        </w:rPr>
        <w:t>, valamint az említett végrehajtási rendelet V. mellékletében szereplő kiegészítő útmutató;</w:t>
      </w:r>
    </w:p>
    <w:p w14:paraId="5F9AE6B1" w14:textId="5848FD44" w:rsidR="00D920E5" w:rsidRPr="007C4DBB" w:rsidRDefault="00D920E5" w:rsidP="008F43E2">
      <w:pPr>
        <w:pStyle w:val="ListParagraph"/>
        <w:numPr>
          <w:ilvl w:val="0"/>
          <w:numId w:val="14"/>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(OF)”: az (EU) 2021/451 bizottsági végrehajtási rendelet I. és II. melléklete (táblák és útmutató);</w:t>
      </w:r>
    </w:p>
    <w:p w14:paraId="549100B9" w14:textId="03290B13" w:rsidR="00D920E5" w:rsidRPr="007C4DBB" w:rsidRDefault="00D920E5" w:rsidP="008F43E2">
      <w:pPr>
        <w:pStyle w:val="ListParagraph"/>
        <w:numPr>
          <w:ilvl w:val="0"/>
          <w:numId w:val="14"/>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(LR)”: az (EU) 2021/451 bizottsági végrehajtási rendelet X. és XI. melléklete (táblák és útmutató);</w:t>
      </w:r>
    </w:p>
    <w:p w14:paraId="59D58CAD" w14:textId="77777777" w:rsidR="00B466DD" w:rsidRPr="00D92B3C" w:rsidRDefault="00B466DD" w:rsidP="008F43E2">
      <w:pPr>
        <w:pStyle w:val="ListParagraph"/>
        <w:numPr>
          <w:ilvl w:val="0"/>
          <w:numId w:val="14"/>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„FSB”: Pénzügyi Stabilitási Tanács;</w:t>
      </w:r>
    </w:p>
    <w:p w14:paraId="7082B005" w14:textId="0BB108C6" w:rsidR="00E52C33" w:rsidRPr="00BB34DC" w:rsidRDefault="00E52C33" w:rsidP="008F43E2">
      <w:pPr>
        <w:pStyle w:val="ListParagraph"/>
        <w:numPr>
          <w:ilvl w:val="0"/>
          <w:numId w:val="14"/>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„IAS”: az 1606/2002/EK európai parlamenti és tanácsi rendelet 2. cikkében említett nemzetközi számviteli standardok</w:t>
      </w:r>
      <w:r>
        <w:rPr>
          <w:vertAlign w:val="superscript"/>
        </w:rPr>
        <w:footnoteReference w:id="2"/>
      </w:r>
      <w:r>
        <w:rPr>
          <w:rFonts w:ascii="Times New Roman" w:hAnsi="Times New Roman"/>
          <w:color w:val="000000" w:themeColor="text1"/>
          <w:sz w:val="20"/>
          <w:szCs w:val="20"/>
        </w:rPr>
        <w:t>;</w:t>
      </w:r>
    </w:p>
    <w:p w14:paraId="60A7B496" w14:textId="31AA8A4E" w:rsidR="0036168C" w:rsidRPr="00D92B3C" w:rsidRDefault="0036168C" w:rsidP="008F43E2">
      <w:pPr>
        <w:pStyle w:val="ListParagraph"/>
        <w:numPr>
          <w:ilvl w:val="0"/>
          <w:numId w:val="14"/>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„IFRS”: az 1606/2002/EK rendelet 2. cikkében említett nemzetközi pénzügyi beszámolási standardok;</w:t>
      </w:r>
    </w:p>
    <w:p w14:paraId="1CC7D99A" w14:textId="1506046E" w:rsidR="007D568C" w:rsidRPr="00D92B3C" w:rsidRDefault="007D568C" w:rsidP="008F43E2">
      <w:pPr>
        <w:pStyle w:val="ListParagraph"/>
        <w:numPr>
          <w:ilvl w:val="0"/>
          <w:numId w:val="14"/>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„LEI-kód”: jogalany-azonosító kód</w:t>
      </w:r>
      <w:r>
        <w:rPr>
          <w:rStyle w:val="FootnoteReference"/>
          <w:color w:val="000000" w:themeColor="text1"/>
          <w:lang w:eastAsia="en-GB"/>
        </w:rPr>
        <w:footnoteReference w:id="3"/>
      </w:r>
      <w:r>
        <w:rPr>
          <w:color w:val="000000" w:themeColor="text1"/>
        </w:rPr>
        <w:t>.</w:t>
      </w:r>
      <w:r>
        <w:rPr>
          <w:rFonts w:ascii="Times New Roman" w:hAnsi="Times New Roman"/>
          <w:color w:val="000000" w:themeColor="text1"/>
          <w:sz w:val="20"/>
          <w:szCs w:val="20"/>
        </w:rPr>
        <w:t xml:space="preserve"> Ha egy adott partner rendelkezik LEI-kóddal, akkor ezt a kódot kell feltüntetni a partner azonosítására.</w:t>
      </w:r>
    </w:p>
    <w:p w14:paraId="39F3AD21" w14:textId="604C9F88" w:rsidR="00B466DD" w:rsidRPr="00D92B3C" w:rsidRDefault="00B466DD" w:rsidP="008F43E2">
      <w:pPr>
        <w:pStyle w:val="ListParagraph"/>
        <w:numPr>
          <w:ilvl w:val="0"/>
          <w:numId w:val="14"/>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 vagy „általánosan elfogadott nemzeti számviteli elvek”: a 86/635/EGK tanácsi irányelv alapján kidolgozott nemzeti számviteli szabályozás</w:t>
      </w:r>
      <w:r>
        <w:rPr>
          <w:rStyle w:val="FootnoteReference"/>
          <w:color w:val="000000" w:themeColor="text1"/>
          <w:lang w:eastAsia="en-GB"/>
        </w:rPr>
        <w:footnoteReference w:id="4"/>
      </w:r>
      <w:r>
        <w:rPr>
          <w:rFonts w:ascii="Times New Roman" w:hAnsi="Times New Roman"/>
          <w:color w:val="000000" w:themeColor="text1"/>
          <w:sz w:val="20"/>
          <w:szCs w:val="20"/>
        </w:rPr>
        <w:t>;</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97155C" w:rsidRDefault="002B2A61" w:rsidP="0097155C">
      <w:pPr>
        <w:pStyle w:val="Numberedtitlelevel2"/>
        <w:rPr>
          <w:rFonts w:ascii="Times New Roman" w:hAnsi="Times New Roman" w:cs="Times New Roman"/>
          <w:color w:val="auto"/>
          <w:sz w:val="20"/>
          <w:u w:val="single"/>
        </w:rPr>
      </w:pPr>
      <w:bookmarkStart w:id="5" w:name="_Toc96187367"/>
      <w:r w:rsidRPr="0097155C">
        <w:rPr>
          <w:rFonts w:ascii="Times New Roman" w:hAnsi="Times New Roman" w:cs="Times New Roman"/>
          <w:color w:val="auto"/>
          <w:sz w:val="20"/>
          <w:u w:val="single"/>
        </w:rPr>
        <w:t>Számviteli standardok</w:t>
      </w:r>
      <w:bookmarkEnd w:id="5"/>
    </w:p>
    <w:p w14:paraId="26A186EE" w14:textId="6735A3AF" w:rsidR="002B2A61" w:rsidRPr="00D52306" w:rsidRDefault="00A75967" w:rsidP="00496909">
      <w:pPr>
        <w:pStyle w:val="InstructionsText2"/>
        <w:rPr>
          <w:rFonts w:cs="Times New Roman"/>
        </w:rPr>
      </w:pPr>
      <w:r>
        <w:t xml:space="preserve">Amennyiben e melléklet másképp nem rendelkezik, az intézményeknek az (EU) 2021/451 végrehajtási rendelet 9–11. cikkével összhangban a pénzügyi információk jelentéséhez használt számviteli szabályozás szerinti összegekről kell adatot szolgáltatniuk. Azoknak az intézményeknek, amelyek nem kötelesek az említett rendeletnek megfelelően jelenteni a pénzügyi információkat, a rájuk vonatkozó számviteli szabályokat kell alkalmazniuk. </w:t>
      </w:r>
    </w:p>
    <w:p w14:paraId="1DC21228" w14:textId="77777777" w:rsidR="002B2A61" w:rsidRPr="00D92B3C" w:rsidRDefault="002B2A61" w:rsidP="00496909">
      <w:pPr>
        <w:pStyle w:val="InstructionsText2"/>
        <w:rPr>
          <w:rFonts w:cs="Times New Roman"/>
        </w:rPr>
      </w:pPr>
      <w:r>
        <w:t>Az IFRS szerint jelentést tevő intézmények számára feltüntettük a vonatkozó IFRS-hivatkozásokat.</w:t>
      </w:r>
    </w:p>
    <w:p w14:paraId="393F5D20" w14:textId="77777777"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6" w:name="_Toc96187368"/>
      <w:r>
        <w:rPr>
          <w:rFonts w:ascii="Times New Roman" w:hAnsi="Times New Roman"/>
          <w:szCs w:val="20"/>
        </w:rPr>
        <w:t>A konszolidáció hatóköre</w:t>
      </w:r>
      <w:bookmarkEnd w:id="6"/>
    </w:p>
    <w:p w14:paraId="4EE4713C" w14:textId="77777777" w:rsidR="00CF3051" w:rsidRPr="00044142" w:rsidRDefault="00883A6B" w:rsidP="00496909">
      <w:pPr>
        <w:pStyle w:val="InstructionsText2"/>
        <w:rPr>
          <w:rFonts w:cs="Times New Roman"/>
        </w:rPr>
      </w:pPr>
      <w:r>
        <w:t>Ez a keret az adott táblától függően a következőkre vonatkozik:</w:t>
      </w:r>
    </w:p>
    <w:p w14:paraId="2CD8F81E" w14:textId="39DCCEE0" w:rsidR="00CF3051" w:rsidRPr="00BF16D7" w:rsidRDefault="00883A6B" w:rsidP="008F43E2">
      <w:pPr>
        <w:pStyle w:val="ListParagraph"/>
        <w:numPr>
          <w:ilvl w:val="0"/>
          <w:numId w:val="37"/>
        </w:numPr>
        <w:tabs>
          <w:tab w:val="left" w:pos="1134"/>
        </w:tabs>
        <w:ind w:left="1134" w:hanging="567"/>
        <w:jc w:val="both"/>
        <w:rPr>
          <w:rFonts w:ascii="Times New Roman" w:hAnsi="Times New Roman"/>
          <w:sz w:val="20"/>
          <w:szCs w:val="20"/>
        </w:rPr>
      </w:pPr>
      <w:r>
        <w:rPr>
          <w:rFonts w:ascii="Times New Roman" w:hAnsi="Times New Roman"/>
          <w:sz w:val="20"/>
          <w:szCs w:val="20"/>
        </w:rPr>
        <w:t>konszolidálás a számviteli konszolidáció alapján (az alkalmazandó számviteli szabályozás szerinti konszolidált pénzügyi kimutatásokban szereplő gazdálkodó egységek);</w:t>
      </w:r>
    </w:p>
    <w:p w14:paraId="1AB37144" w14:textId="73A412C3" w:rsidR="00CF3051" w:rsidRPr="00BF16D7" w:rsidRDefault="00883A6B" w:rsidP="008F43E2">
      <w:pPr>
        <w:pStyle w:val="ListParagraph"/>
        <w:numPr>
          <w:ilvl w:val="0"/>
          <w:numId w:val="37"/>
        </w:numPr>
        <w:tabs>
          <w:tab w:val="left" w:pos="1134"/>
        </w:tabs>
        <w:ind w:left="1134" w:hanging="567"/>
        <w:jc w:val="both"/>
        <w:rPr>
          <w:rFonts w:ascii="Times New Roman" w:hAnsi="Times New Roman"/>
          <w:sz w:val="20"/>
          <w:szCs w:val="20"/>
        </w:rPr>
      </w:pPr>
      <w:r>
        <w:rPr>
          <w:rFonts w:ascii="Times New Roman" w:hAnsi="Times New Roman"/>
          <w:sz w:val="20"/>
          <w:szCs w:val="20"/>
        </w:rPr>
        <w:t>prudenciális konszolidáció (az 575/2013/EU európai parlamenti és tanácsi rendelet</w:t>
      </w:r>
      <w:r>
        <w:rPr>
          <w:rStyle w:val="FootnoteReference"/>
          <w:rFonts w:ascii="Times New Roman" w:hAnsi="Times New Roman"/>
          <w:sz w:val="20"/>
          <w:szCs w:val="20"/>
        </w:rPr>
        <w:footnoteReference w:id="5"/>
      </w:r>
      <w:r>
        <w:rPr>
          <w:rFonts w:ascii="Times New Roman" w:hAnsi="Times New Roman"/>
          <w:sz w:val="20"/>
          <w:szCs w:val="20"/>
        </w:rPr>
        <w:t xml:space="preserve"> első része II. címének 2. fejezete szerinti konszolidáció hatókörébe tartozó szervezetek) az EU-szintű anyavállalat szintjén; </w:t>
      </w:r>
    </w:p>
    <w:p w14:paraId="710CF36D" w14:textId="77777777" w:rsidR="00CF3051" w:rsidRPr="00BF16D7" w:rsidRDefault="00883A6B" w:rsidP="008F43E2">
      <w:pPr>
        <w:pStyle w:val="ListParagraph"/>
        <w:numPr>
          <w:ilvl w:val="0"/>
          <w:numId w:val="37"/>
        </w:numPr>
        <w:tabs>
          <w:tab w:val="left" w:pos="1134"/>
        </w:tabs>
        <w:spacing w:after="240"/>
        <w:ind w:left="1134" w:hanging="567"/>
        <w:jc w:val="both"/>
        <w:rPr>
          <w:rFonts w:ascii="Times New Roman" w:hAnsi="Times New Roman"/>
          <w:sz w:val="20"/>
          <w:szCs w:val="20"/>
        </w:rPr>
      </w:pPr>
      <w:r>
        <w:rPr>
          <w:rFonts w:ascii="Times New Roman" w:hAnsi="Times New Roman"/>
          <w:sz w:val="20"/>
          <w:szCs w:val="20"/>
        </w:rPr>
        <w:t>konszolidálás a szanálandó csoport szanálandó szervezetének szintjén.</w:t>
      </w:r>
    </w:p>
    <w:p w14:paraId="18E37F81" w14:textId="77777777" w:rsidR="00883A6B" w:rsidRPr="00D92B3C" w:rsidRDefault="009E43E8" w:rsidP="00496909">
      <w:pPr>
        <w:pStyle w:val="InstructionsText2"/>
        <w:rPr>
          <w:rFonts w:cs="Times New Roman"/>
        </w:rPr>
      </w:pPr>
      <w:r>
        <w:t>Az intézmények minden tábla esetében az e rendelet 4. cikke alapján alkalmazandó konszolidációs alapot vagy alapokat követik.</w:t>
      </w:r>
    </w:p>
    <w:p w14:paraId="6A9F48B5" w14:textId="77777777"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7" w:name="_Toc96187369"/>
      <w:r>
        <w:rPr>
          <w:rFonts w:ascii="Times New Roman" w:hAnsi="Times New Roman"/>
          <w:szCs w:val="20"/>
        </w:rPr>
        <w:t>Számozási és egyéb szabályok</w:t>
      </w:r>
      <w:bookmarkEnd w:id="7"/>
    </w:p>
    <w:p w14:paraId="7BB54794" w14:textId="3FE073C2" w:rsidR="00863EFA" w:rsidRDefault="00863EFA" w:rsidP="00496909">
      <w:pPr>
        <w:pStyle w:val="InstructionsText2"/>
        <w:rPr>
          <w:rFonts w:cs="Times New Roman"/>
        </w:rPr>
      </w:pPr>
      <w:r>
        <w:t>Az e mellékletben foglalt útmutató a táblák oszlopaira, soraira és celláira való hivatkozáskor az alábbiakban meghatározott, numerikus kódokat alkalmazó jelölési szabályokat követi. Ezeket a numerikus kódokat kimerítően használják a validálási szabályok.</w:t>
      </w:r>
    </w:p>
    <w:p w14:paraId="2E0A7801" w14:textId="1DD061D9" w:rsidR="006A530F" w:rsidRPr="00D92B3C" w:rsidRDefault="009B4613" w:rsidP="00496909">
      <w:pPr>
        <w:pStyle w:val="InstructionsText2"/>
        <w:numPr>
          <w:ilvl w:val="0"/>
          <w:numId w:val="0"/>
        </w:numPr>
        <w:ind w:left="714"/>
        <w:rPr>
          <w:rFonts w:cs="Times New Roman"/>
        </w:rPr>
      </w:pPr>
      <w:r>
        <w:lastRenderedPageBreak/>
        <w:t>A</w:t>
      </w:r>
      <w:r w:rsidR="006A530F">
        <w:t>z útmutató a következő általános jelölési formát követi:</w:t>
      </w:r>
    </w:p>
    <w:p w14:paraId="7487F452" w14:textId="3FAAE1E3" w:rsidR="00863EFA" w:rsidRPr="00D92B3C" w:rsidRDefault="009B4613" w:rsidP="008F43E2">
      <w:pPr>
        <w:pStyle w:val="body"/>
        <w:numPr>
          <w:ilvl w:val="0"/>
          <w:numId w:val="36"/>
        </w:numPr>
        <w:rPr>
          <w:rFonts w:ascii="Times New Roman" w:hAnsi="Times New Roman" w:cs="Times New Roman"/>
          <w:sz w:val="20"/>
          <w:szCs w:val="20"/>
        </w:rPr>
      </w:pPr>
      <w:r>
        <w:rPr>
          <w:rFonts w:ascii="Times New Roman" w:hAnsi="Times New Roman"/>
          <w:sz w:val="20"/>
          <w:szCs w:val="20"/>
        </w:rPr>
        <w:t>A táblák oszlopaira, soraira és celláira való hivatkozáskor: {Tábla;Sor;Oszlop}</w:t>
      </w:r>
    </w:p>
    <w:p w14:paraId="1EB4DBDC" w14:textId="5D9670D6" w:rsidR="00863EFA" w:rsidRPr="00D92B3C" w:rsidRDefault="006A530F" w:rsidP="008F43E2">
      <w:pPr>
        <w:pStyle w:val="body"/>
        <w:numPr>
          <w:ilvl w:val="0"/>
          <w:numId w:val="36"/>
        </w:numPr>
        <w:rPr>
          <w:rFonts w:ascii="Times New Roman" w:hAnsi="Times New Roman" w:cs="Times New Roman"/>
          <w:sz w:val="20"/>
          <w:szCs w:val="20"/>
        </w:rPr>
      </w:pPr>
      <w:r>
        <w:rPr>
          <w:rFonts w:ascii="Times New Roman" w:hAnsi="Times New Roman"/>
          <w:sz w:val="20"/>
          <w:szCs w:val="20"/>
        </w:rPr>
        <w:t>Olyan táblán belüli validálás esetén, amely csak az adott táblán belüli adatpontokat használ, a jelölés nem hivatkozik a táblára: {Sor;Oszlop}.</w:t>
      </w:r>
    </w:p>
    <w:p w14:paraId="1B635A52" w14:textId="1DEE362D" w:rsidR="00863EFA" w:rsidRPr="00D92B3C" w:rsidRDefault="006A530F" w:rsidP="008F43E2">
      <w:pPr>
        <w:pStyle w:val="body"/>
        <w:numPr>
          <w:ilvl w:val="0"/>
          <w:numId w:val="36"/>
        </w:numPr>
        <w:rPr>
          <w:rFonts w:ascii="Times New Roman" w:hAnsi="Times New Roman" w:cs="Times New Roman"/>
          <w:sz w:val="20"/>
          <w:szCs w:val="20"/>
        </w:rPr>
      </w:pPr>
      <w:r>
        <w:rPr>
          <w:rFonts w:ascii="Times New Roman" w:hAnsi="Times New Roman"/>
          <w:sz w:val="20"/>
          <w:szCs w:val="20"/>
        </w:rPr>
        <w:t>az olyan táblák esetében, amelyek csak egy oszlopot tartalmaznak, a jelölés csak a sorokra hivatkozik: {Tábla;Sor}.</w:t>
      </w:r>
    </w:p>
    <w:p w14:paraId="4D8CB5A2" w14:textId="56A11E5C" w:rsidR="00863EFA" w:rsidRPr="00D92B3C" w:rsidRDefault="006A530F" w:rsidP="008F43E2">
      <w:pPr>
        <w:pStyle w:val="body"/>
        <w:numPr>
          <w:ilvl w:val="0"/>
          <w:numId w:val="36"/>
        </w:numPr>
        <w:rPr>
          <w:rFonts w:ascii="Times New Roman" w:hAnsi="Times New Roman" w:cs="Times New Roman"/>
          <w:sz w:val="20"/>
          <w:szCs w:val="20"/>
        </w:rPr>
      </w:pPr>
      <w:r>
        <w:rPr>
          <w:rFonts w:ascii="Times New Roman" w:hAnsi="Times New Roman"/>
          <w:sz w:val="20"/>
          <w:szCs w:val="20"/>
        </w:rPr>
        <w:t>Csillag jelöli, hogy a validálás a korábban meghatározott sorra vagy oszlopra megtörtént.</w:t>
      </w:r>
    </w:p>
    <w:p w14:paraId="2A20EA62" w14:textId="77777777" w:rsidR="00E857A0" w:rsidRPr="00D92B3C" w:rsidRDefault="00B343C7" w:rsidP="00496909">
      <w:pPr>
        <w:pStyle w:val="InstructionsText2"/>
        <w:rPr>
          <w:rFonts w:cs="Times New Roman"/>
        </w:rPr>
      </w:pPr>
      <w:r>
        <w:t>Amennyiben egy adatelem nem alkalmazandó azokra a szervezetekre, amelyekkel kapcsolatban az adatszolgáltatást benyújtották, a megfelelő mezőt üresen kell hagyni.</w:t>
      </w:r>
    </w:p>
    <w:p w14:paraId="4BCC85F8" w14:textId="0BABE322" w:rsidR="00E108B3" w:rsidRPr="00D92B3C" w:rsidRDefault="00E108B3" w:rsidP="00496909">
      <w:pPr>
        <w:pStyle w:val="InstructionsText2"/>
        <w:rPr>
          <w:rFonts w:cs="Times New Roman"/>
        </w:rPr>
      </w:pPr>
      <w:r>
        <w:t>Ha az e mellékletben foglalt útmutató elsődleges kulcsra utal, ez egy olyan oszlopot vagy oszlopok olyan kombinációját jelenti, amely egyedileg azonosítja a tábla összes sorát. Az elsődleges kulcsnak egyedi értéket kell tartalmaznia a tábla minden sorára vonatkozóan. Nem tartalmazhat nulla értéket.</w:t>
      </w:r>
    </w:p>
    <w:p w14:paraId="003C692B" w14:textId="77777777"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6187370"/>
      <w:r>
        <w:rPr>
          <w:rFonts w:ascii="Times New Roman" w:hAnsi="Times New Roman"/>
          <w:szCs w:val="20"/>
        </w:rPr>
        <w:t>A táblákhoz kapcsolódó útmutató</w:t>
      </w:r>
      <w:bookmarkEnd w:id="8"/>
      <w:bookmarkEnd w:id="9"/>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96187371"/>
      <w:bookmarkEnd w:id="10"/>
      <w:r>
        <w:rPr>
          <w:rFonts w:ascii="Times New Roman" w:hAnsi="Times New Roman"/>
          <w:szCs w:val="20"/>
        </w:rPr>
        <w:t>Z 01.00 - Szervezeti felépítés (ORG)</w:t>
      </w:r>
      <w:bookmarkEnd w:id="11"/>
    </w:p>
    <w:p w14:paraId="677C5E01" w14:textId="77777777" w:rsidR="00E13CE3" w:rsidRPr="00D92B3C" w:rsidRDefault="00E13CE3" w:rsidP="00EC261B">
      <w:pPr>
        <w:pStyle w:val="Instructionsberschrift3"/>
      </w:pPr>
      <w:r>
        <w:t>Általános megjegyzések</w:t>
      </w:r>
    </w:p>
    <w:p w14:paraId="292F4167" w14:textId="30C8A210" w:rsidR="00273F69" w:rsidRPr="00D92B3C" w:rsidRDefault="00E13CE3" w:rsidP="00496909">
      <w:pPr>
        <w:pStyle w:val="InstructionsText2"/>
        <w:rPr>
          <w:rFonts w:cs="Times New Roman"/>
        </w:rPr>
      </w:pPr>
      <w:r>
        <w:t>Ez a tábla a csoport jogi és tulajdonosi szerkezetéről nyújt áttekintést. Az e rendelet 4. cikke (2) bekezdésének a) pontjában meghatározott minimális küszöbértéket teljesítő valamennyi csoporthoz tartozó szervezet vonatkozásában egyetlen táblát kell benyújtani. Ebben a táblában c</w:t>
      </w:r>
      <w:r w:rsidR="0097155C">
        <w:t>sak szervezetek szerepelhetnek.</w:t>
      </w:r>
    </w:p>
    <w:p w14:paraId="14ECDB9F" w14:textId="77777777" w:rsidR="00E13CE3" w:rsidRPr="00D92B3C" w:rsidRDefault="00AF189E" w:rsidP="00EC261B">
      <w:pPr>
        <w:pStyle w:val="Instructionsberschrift3"/>
      </w:pPr>
      <w:r>
        <w:t>A tábla egyes részeire vonatkozó útmutató</w:t>
      </w:r>
    </w:p>
    <w:p w14:paraId="5DB21603" w14:textId="77777777" w:rsidR="00E13CE3" w:rsidRPr="009B4613"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882"/>
        <w:gridCol w:w="8144"/>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Oszlopok</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Útmutató</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z w:val="20"/>
                <w:szCs w:val="20"/>
              </w:rPr>
              <w:t>0010-0160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Szervezet</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Név</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A szervezet neve. A társasági jogi aktusokban szereplő hivatalos név, beleértve a jogi forma megjelölését is.</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Kód</w:t>
            </w:r>
          </w:p>
          <w:p w14:paraId="53ADABE8" w14:textId="566DF2C2"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 szervezet kódja. Intézmények esetében a kód a 20 jegyű, alfanumerikus LEI-kód. Más szervezetek esetében a kód a 20 jegyű, alfanumerikus LEI-kód, vagy ha nem áll rendelkezésre, az Unióban alkalmazandó egységes kódrendszer szerinti kód, vagy ha ez sem áll rendelkezésre, valamely nemzeti kód.</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 kódnak egyedinek kell lennie, és azt valamennyi táblán következetesen kell használni. A kódra vonatkozó mezőnek mindig kell tartalmaznia valamilyen értéket.</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LEI-kód</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A szervezet 20 jegyű alfanumerikus LEI-kódja, amennyiben rendelkezésre áll.</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A szervezet típusa</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t>A szervezet típusa – fontossági sorrendben – a következők egyike lehet:</w:t>
            </w:r>
          </w:p>
          <w:p w14:paraId="1496561F" w14:textId="77777777" w:rsidR="004E4AD0" w:rsidRPr="00D92B3C" w:rsidRDefault="00FC6D1E" w:rsidP="008F43E2">
            <w:pPr>
              <w:pStyle w:val="TableParagraph"/>
              <w:numPr>
                <w:ilvl w:val="0"/>
                <w:numId w:val="21"/>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„Hitelintézet”</w:t>
            </w:r>
          </w:p>
          <w:p w14:paraId="6672A858" w14:textId="1B6F2C86"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Idetartozik az 575/2013/EU rendelet 4. cikke (1) bekezdésének 1. pontjában meghatározott hitelintézet, kivéve a 2013/36/EU európai parlamenti és tanácsi irányelv</w:t>
            </w:r>
            <w:r>
              <w:rPr>
                <w:rStyle w:val="FootnoteReference"/>
                <w:rFonts w:cs="Times New Roman"/>
                <w:color w:val="000000" w:themeColor="text1"/>
                <w:lang w:val="en-GB"/>
              </w:rPr>
              <w:footnoteReference w:id="6"/>
            </w:r>
            <w:r>
              <w:rPr>
                <w:rFonts w:ascii="Times New Roman" w:hAnsi="Times New Roman"/>
                <w:color w:val="000000" w:themeColor="text1"/>
                <w:sz w:val="20"/>
                <w:szCs w:val="20"/>
              </w:rPr>
              <w:t xml:space="preserve"> 2. cikkének (5) bekezdésében meghatározott szervezeteket; </w:t>
            </w:r>
          </w:p>
          <w:p w14:paraId="57B12F71" w14:textId="77777777" w:rsidR="00761ED3" w:rsidRPr="00D92B3C" w:rsidRDefault="00FC6D1E" w:rsidP="008F43E2">
            <w:pPr>
              <w:pStyle w:val="TableParagraph"/>
              <w:numPr>
                <w:ilvl w:val="0"/>
                <w:numId w:val="21"/>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 2013/36/EU irányelv 28. cikkének (2) bekezdésében meghatározott indulótőke-követelmény hatálya alá tartozó befektetési vállalkozás”</w:t>
            </w:r>
          </w:p>
          <w:p w14:paraId="4375E0C3" w14:textId="5CC6DBD8"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Idetartozik az 575/2013/EU rendelet 4. cikke (1) bekezdésének 2. pontjában meghatározott, a 2013/36/EU irányelv 28. cikkének (2) bekezdésében megállapított indulótőke-követelmény hatálya alá tartozó befektetési vállalkozás;</w:t>
            </w:r>
          </w:p>
          <w:p w14:paraId="1C3C6319" w14:textId="77777777" w:rsidR="009B13D7" w:rsidRPr="00D92B3C" w:rsidRDefault="000B669C" w:rsidP="008F43E2">
            <w:pPr>
              <w:pStyle w:val="TableParagraph"/>
              <w:numPr>
                <w:ilvl w:val="0"/>
                <w:numId w:val="21"/>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 2013/36/EU irányelv 28. cikkének (2) bekezdésében meghatározott indulótőke-követelmény hatálya alá nem tartozó befektetési vállalkozás”</w:t>
            </w:r>
          </w:p>
          <w:p w14:paraId="53B269C8" w14:textId="77777777" w:rsidR="00761ED3" w:rsidRPr="00D92B3C" w:rsidRDefault="00FC6D1E" w:rsidP="008F43E2">
            <w:pPr>
              <w:pStyle w:val="TableParagraph"/>
              <w:numPr>
                <w:ilvl w:val="0"/>
                <w:numId w:val="21"/>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„Pénzügyi vállalkozás”</w:t>
            </w:r>
          </w:p>
          <w:p w14:paraId="7E91043B" w14:textId="4244E4F6"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Idetartozik az 575/2013/EU rendelet 4. cikke (1) bekezdésének 26. pontjában meghatározott pénzügyi vállalkozás, kivéve az e) pontban meghatározott „holdingtársaságnak” minősülő pénzügyi vállalkozás.</w:t>
            </w:r>
          </w:p>
          <w:p w14:paraId="1C5C3ED3" w14:textId="77777777" w:rsidR="00761ED3" w:rsidRPr="00D92B3C" w:rsidRDefault="00FC6D1E" w:rsidP="008F43E2">
            <w:pPr>
              <w:pStyle w:val="TableParagraph"/>
              <w:numPr>
                <w:ilvl w:val="0"/>
                <w:numId w:val="21"/>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„Holdingtársaság”</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Ebbe a kategóriába tartoznak a következők:</w:t>
            </w:r>
          </w:p>
          <w:p w14:paraId="32B78B8D" w14:textId="4B03704C" w:rsidR="00EE1625" w:rsidRPr="00D92B3C" w:rsidRDefault="00EE1625" w:rsidP="008F43E2">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az 575/2013/EU rendelet 4. cikke (1) bekezdésének 20. pontjában meghatározott pénzügyi holdingtársaság;</w:t>
            </w:r>
          </w:p>
          <w:p w14:paraId="46717B1C" w14:textId="5DF7ED99" w:rsidR="00EE1625" w:rsidRPr="00D92B3C" w:rsidRDefault="00EE1625" w:rsidP="008F43E2">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az 575/2013/EU rendelet 4. cikke (1) bekezdésének 21. pontjában meghatározott vegyes pénzügyi holdingtársaság;</w:t>
            </w:r>
          </w:p>
          <w:p w14:paraId="0A8CC7AD" w14:textId="6C25B6F2" w:rsidR="00EE1625" w:rsidRPr="00D92B3C" w:rsidRDefault="00EE1625" w:rsidP="008F43E2">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az 575/2013/EU rendelet 4. cikke (1) bekezdésének 22. pontjában meghatározott vegyes tevékenységű holdingtársaság;</w:t>
            </w:r>
          </w:p>
          <w:p w14:paraId="55D4FDE8" w14:textId="7DE85740" w:rsidR="00EE1625" w:rsidRPr="00D92B3C" w:rsidRDefault="002472D0" w:rsidP="008F43E2">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az 575/2013/EU rendelet 4. cikke (1) bekezdésének 30. pontjában meghatározott tagállami pénzügyi holdingtársaság anyavállalat;</w:t>
            </w:r>
          </w:p>
          <w:p w14:paraId="671D80C0" w14:textId="55681D79" w:rsidR="00EE1625" w:rsidRPr="00D92B3C" w:rsidRDefault="0098645C" w:rsidP="008F43E2">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az 575/2013/EU rendelet 4. cikke (1) bekezdésének 31. pontjában meghatározott EU-szintű pénzügyi holdingtársaság anyavállalat;</w:t>
            </w:r>
          </w:p>
          <w:p w14:paraId="71E12CEC" w14:textId="163F821A" w:rsidR="00EE1625" w:rsidRPr="00D92B3C" w:rsidRDefault="00EE1625" w:rsidP="008F43E2">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az 575/2013/EU rendelet 4. cikke (1) bekezdésének 32. pontjában meghatározott tagállami vegyes pénzügyi holdingtársaság anyavállalat;</w:t>
            </w:r>
          </w:p>
          <w:p w14:paraId="66855E81" w14:textId="410B88FB" w:rsidR="002472D0" w:rsidRPr="00D92B3C" w:rsidRDefault="0098645C" w:rsidP="008F43E2">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az 575/2013/EU rendelet 4. cikke (1) bekezdésének 33. pontjában meghatározott EU-szintű vegyes pénzügyi holdingtársaság anyavállalat;</w:t>
            </w:r>
          </w:p>
          <w:p w14:paraId="258775F9" w14:textId="77777777" w:rsidR="0039173B" w:rsidRPr="00D92B3C" w:rsidRDefault="00FC6D1E" w:rsidP="008F43E2">
            <w:pPr>
              <w:pStyle w:val="TableParagraph"/>
              <w:numPr>
                <w:ilvl w:val="0"/>
                <w:numId w:val="21"/>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„Biztosító”</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Idetartozik a 2009/138/EK európai parlamenti és tanácsi irányelv</w:t>
            </w:r>
            <w:r>
              <w:rPr>
                <w:rStyle w:val="FootnoteReference"/>
                <w:rFonts w:ascii="Times New Roman" w:hAnsi="Times New Roman" w:cs="Times New Roman"/>
                <w:color w:val="000000" w:themeColor="text1"/>
                <w:sz w:val="20"/>
                <w:szCs w:val="20"/>
                <w:lang w:val="en-GB"/>
              </w:rPr>
              <w:footnoteReference w:id="7"/>
            </w:r>
            <w:r>
              <w:rPr>
                <w:rFonts w:ascii="Times New Roman" w:hAnsi="Times New Roman"/>
                <w:color w:val="000000" w:themeColor="text1"/>
                <w:sz w:val="20"/>
                <w:szCs w:val="20"/>
              </w:rPr>
              <w:t xml:space="preserve"> 13. cikkében meghatározott biztosító</w:t>
            </w:r>
            <w:r>
              <w:rPr>
                <w:rFonts w:ascii="Times New Roman" w:hAnsi="Times New Roman"/>
                <w:sz w:val="20"/>
                <w:szCs w:val="20"/>
              </w:rPr>
              <w:t>;</w:t>
            </w:r>
          </w:p>
          <w:p w14:paraId="2F0A99A8" w14:textId="77777777" w:rsidR="00EE1625" w:rsidRPr="00D92B3C" w:rsidRDefault="00E737DB" w:rsidP="008F43E2">
            <w:pPr>
              <w:pStyle w:val="TableParagraph"/>
              <w:numPr>
                <w:ilvl w:val="0"/>
                <w:numId w:val="21"/>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„Egyéb szervezettípus”, amennyiben a gazdálkodó egység nem tartozik a fent említett kategóriák egyikébe sem.</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Ország</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 szervezet bejegyzése szerinti ország – egy tagállam vagy egy harmadik ország – ISO 3166–1-alpha-2 kódja.</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Prudenciális konszolidációba bevont</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 következő rövidítéseket kell megadni:</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 – igen;</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lastRenderedPageBreak/>
              <w:t>N – nem.</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 CRR 7. cikke szerinti mentesség</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 következő rövidítéseket kell megadni:</w:t>
            </w:r>
          </w:p>
          <w:p w14:paraId="49B17DE5" w14:textId="228B9DAE"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 – ha az illetékes hatóság az 575/2013/EU rendelet 7. cikkének megfelelően lemondott az 575/2013/EU rendelet 6. cikke (1) bekezdésének alkalmazásáról;</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egyébként.</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 CRR 10. cikke szerinti mentesség</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 következő rövidítéseket kell megadni:</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 – ha az illetékes hatóság alkalmazza az 575/2013/EU rendelet 10. cikke szerinti mentességet.</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egyébként.</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Eszközök összesen</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Eszközök összesen, a FINREP {F 01.01; 380,010} szerint.</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Teljes kockázati kitettségérték</w:t>
            </w:r>
          </w:p>
          <w:p w14:paraId="42957D55" w14:textId="0D6F2653"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 COREP (OF) {C 02.00;0010;0010} szerinti teljes kockázati kitettségérték.</w:t>
            </w:r>
          </w:p>
          <w:p w14:paraId="7BF6070F" w14:textId="77777777"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Ezt a tételt nem kell jelenteni azon szervezetek esetében, amelyek nem tartoznak az 575/2013/EU rendelet 7. cikke vagy 10. cikke szerinti mentességben részesülő intézmények és szervezetek közé.</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A tőkeáttételi mutató számításához használt kitettségérték </w:t>
            </w:r>
          </w:p>
          <w:p w14:paraId="6A9F8E13" w14:textId="2222124D"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 COREP (LR) {C 47.00;0290;0010} szerinti, tőkeáttételi mutató számításához használt teljes kitettségérték.</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Ezt a tételt nem kell jelenteni azon szervezetek esetében, amelyek nem tartoznak az 575/2013/EU rendelet 7. cikke vagy 10. cikke szerinti mentességben részesülő intézmények és szervezetek közé.</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Számviteli standard</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 szervezet által alkalmazott számviteli standard. A következő rövidítéseket kell megadni:</w:t>
            </w:r>
          </w:p>
          <w:p w14:paraId="152FC7DB" w14:textId="77777777" w:rsidR="009A061B" w:rsidRPr="00D92B3C" w:rsidRDefault="009A061B" w:rsidP="008F43E2">
            <w:pPr>
              <w:pStyle w:val="TableParagraph"/>
              <w:numPr>
                <w:ilvl w:val="0"/>
                <w:numId w:val="22"/>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IFRS</w:t>
            </w:r>
          </w:p>
          <w:p w14:paraId="6512DBCC" w14:textId="77777777" w:rsidR="009A061B" w:rsidRPr="00D92B3C" w:rsidRDefault="009A061B" w:rsidP="008F43E2">
            <w:pPr>
              <w:pStyle w:val="TableParagraph"/>
              <w:numPr>
                <w:ilvl w:val="0"/>
                <w:numId w:val="22"/>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nGAAP</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Hozzájárulás a teljes konszolidált eszközállományhoz</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Azon összeg, amellyel a szervezet hozzájárul az adatszolgáltatás tárgyát képező csoport teljes konszolidált eszközállományához.</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Hozzájárulás a teljes konszolidált kockázati kitettségértékhez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Azon összeg, amellyel a szervezet hozzájárul az adatszolgáltatás tárgyát képező csoport teljes konszolidált kockázati kitettségértékéhez.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Hozzájárulás a konszolidált tőkeáttételi mutató számításához használt kitettségértékhez</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Azon összeg, amellyel a szervezet hozzájárul az adatszolgáltatás tárgyát képező csoport konszolidált tőkeáttételi mutatójának kitettségértékéhez.</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Releváns szervezet</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Annak megjelölése, hogy a szervezet az e rendelet 2. cikkében szereplő fogalommeghatározás értelmében releváns szervezetnek minősül-e.</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z w:val="20"/>
                <w:szCs w:val="20"/>
              </w:rPr>
              <w:t>0170–0210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Közvetlen anyavállalat</w:t>
            </w:r>
          </w:p>
          <w:p w14:paraId="344CE676" w14:textId="5138D618"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szervezet közvetlen anyavállalata. Csak azt a közvetlen anyavállalatot kell feltüntetni, amely a </w:t>
            </w:r>
            <w:r>
              <w:rPr>
                <w:rFonts w:ascii="Times New Roman" w:hAnsi="Times New Roman"/>
                <w:color w:val="000000" w:themeColor="text1"/>
                <w:sz w:val="20"/>
                <w:szCs w:val="20"/>
              </w:rPr>
              <w:lastRenderedPageBreak/>
              <w:t>szervezet szavazati jogainak több mint 5 %-át birtokolja.</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Ha a szervezetnek egynél több közvetlen anyavállalata van, akkor csak a legmagasabb tőkerészesedéssel – vagy adott esetben szavazati részesedéssel – rendelkező közvetlen anyavállalatot kell feltüntetni.</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Név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A szervezet közvetlen anyavállalatának neve.</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Kód</w:t>
            </w:r>
          </w:p>
          <w:p w14:paraId="64B20F51" w14:textId="308C623D"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 közvetlen anyavállalat kódja. Intézmények esetében a kód a 20 jegyű, alfanumerikus LEI-kód. Más szervezetek esetében a kód a 20 jegyű, alfanumerikus LEI-kód, vagy ha nem áll rendelkezésre, az Unióban alkalmazandó egységes kódrendszer szerinti kód, vagy ha ez sem áll rendelkezésre, valamely nemzeti kód.</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A kódnak egyedinek kell lennie, és azt valamennyi táblán következetesen kell használni. A kódra vonatkozó mezőnek mindig kell tartalmaznia valamilyen értéket.</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szCs w:val="20"/>
              </w:rPr>
              <w:t>LEI-kód</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A szervezet 20 jegyű alfanumerikus LEI-kódja, amennyiben rendelkezésre áll.</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Tőkerészesedés</w:t>
            </w:r>
          </w:p>
          <w:p w14:paraId="263D6149" w14:textId="68A7BE3E"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A közvetlen anyavállalat által a szervezetben birtokolt tőkerészesedés összege a tartalékok kivételével.</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A szervezetben birtokolt szavazati jogok</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A közvetlen anyavállalat által a szervezetben birtokolt szavazati jogok százalékos aránya.</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Ezt az információt csak akkor kell megadni, ha egy részvény nem egyenlő egy szavazattal (azaz a szavazati részesedés nem azonos a tőkerészesedéssel).</w:t>
            </w:r>
          </w:p>
        </w:tc>
      </w:tr>
    </w:tbl>
    <w:p w14:paraId="7D57015D" w14:textId="77777777" w:rsidR="00E13CE3" w:rsidRPr="009B4613" w:rsidRDefault="00E13CE3" w:rsidP="00E13CE3">
      <w:pPr>
        <w:rPr>
          <w:rFonts w:ascii="Times New Roman" w:hAnsi="Times New Roman" w:cs="Times New Roman"/>
          <w:color w:val="000000" w:themeColor="text1"/>
          <w:sz w:val="20"/>
          <w:szCs w:val="20"/>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96187372"/>
      <w:r>
        <w:rPr>
          <w:rFonts w:ascii="Times New Roman" w:hAnsi="Times New Roman"/>
          <w:szCs w:val="20"/>
        </w:rPr>
        <w:t>Z 02.00 - Kötelezettségek szerkezete (LIAB)</w:t>
      </w:r>
      <w:bookmarkEnd w:id="12"/>
      <w:bookmarkEnd w:id="13"/>
    </w:p>
    <w:p w14:paraId="5599ADA4" w14:textId="77777777" w:rsidR="005B4526" w:rsidRPr="00496909" w:rsidRDefault="005B4526" w:rsidP="00496909">
      <w:pPr>
        <w:pStyle w:val="Numberedtitlelevel3"/>
        <w:rPr>
          <w:rFonts w:ascii="Times New Roman" w:hAnsi="Times New Roman" w:cs="Times New Roman"/>
          <w:b w:val="0"/>
          <w:color w:val="auto"/>
          <w:sz w:val="20"/>
          <w:u w:val="single"/>
        </w:rPr>
      </w:pPr>
      <w:r w:rsidRPr="00496909">
        <w:rPr>
          <w:rFonts w:ascii="Times New Roman" w:hAnsi="Times New Roman" w:cs="Times New Roman"/>
          <w:b w:val="0"/>
          <w:color w:val="auto"/>
          <w:sz w:val="20"/>
          <w:u w:val="single"/>
        </w:rPr>
        <w:t>Általános megjegyzések</w:t>
      </w:r>
    </w:p>
    <w:p w14:paraId="03A756FB" w14:textId="77777777" w:rsidR="00E13CE3" w:rsidRPr="00D92B3C" w:rsidRDefault="00E13CE3" w:rsidP="00496909">
      <w:pPr>
        <w:pStyle w:val="InstructionsText2"/>
        <w:rPr>
          <w:rFonts w:cs="Times New Roman"/>
        </w:rPr>
      </w:pPr>
      <w:r>
        <w:t>Ebben a táblában a szervezet vagy csoport forrásszerkezetére vonatkozó részletes információkat kell feltüntetni. A kötelezettségek a hitelezői feltőkésítésből kizárt kötelezettségek és a hitelezői feltőkésítésből ki nem zárt kötelezettségek szerinti bontásban szerepelnek. A további részletezés kötelezettségosztályok, partnertípusok és lejárat szerint történik.</w:t>
      </w:r>
    </w:p>
    <w:p w14:paraId="1ECE4660" w14:textId="77777777" w:rsidR="008E116E" w:rsidRPr="00DB77B6" w:rsidRDefault="00BD69D5" w:rsidP="00496909">
      <w:pPr>
        <w:pStyle w:val="InstructionsText2"/>
        <w:rPr>
          <w:rFonts w:cs="Times New Roman"/>
        </w:rPr>
      </w:pPr>
      <w:r>
        <w:t>Amennyiben a tábla lejárat szerinti bontást tartalmaz, a hátralévő futamidő a szerződés lejáratáig hátralévő idő Ettől eltérve:</w:t>
      </w:r>
    </w:p>
    <w:p w14:paraId="4C384CA4" w14:textId="44AA56A3" w:rsidR="008E116E" w:rsidRPr="00DB77B6" w:rsidRDefault="008E116E" w:rsidP="00496909">
      <w:pPr>
        <w:pStyle w:val="InstructionsText2"/>
        <w:numPr>
          <w:ilvl w:val="1"/>
          <w:numId w:val="25"/>
        </w:numPr>
        <w:rPr>
          <w:rFonts w:cs="Times New Roman"/>
        </w:rPr>
      </w:pPr>
      <w:r>
        <w:t>amennyiben a kötelezettséginstrumentum az instrumentum eredeti megjelölt lejárata előtt az instrumentum tulajdonosa által lehívható visszaváltási opciót tartalmaz, az instrumentum lejárata az a lehető legkorábbi időpont, amikor a tulajdonos lehívhatja a visszaváltási opciót, és kérheti az instrumentum visszaváltását vagy visszafizetését;</w:t>
      </w:r>
    </w:p>
    <w:p w14:paraId="30A43287" w14:textId="46EE378F" w:rsidR="0025207C" w:rsidRDefault="008E116E" w:rsidP="00496909">
      <w:pPr>
        <w:pStyle w:val="InstructionsText2"/>
        <w:numPr>
          <w:ilvl w:val="1"/>
          <w:numId w:val="25"/>
        </w:numPr>
        <w:rPr>
          <w:rFonts w:cs="Times New Roman"/>
        </w:rPr>
      </w:pPr>
      <w:r>
        <w:t>amennyiben a kötelezettséginstrumentum arra vonatkozó ösztönzőt tartalmaz, hogy a kibocsátó az instrumentum eredeti megjelölt lejárata előtt lehívja, visszaváltsa, visszafizesse vagy visszavásárolja az instrumentumot, az instrumentum lejárata az a lehető legkorábbi időpont, amikor a kibocsátó lehívhatja az opciót és kérheti az instrumentum visszaváltását vagy visszafizetését;</w:t>
      </w:r>
    </w:p>
    <w:p w14:paraId="78D1E8F8" w14:textId="6FDC2A54" w:rsidR="008E116E" w:rsidRPr="00DB77B6" w:rsidRDefault="000666AA" w:rsidP="00496909">
      <w:pPr>
        <w:pStyle w:val="InstructionsText2"/>
        <w:numPr>
          <w:ilvl w:val="1"/>
          <w:numId w:val="25"/>
        </w:numPr>
        <w:rPr>
          <w:rFonts w:cs="Times New Roman"/>
        </w:rPr>
      </w:pPr>
      <w:r>
        <w:t>amennyiben az instrumentum nem meghatározott lehívási időpontban lehívható opciót biztosít a kibocsátó számára, vagy ha az opció meghatározott események bekövetkezése esetén válik lehívhatóvá, az óvatos becslés alapján valószínű lehívási időpontot kell feltüntetni; e célból nem kell figyelembe venni a szabályozásból eredő vagy adózáshoz kapcsolódó lehívási opciókat.</w:t>
      </w:r>
    </w:p>
    <w:p w14:paraId="45C08BF6" w14:textId="712D03E7" w:rsidR="00E13CE3" w:rsidRPr="008E116E" w:rsidRDefault="008E116E" w:rsidP="00496909">
      <w:pPr>
        <w:pStyle w:val="InstructionsText2"/>
        <w:numPr>
          <w:ilvl w:val="0"/>
          <w:numId w:val="0"/>
        </w:numPr>
        <w:ind w:left="720"/>
      </w:pPr>
      <w:r>
        <w:lastRenderedPageBreak/>
        <w:t>Időközi tőketörlesztés esetén a tőkeösszeget fel kell osztani és a megfelelő lejárati sávokba kell besorolni. Megfelelő esetben a lejárati időt a tőkeösszeg és a felhalmozott kamat tekintetében külön kell figyelembe venni.</w:t>
      </w:r>
    </w:p>
    <w:p w14:paraId="06C63FBA" w14:textId="4FC92425" w:rsidR="00E13CE3" w:rsidRPr="00D92B3C" w:rsidRDefault="00674016" w:rsidP="00496909">
      <w:pPr>
        <w:pStyle w:val="InstructionsText2"/>
        <w:rPr>
          <w:rFonts w:cs="Times New Roman"/>
        </w:rPr>
      </w:pPr>
      <w:r>
        <w:t xml:space="preserve">Az ebben a táblában feltüntetett összegek kintlévő összegek. A követelés vagy instrumentum kintlévő összege a követelés vagy instrumentum tőkeösszegének és felhalmozott kamatának összege. A kintlévőség esedékes összege megegyezik azon követelés értékével, amelyet a hitelező fizetésképtelenségi eljárás keretében követelhet. </w:t>
      </w:r>
    </w:p>
    <w:p w14:paraId="7E87707F" w14:textId="6B727E8E" w:rsidR="00E13CE3" w:rsidRPr="00D92B3C" w:rsidRDefault="00674016" w:rsidP="00496909">
      <w:pPr>
        <w:pStyle w:val="InstructionsText2"/>
        <w:rPr>
          <w:rFonts w:cs="Times New Roman"/>
        </w:rPr>
      </w:pPr>
      <w:r>
        <w:t xml:space="preserve">Ugyanakkor a (0330. sorban jelentett) származtatott ügyletekből eredő, mérleg szerinti kötelezettségeket könyv szerinti értéken kell jelenteni. A könyv szerinti érték a FINREP alkalmazásában az IFRS vagy adott esetben az nGAAP szerint meghatározott könyv szerinti érték. Eltérő esetben az nGAAP szerinti adatokat kell használni. </w:t>
      </w:r>
    </w:p>
    <w:p w14:paraId="2CF3C59A" w14:textId="77777777" w:rsidR="00E13CE3" w:rsidRPr="00D92B3C" w:rsidRDefault="00E13CE3" w:rsidP="00EC261B">
      <w:pPr>
        <w:pStyle w:val="Instructionsberschrift3"/>
      </w:pPr>
      <w:r>
        <w:t>A tábla egyes részeire vonatkozó útmutató</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Oszlopok</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Útmutató</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 xml:space="preserve">0010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Háztartások</w:t>
            </w:r>
          </w:p>
          <w:p w14:paraId="47F29415" w14:textId="67B16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V. melléklet, 1. rész 42. f) pont </w:t>
            </w:r>
          </w:p>
          <w:p w14:paraId="4027B4EF" w14:textId="1B267DEE"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Egyének és egyének csoportjai mint fogyasztók, kizárólag saját felhasználásra árukat és nem pénzügyi szolgáltatásokat, valamint piaci árukat és nem pénzügyi, valamint pénzügyi szolgáltatásokat előállítók/nyújtók, amennyiben tevékenységük nem egyezik meg a kvázivállalatokéval. Idetartoznak még azok a nonprofit intézmények, amelyek háztartásokat szolgálnak ki, és amelyek elsősorban nem piaci áruk és szolgáltatások háztartások meghatározott csoportjai számára történő előállításával, illetve nyújtásával foglalkoznak.</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Nem pénzügyi vállalatok (kkv-k)</w:t>
            </w:r>
          </w:p>
          <w:p w14:paraId="658CF614" w14:textId="71FE408B"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2003. május 6-i bizottsági ajánlás mellékletének I. címe 2. cikkének (1) bekezdése</w:t>
            </w:r>
            <w:r>
              <w:rPr>
                <w:rStyle w:val="FootnoteReference"/>
                <w:rFonts w:eastAsia="Cambria" w:cs="Cambria"/>
                <w:color w:val="1A171C"/>
                <w:spacing w:val="-2"/>
                <w:w w:val="95"/>
                <w:lang w:val="en-GB"/>
              </w:rPr>
              <w:footnoteReference w:id="8"/>
            </w:r>
            <w:r>
              <w:t>;</w:t>
            </w:r>
            <w:r>
              <w:rPr>
                <w:rFonts w:ascii="Times New Roman" w:hAnsi="Times New Roman"/>
                <w:color w:val="000000" w:themeColor="text1"/>
                <w:sz w:val="20"/>
                <w:szCs w:val="20"/>
              </w:rPr>
              <w:t xml:space="preserve"> FINREP, V. melléklet, 1. rész 5. i) pont</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Azok a vállalkozások, amelyek kevesebb mint 250 személyt foglalkoztatnak, és amelyek éves forgalma nem haladja meg az 50 millió EUR-t, és/vagy éves mérlegfőösszege nem haladja meg a 43 millió EUR-t.</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Nem pénzügyi vállalatok (nem kkv-k)</w:t>
            </w:r>
          </w:p>
          <w:p w14:paraId="17757C15" w14:textId="2EB9C896"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V. melléklet, 1. rész 42. e) pont</w:t>
            </w:r>
          </w:p>
          <w:p w14:paraId="1125FBD0" w14:textId="2AF7C62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Azon vállalatok és kvázivállalatok, amelyek nem a pénzügyi közvetítésben, hanem elsősorban a piaci javak előállításában és nem pénzügyi szolgáltatások nyújtásában vesznek részt az (EU) 2021/379 EKB-rendelettel összhangban</w:t>
            </w:r>
            <w:r>
              <w:rPr>
                <w:rFonts w:ascii="Times New Roman" w:hAnsi="Times New Roman" w:cs="Times New Roman"/>
                <w:color w:val="000000" w:themeColor="text1"/>
                <w:sz w:val="20"/>
                <w:szCs w:val="20"/>
                <w:vertAlign w:val="superscript"/>
                <w:lang w:val="en-GB"/>
              </w:rPr>
              <w:footnoteReference w:id="9"/>
            </w:r>
            <w:r>
              <w:rPr>
                <w:rFonts w:ascii="Times New Roman" w:hAnsi="Times New Roman"/>
                <w:color w:val="000000" w:themeColor="text1"/>
                <w:sz w:val="20"/>
                <w:szCs w:val="20"/>
              </w:rPr>
              <w:t>.</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Ez az oszlop nem tartalmazza a 0020. oszlopban figyelembe vett kkv-kat.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Hitelintézetek</w:t>
            </w:r>
          </w:p>
          <w:p w14:paraId="561413A7" w14:textId="2850F404"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V. melléklet, 1. rész 42. c) pont</w:t>
            </w:r>
          </w:p>
          <w:p w14:paraId="5B42C6C2" w14:textId="44AE08E8"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Az 575/2013/EU rendelet 4. cikke (1) bekezdésének 1. pontja szerinti hitelintézetek és multilaterális fejlesztési bankok.</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Egyéb pénzügyi vállalatok</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V. melléklet, 1. rész 42. d) pont</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A hitelintézeteken kívüli minden egyéb pénzügyi vállalat és kvázivállalat, például befektetési </w:t>
            </w:r>
            <w:r>
              <w:rPr>
                <w:rFonts w:ascii="Times New Roman" w:hAnsi="Times New Roman"/>
                <w:color w:val="000000" w:themeColor="text1"/>
                <w:sz w:val="20"/>
                <w:szCs w:val="20"/>
              </w:rPr>
              <w:lastRenderedPageBreak/>
              <w:t>vállalkozás, befektetési alap, biztosító, nyugdíjalap, kollektív befektetési vállalkozás és elszámolóház, valamint a többi pénzügyi közvetítő, pénzügyi kiegészítő tevékenységet végző szervezet, captive finanszírozó és pénzkölcsönző.</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Államháztartások és központi bankok</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V. melléklet, 1. rész 42. a) és b) pont</w:t>
            </w:r>
          </w:p>
          <w:p w14:paraId="09960B19" w14:textId="1C3F60FA"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Központi bankok és központi kormányzatok, tartományi vagy regionális kormányzatok és helyi önkormányzatok, ideértve a közigazgatási szerveket és a nem kereskedelmi vállalkozásokat, de ide nem értve az ezen kormányzatok tulajdonában álló, kereskedelmi tevékenységet folytató állami és magánvállalatokat (amelyeket tevékenységüktől függően a „hitelintézetek”, „egyéb pénzügyi vállalatok”, vagy „nem pénzügyi vállalatok” alatt kell feltüntetni); társadalombiztosítási alapok; és nemzetközi szervezetek, mint például az Európai Unió, a Nemzetközi Valutaalap és a Nemzetközi Fizetések Bankja.</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Nem azonosított, kereskedési helyszínen jegyzett</w:t>
            </w:r>
          </w:p>
          <w:p w14:paraId="3B10C7CD" w14:textId="4BC07714"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Amennyiben az értékpapír tulajdonosának kiléte nem ismert, mivel az instrumentumot a 2014/65/EU európai parlamenti és tanácsi irányelvben</w:t>
            </w:r>
            <w:r>
              <w:rPr>
                <w:rStyle w:val="FootnoteReference"/>
                <w:rFonts w:cs="Times New Roman"/>
                <w:color w:val="000000" w:themeColor="text1"/>
                <w:spacing w:val="-2"/>
                <w:w w:val="95"/>
                <w:lang w:val="en-GB"/>
              </w:rPr>
              <w:footnoteReference w:id="10"/>
            </w:r>
            <w:r>
              <w:rPr>
                <w:rFonts w:ascii="Times New Roman" w:hAnsi="Times New Roman"/>
                <w:color w:val="000000" w:themeColor="text1"/>
                <w:sz w:val="20"/>
                <w:szCs w:val="20"/>
              </w:rPr>
              <w:t xml:space="preserve"> meghatározott kereskedési helyszínen jegyzik, az összegeket ebben az oszlopban kell feltüntetni.</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Nem azonosított, kereskedési helyszínen nem jegyzett</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Amennyiben az értékpapír tulajdonosának kiléte nem ismert, és az instrumentumot kereskedési helyszínen nem jegyzik, az összegeket ebben az oszlopban kell feltüntetni, és nincs szükség további partner szerinti bontásra. A szervezetnek minden tőle telhetőt meg kell tennie a partnerek azonosítása és ezen oszlop használatának minimalizálása érdekében.</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Összesen</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Ebből: csoporton belüli</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A végső anyavállalat konszolidált pénzügyi kimutatásaiban szereplő szervezetekkel (tehát nem a szabályozói konszolidáció körébe tartozó szervezetekkel) szembeni kötelezettségek.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Ebből: harmadik ország joga alá tartozó kötelezettségek, kivéve a csoporton belüli kötelezettségeket</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Idetartoznak a harmadik országok joga által szabályozott és/vagy harmadik országokban letelepedett szervezetek által kibocsátott kötelezettségek bruttó összegei. Csoporton belüli kötelezettségek itt nem tüntethetők fel.</w:t>
            </w:r>
          </w:p>
          <w:p w14:paraId="7DFA0852" w14:textId="5C12F91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Amennyiben a szanálási hatóság megerősítette, hogy a 2014/59/EU európai parlamenti és tanácsi irányelv</w:t>
            </w:r>
            <w:r>
              <w:rPr>
                <w:rStyle w:val="FootnoteReference"/>
                <w:rFonts w:eastAsia="Cambria" w:cs="Times New Roman"/>
                <w:color w:val="000000" w:themeColor="text1"/>
                <w:spacing w:val="-2"/>
                <w:w w:val="95"/>
                <w:lang w:val="en-GB"/>
              </w:rPr>
              <w:footnoteReference w:id="11"/>
            </w:r>
            <w:r>
              <w:rPr>
                <w:rFonts w:ascii="Times New Roman" w:hAnsi="Times New Roman"/>
                <w:color w:val="000000" w:themeColor="text1"/>
                <w:sz w:val="20"/>
                <w:szCs w:val="20"/>
              </w:rPr>
              <w:t xml:space="preserve"> 55. cikke (1) bekezdése harmadik albekezdése értelmében meggyőződött arról, hogy valamely szanálási hatóság valamely kötelezettség leírására vagy átalakítására vonatkozó határozata az adott harmadik ország joga szerint végrehajtásra kerülne, a kötelezettséget nem kell ebben az oszlopban feltüntetni.</w:t>
            </w:r>
          </w:p>
        </w:tc>
      </w:tr>
    </w:tbl>
    <w:p w14:paraId="784CE850" w14:textId="77777777" w:rsidR="0081175C" w:rsidRPr="009B4613"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4"/>
        <w:gridCol w:w="8122"/>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Sorok</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Útmutató</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 hitelezői feltőkésítésből kizárt kötelezettségek</w:t>
            </w:r>
          </w:p>
          <w:p w14:paraId="051961A3" w14:textId="30DF5543"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2014/59/EU irányelv 44. cikkének (2) bekezdése kimondja, hogy a szanálási hatóságok – függetlenül attól, hogy valamely tagállam vagy egy harmadik ország joga vonatkozik rájuk – nem gyakorolhatják az adósságleírással és átalakítással kapcsolatos hatásköreiket a hitelezői </w:t>
            </w:r>
            <w:r>
              <w:rPr>
                <w:rFonts w:ascii="Times New Roman" w:hAnsi="Times New Roman"/>
                <w:color w:val="000000" w:themeColor="text1"/>
                <w:sz w:val="20"/>
                <w:szCs w:val="20"/>
              </w:rPr>
              <w:lastRenderedPageBreak/>
              <w:t>feltőkésítésből kizárt kötelezettségek tekintetében.</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lastRenderedPageBreak/>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Biztosított betétek</w:t>
            </w:r>
          </w:p>
          <w:p w14:paraId="7373B53C" w14:textId="4C1EE3FC"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A 2014/49/EU európai parlamenti és tanácsi irányelv</w:t>
            </w:r>
            <w:r>
              <w:rPr>
                <w:rStyle w:val="FootnoteReference"/>
                <w:color w:val="000000" w:themeColor="text1"/>
                <w:lang w:val="en-GB" w:eastAsia="en-GB"/>
              </w:rPr>
              <w:footnoteReference w:id="12"/>
            </w:r>
            <w:r>
              <w:rPr>
                <w:rFonts w:ascii="Times New Roman" w:hAnsi="Times New Roman"/>
                <w:color w:val="000000" w:themeColor="text1"/>
                <w:sz w:val="20"/>
                <w:szCs w:val="20"/>
              </w:rPr>
              <w:t xml:space="preserve"> 2. cikke (1) bekezdésének 5. pontjában meghatározott biztosított betétek összege, az említett irányelv 6. cikkének (2) bekezdésében meghatározott ideiglenes túllépés kizárásával.</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Biztosítékkal fedezett kötelezettségek – fedezett rész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2014/59/EU irányelv 44. cikke (2) bekezdésének b) pontja.</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Biztosítékkal fedezett kötelezettségek, ideértve a visszavásárlási megállapodásokat (repók), a biztosítékkal fedezett kötvényeket és azokat a kötelezettségeket, amelyek olyan pénzügyi instrumentumok formáját öltik, amelyek a fedezeti halmaz elválaszthatatlan részét képezik, és amelyek a nemzeti jog értelmében a fedezett kötvényekhez hasonló módon fedezettek.</w:t>
            </w:r>
          </w:p>
          <w:p w14:paraId="314E1701" w14:textId="117DED4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Sem a fedezeti halmazban lévő, fedezett kötvényekkel kapcsolatos minden biztosítékkal fedezett eszköz elkülönítésére, érintetlenségére és megfelelő finanszírozására vonatkozó követelmény, sem pedig a 2014/59/EU irányelv 44. cikke (2) bekezdésének b) pontja szerinti kizárás nem akadályozhatja meg a szanálási hatóságokat abban, hogy adott esetben gyakorolják e hatáskörüket a biztosítékkal fedezett kötelezettség azon része tekintetében, amely meghaladja a biztosítékul szolgáló vagyon, kézizálog, visszatartási jog vagy fedezet értékét. A biztosítékkal fedezett kötelezettségek e fedezetlen részét nem ebben a sorban, hanem a 0340. sorban kell feltüntetni, és tovább kell részletezni.</w:t>
            </w:r>
          </w:p>
          <w:p w14:paraId="1BD554D6" w14:textId="71E3D23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sz w:val="20"/>
                <w:szCs w:val="20"/>
              </w:rPr>
              <w:t>A biztosítéki halmaz által fedezett központi banki kötelezettségek (fő refinanszírozási műveletek, hosszú távú refinanszírozási műveletek, célzott, hosszabb lejáratú refinanszírozási műveletek stb.) biztosítékkal fedezett kötelezettségnek minősülnek.</w:t>
            </w:r>
            <w:r>
              <w:rPr>
                <w:rFonts w:ascii="Times New Roman" w:hAnsi="Times New Roman"/>
                <w:color w:val="000000" w:themeColor="text1"/>
                <w:sz w:val="20"/>
                <w:szCs w:val="20"/>
              </w:rPr>
              <w:t xml:space="preserve"> </w:t>
            </w:r>
          </w:p>
          <w:p w14:paraId="6224568E" w14:textId="2D298A41"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A kötelezettségek egy sajátos típusa a kapott és a mérlegben nyilvántartott biztosítékpozíció. Amennyiben az ilyen biztosítékpozíció jogilag kötődik egy eszközpozícióhoz, azt ezen adatszolgáltatás alkalmazásában biztosítékkal fedezett kötelezettségként kell kezelni.</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Ügyféllel szembeni kötelezettségek – amennyiben fizetésképtelenség esetén védettséget élveznek</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2014/59/EU irányelv 44. cikke (2) bekezdésének c) pontja.</w:t>
            </w:r>
          </w:p>
          <w:p w14:paraId="31E36332" w14:textId="3D3A9C39"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Bármilyen kötelezettség, amely abból keletkezik, hogy az intézmény vagy a 2014/59/EU irányelv 1. cikke (1) bekezdésének b), c) vagy d) pontjában említett szervezet kezeli az ügyfelek eszközeit vagy pénzét, beleértve a 2009/65/EK európai parlamenti és tanácsi irányelv</w:t>
            </w:r>
            <w:r>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xml:space="preserve"> 1. cikkének (2) bekezdésében meghatározott ÁÉKBV-k, vagy a 2011/61/EU európai parlamenti és tanácsi irányelv</w:t>
            </w:r>
            <w:r>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 xml:space="preserve"> 4. cikke (1) bekezdésének a) pontjában meghatározott alternatív befektetési alapok nevében kezelt eszközöket vagy pénzt, feltéve, hogy az említett ügyfél az alkalmazandó fizetésképtelenségi jog alapján védelemben részesül.</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Vagyonkezelői kötelezettségek – amennyiben fizetésképtelenség esetén védettséget élveznek</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2014/59/EU irányelv 44. cikke (2) bekezdésének d) pontja.</w:t>
            </w:r>
          </w:p>
          <w:p w14:paraId="2E8631D5" w14:textId="6ADAD48D"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Bármilyen kötelezettség, amely a 2014/59/EU irányelv 1. cikke (1) bekezdésének b), c) vagy d) pontjában említett intézmény vagy szervezet (mint vagyonkezelő) és egy másik személy (mint kedvezményezett) között létrejött vagyonkezelői ügyletből keletkezik, feltéve, hogy az említett kedvezményezett az alkalmazandó fizetésképtelenségi jogi vagy polgári jogi rendelkezések alapján </w:t>
            </w:r>
            <w:r>
              <w:rPr>
                <w:rFonts w:ascii="Times New Roman" w:hAnsi="Times New Roman"/>
                <w:color w:val="000000" w:themeColor="text1"/>
                <w:sz w:val="20"/>
                <w:szCs w:val="20"/>
              </w:rPr>
              <w:lastRenderedPageBreak/>
              <w:t>védelemben részesül.</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Intézményekkel szembeni kötelezettségek &lt; 7 nap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2014/59/EU irányelv 44. cikke (2) bekezdésének e) pontja.</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Az intézményekkel szembeni azon kötelezettségek – az ugyanazon csoporthoz tartozó szervezetekkel szembeni kötelezettségek kivételével –, amelyek eredeti lejárata hét napon belüli.</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Rendszerrel (rendszerüzemeltetővel) és központi szerződő féllel szembeni kötelezettségek &lt; 7 nap</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2014/59/EU irányelv 44. cikke (2) bekezdésének f) pontja.</w:t>
            </w:r>
          </w:p>
          <w:p w14:paraId="73CAD80A" w14:textId="0D25FA3C"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sz w:val="20"/>
                <w:szCs w:val="20"/>
              </w:rPr>
              <w:t>Kötelezettségek, amelyek kevesebb mint hét napon belül esedékesek és a 98/26/EK európai parlamenti és tanácsi irányelvvel</w:t>
            </w:r>
            <w:r>
              <w:rPr>
                <w:rStyle w:val="FootnoteReference"/>
                <w:rFonts w:eastAsia="Cambria" w:cs="Times New Roman"/>
                <w:color w:val="000000" w:themeColor="text1"/>
                <w:spacing w:val="-2"/>
                <w:w w:val="95"/>
                <w:lang w:val="en-GB"/>
              </w:rPr>
              <w:footnoteReference w:id="15"/>
            </w:r>
            <w:r>
              <w:rPr>
                <w:rFonts w:ascii="Times New Roman" w:hAnsi="Times New Roman"/>
                <w:sz w:val="20"/>
                <w:szCs w:val="20"/>
              </w:rPr>
              <w:t xml:space="preserve"> összhangban kijelölt rendszerek vagy rendszerüzemeltetők vagy e rendszerek résztvevői javára állnak fenn, és amelyek az ilyen rendszerekben való részvételből keletkeztek, vagy az Unióban a 648/2012/EU európai parlamenti és tanácsi rendelet</w:t>
            </w:r>
            <w:r>
              <w:rPr>
                <w:rStyle w:val="FootnoteReference"/>
                <w:rFonts w:eastAsia="Cambria" w:cs="Times New Roman"/>
                <w:color w:val="000000" w:themeColor="text1"/>
                <w:spacing w:val="-2"/>
                <w:w w:val="95"/>
                <w:lang w:val="en-GB"/>
              </w:rPr>
              <w:footnoteReference w:id="16"/>
            </w:r>
            <w:r>
              <w:rPr>
                <w:rFonts w:ascii="Times New Roman" w:hAnsi="Times New Roman"/>
                <w:sz w:val="20"/>
                <w:szCs w:val="20"/>
              </w:rPr>
              <w:t xml:space="preserve"> 14. cikke alapján engedélyezett központi szerződő felek, valamint az ESMA által az említett rendelet 25. cikkének megfelelően elismert harmadik országbeli központi szerződő felek vonatkozásában állnak fenn.</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Foglalkoztatottakkal szembeni kötelezettségek</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2014/59/EU irányelv 44. cikke (2) bekezdése g) pontjának i. alpontja.</w:t>
            </w:r>
          </w:p>
          <w:p w14:paraId="3F247F5E" w14:textId="61B56162"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Foglalkoztatottakkal szemben fennálló kötelezettségek, felhalmozott bérhez, nyugellátáshoz vagy más rögzített javadalmazáshoz kapcsolódó kötelezettségek, kivéve a javadalmazás változó, kollektív szerződésben nem szabályozott összetevőit. Ez azonban nem vonatkozik a jelentős kockázatvállalók javadalmazásának a 2013/36/EU irányelv 92. cikkének (2) bekezdése szerinti változó összetevőjére.</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 napi operatív működés szempontjából kritikus kötelezettségek</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2014/59/EU irányelv 44. cikke (2) bekezdése g) pontjának ii. alpontja.</w:t>
            </w:r>
          </w:p>
          <w:p w14:paraId="64A855A5" w14:textId="3FDF4A91"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Kereskedelemi hitelezőkkel szembeni, a 2014/59/EU irányelv 1. cikke (1) bekezdésének b), c) vagy d) pontjában említett intézmény vagy szervezet mindennapi működése szempontjából kritikus fontosságú áruk vagy szolgáltatások nyújtásából – ideértve az IT-szolgáltatásokat, közüzemi ellátásokat, valamint az épületek bérlését, kiszolgálását és fenntartását – eredő kötelezettségek.</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Adó- és társadalombiztosítási kötelezettségek, ha előresoroltak</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2014/59/EU irányelv 44. cikke (2) bekezdése g) pontjának iii. alpontja.</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Adóhatóságokkal és társadalombiztosítási hatóságokkal szembeni kötelezettségek – feltéve, hogy ezek az alkalmazandó jog szerint előresorolt kötelezettségek.</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Betétbiztosítási rendszerekkel szembeni kötelezettségek</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2014/59/EU irányelv 44. cikke (2) bekezdése g) pontjának iv. alpontja.</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Betétbiztosítási rendszerekkel szembeni, a 2014/49/EU irányelv szerinti hozzájárulások okán esedékes kötelezettségek.</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 szanálás alá vonható csoport más szervezeteivel szembeni kötelezettségek</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2014/59/EU irányelv 44. cikke (2) bekezdésének h) pontja.</w:t>
            </w:r>
          </w:p>
          <w:p w14:paraId="1669FBC8" w14:textId="58E08569"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2014/59/EU irányelv 1. cikke (1) bekezdésének b), c) vagy d) pontjában említett intézményekkel vagy szervezetekkel szembeni kötelezettségek, amelyek ugyanahhoz a szanálás alá vonható csoporthoz tartoznak, anélkül, hogy maguk is szanálás alá vonható szervezetek lennének, függetlenül </w:t>
            </w:r>
            <w:r>
              <w:rPr>
                <w:rFonts w:ascii="Times New Roman" w:hAnsi="Times New Roman"/>
                <w:color w:val="000000" w:themeColor="text1"/>
                <w:sz w:val="20"/>
                <w:szCs w:val="20"/>
              </w:rPr>
              <w:lastRenderedPageBreak/>
              <w:t>azok lejáratától, kivéve, ha ezek a kötelezettségek a rendes fizetésképtelenségi eljárásra irányadó, a 2014/59/EU irányelv átültetésének időpontjában alkalmazandó nemzeti jog szerint a rendes, biztosíték nélküli kötelezettségekhez képest hátrébb sorolódnak.</w:t>
            </w:r>
          </w:p>
          <w:p w14:paraId="0B9C4871" w14:textId="373DF995"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Amennyiben a kizárt kötelezettség származtatott kötelezettség, a nettó kötelezettségpozíciókat az 575/2013/EU rendelet 429c. cikkében meghatározott prudenciális nettósítási szabályok figyelembevételével kell feltüntetni.</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 hitelezői feltőkésítésből ki nem zárt kötelezettségek</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Nem biztosított, de elsőbbségi betétek</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2014/59/EU irányelv 108. cikke.</w:t>
            </w:r>
          </w:p>
          <w:p w14:paraId="5FC1FB0D" w14:textId="055FB77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A 2014/49/EU irányelv 2. cikke (1) bekezdésének 3. pontjában meghatározott olyan betétek, amelyek nem jogosultak a hitelezői feltőkésítésből való kizárásra (a 2014/59/EU irányelv 44. cikke (2) bekezdésének a) pontja), ám amelyek esetében a 2014/59/EU irányelv 108. cikkével összhangban elsőbbségi elbánást irányoztak elő.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Nem biztosított és nem elsőbbségi betétek</w:t>
            </w:r>
          </w:p>
          <w:p w14:paraId="61C7A4A8" w14:textId="4D4188E4"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 2014/49/EU irányelv 2. cikke (1) bekezdésének 3. pontjában meghatározott olyan betétek, amelyek nem jogosultak sem a hitelezői feltőkésítésből való kizárásra, sem elsőbbségi elbánásra (a 2014/59/EU irányelv 44. cikke (2) bekezdésének a) pontja vagy 108. cikke alapján).</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Származtatott ügyletekből eredő, mérleg szerinti kötelezettségek</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Származtatott ügyletekből eredő kötelezettségek könyv szerinti értéke.</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Nettó kötelezettségpozíciók összege a szerződéses nettósítási halmazok figyelembevételével, piaci árazás szerinti kiigazítások után, a biztosítékok beszámítása előtt</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Alapértelmezés szerint a származtatott kötelezettségek nettó piaci értékének összege szerződéses nettósítási halmazonként. A nettósítási halmazt csak akkor kell jelenteni, ha a nettósítási halmaz nettó piaci értéke kötelezettség. A nettósítási megállapodások hatálya alá nem tartozó származtatott ügyleteket egyetlen szerződésként kell kezelni, azaz úgy, mintha a nettósítási halmaz csak egy származtatott ügyletből állna.</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Nettó kötelezettségpozíciók összege a szerződéses nettósítási halmazok figyelembevételével, piaci árazás szerinti kiigazítások után, a biztosítékok beszámítása után</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 0331. sorban szereplő értékelést ki kell igazítani az e kitettség biztosítékául szolgáló biztosíték piaci értéken történő beszámításával – e levonás eredménye az itt feltüntetendő nettó piaci összérték.</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Nettó kötelezettségpozíciók összege a szerződéses nettósítási halmazok figyelembevételével, piaci árazás szerinti kiigazítások után, a biztosítékok beszámítása után, a becsült lezárási összegek bevonásával</w:t>
            </w:r>
          </w:p>
          <w:p w14:paraId="25879E1D" w14:textId="1D5A3A6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2016/1401 felhatalmazáson alapuló bizottsági rendelettel</w:t>
            </w:r>
            <w:r>
              <w:rPr>
                <w:rStyle w:val="FootnoteReference"/>
                <w:rFonts w:eastAsia="Cambria" w:cs="Cambria"/>
                <w:color w:val="1A171C"/>
                <w:spacing w:val="-2"/>
                <w:w w:val="95"/>
                <w:lang w:val="en-GB"/>
              </w:rPr>
              <w:footnoteReference w:id="17"/>
            </w:r>
            <w:r>
              <w:rPr>
                <w:rFonts w:ascii="Times New Roman" w:hAnsi="Times New Roman"/>
                <w:color w:val="000000" w:themeColor="text1"/>
                <w:sz w:val="20"/>
                <w:szCs w:val="20"/>
              </w:rPr>
              <w:t xml:space="preserve"> összhangban az ügyletek lényegi feltételeinek megfelelő gazdasági értéknek, valamint a lezárt ügyletek tekintetében a felek opciós jogainak a pótlása vagy megszerzése során a származtatott ügyletben részt vevő partnereknél felmerült veszteséget vagy költségeket, vagy az általuk elért nyereséget fedező, további lezárási összeg.</w:t>
            </w:r>
          </w:p>
          <w:p w14:paraId="5EC98AF6" w14:textId="1177716A"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A lezárási összeg említett felhatalmazáson alapuló rendelettel összhangban történő meghatározásához szükséges becslések egyedi alapon meglehetősen nehéznek bizonyulhatnak. Ezért a rendelkezésre álló adatokon – például a piaci kockázatra vonatkozó prudenciális követelményeken – alapuló közelítő értékek alkalmazhatók. Ha a származtatott kötelezettségek lezárási összegének kiszámítása lehetetlennek bizonyul, a megadott összegnek meg kell egyeznie a 0332. sorban </w:t>
            </w:r>
            <w:r>
              <w:rPr>
                <w:rFonts w:ascii="Times New Roman" w:hAnsi="Times New Roman"/>
                <w:color w:val="000000" w:themeColor="text1"/>
                <w:sz w:val="20"/>
                <w:szCs w:val="20"/>
              </w:rPr>
              <w:lastRenderedPageBreak/>
              <w:t>feltüntetett összeggel.</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Nettó kötelezettségpozíciók összege a prudenciális nettósítási szabályok figyelembevételével</w:t>
            </w:r>
          </w:p>
          <w:p w14:paraId="38C77DC4" w14:textId="134F9D95"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 származtatott ügyletek nettó kötelezettségpozícióit kell feltüntetni, figyelembe véve az 575/2013/EU rendelet 429c. cikkében meghatározott (a tőkeáttételi mutató számításához használt teljes kitettségérték kiszámításához kapcsolódó) prudenciális nettósítási szabályokat.</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0340–0344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Biztosítékkal fedezett kötelezettségek – nem fedezett rész</w:t>
            </w:r>
          </w:p>
          <w:p w14:paraId="4B351135" w14:textId="0F9F916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 biztosítékkal fedezett kötelezettség azon összege, amely meghaladja a biztosítékul szolgáló vagyon, kézizálog, visszatartási jog vagy fedezet értékét. Ez magában foglalja a fedezett kötelezettségek „alulfedezett” részét, például a fedezett kötvények vagy repóügyletek alulfedezett részét.</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0350–0354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Strukturált értékpapírok</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 strukturált értékpapír e célból olyan adósságinstrumentum, amely beágyazott származtatott összetevőt tartalmaz, alapul szolgáló értékpapírhoz vagy indexhez (nyilvános vagy testre szabott, részvény-, kötvény-, fix kamatozású vagy hitel-, deviza-, árupiaci stb. indexhez) kapcsolódó hozamokkal. A strukturált értékpapírok nem tartalmazzák azokat a hitelviszonyt megtestesítő értékpapírokat, amelyek csak vételi vagy eladási opciókat tartalmaznak, azaz az instrumentum értéke nem függ beágyazott származékos komponenstől.</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0360–0364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Előresorolt, biztosíték nélküli kötelezettségek</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Idetartozik minden olyan előresorolt, biztosíték nélküli instrumentum, amely nem szerepel a strukturált értékpapírok kategóriájában.</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0365-0369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Előresorolt, nem elsőbbségi kötelezettségek</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Az alábbi kötelezettségek bármelyike:</w:t>
            </w:r>
          </w:p>
          <w:p w14:paraId="37BECB28" w14:textId="2B632668" w:rsidR="00C92D66" w:rsidRPr="00D92B3C" w:rsidRDefault="004660C7" w:rsidP="008F43E2">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2014/59/EU irányelv 108. cikke (2) bekezdésének a), b) és c) pontjában, valamint 108. cikkének (3) bekezdésében meghatározott feltételeknek megfelelő hitelviszonyt megtestesítő értékpapírokból eredő fedezetlen követelések; </w:t>
            </w:r>
          </w:p>
          <w:p w14:paraId="2D8481A4" w14:textId="2AC48A1E" w:rsidR="00C92D66" w:rsidRPr="00D92B3C" w:rsidRDefault="004660C7" w:rsidP="008F43E2">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2014/59/EU irányelv 108. cikke (5) bekezdése első albekezdésének b) pontjában említett hitelviszonyt megtestesítő értékpapírokból eredő fedezetlen követelések; </w:t>
            </w:r>
          </w:p>
          <w:p w14:paraId="4F6E4EB0" w14:textId="09D68CFD" w:rsidR="000B7DC6" w:rsidRPr="00D92B3C" w:rsidRDefault="004660C7" w:rsidP="008F43E2">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 2014/59/EU irányelv 108. cikkének (7) bekezdésében említett, hitelviszonyt megtestesítő értékpapírokból eredő nem elsőbbségi, biztosíték nélküli követelések között a leghátrább sorolt hitelviszonyt megtestesítő azon értékpapírok, amelyekre vonatkozóan egy tagállam az említett bekezdéssel összhangban úgy rendelkezett, hogy a 2014/59/EU irányelv 108. cikke (2) bekezdésének a), b) és c) pontjában, valamint a 108. cikkének (3) bekezdésében meghatározott feltételeknek megfelelő követelésekkel azonos rangsorolásúak.</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0370–0374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Alárendelt kötelezettségek</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Olyan kötelezettségek, amelyeket a nemzeti fizetésképtelenségi jog alapján csak azt követően fizetnek vissza, miután a rendes (nem előresorolt) hitelezők és az előresorolt, nem elsőbbségi hitelezők valamennyi osztályát teljes egészében kielégítették. Ez magában foglalja a szerződés vagy a jogszabály alapján alárendelt kötelezettségeket. A holdingtársaságok esetében ebben a kategóriában nem alárendelt hitelviszonyt megtestesítő értékpapírok is feltüntethetők (strukturális alárendelés).</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Ebbe a kategóriába csak olyan alárendelt instrumentumok tartoznak, amelyek nem minősülnek szavatolótőkének. </w:t>
            </w:r>
          </w:p>
          <w:p w14:paraId="5F45057F" w14:textId="0FF021C7"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Ez a sor emellett magában foglalja az alárendelt kötelezettségek azon részét is, amely elvben szavatolótőkének minősül, de nem tartozik a szavatolótőkébe az olyan kivezetési rendelkezések, mint például az 575/2013/EU rendelet 64. cikke (hátralévő futamidő) vagy az 575/2013/EU rendelet tizedik része (szerzett jogok hatása) miatt.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0380–0382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MREL szempontjából figyelembe vehető egyéb kötelezettségek</w:t>
            </w:r>
          </w:p>
          <w:p w14:paraId="087A3314" w14:textId="390556B6"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 2014/59/EU irányelv 45. cikkében meghatározott követelmény teljesítése céljából figyelembe vehető, de a 0320. és 0340–0370. sorban nem szereplő instrumentumok.</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Nem pénzügyi kötelezettségek</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Ebben a sorban azokat a nem pénzügyi kötelezettségeket kell feltüntetni, amelyek olyan hitelviszonyt megtestesítő értékpapírokhoz kapcsolódnak, amelyek tulajdonosai gyakorlati okokból – például a szervezetet érintő jogvitára vonatkozó rendelkezések miatt – nem vonhatók be a hitelezői feltőkésítésbe.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Egyéb kötelezettségek</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Minden olyan kötelezettség, amely nem szerepel a 0100–0390. sorban.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Szavatolótőke</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575/2013/EU rendelet 4. cikke (1) bekezdésének 118. pontja és 72. cikke.</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Ugyanaz a meghatározás, mint a COREP (OF) esetében: {C 01.00;010;010}.</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Elsődleges alapvető tőke</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575/2013/EU rendelet 50. cikke.</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Ugyanaz a meghatározás, mint a COREP (OF) esetében: {C 01.00;020;010}.</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Ebből: tőkeinstrumentumok / részvénytőke</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Tőkeinstrumentumok/részvénytőke formájában a CET1 tőkét (annak egy részét) képező jogi eszközök.</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Ebből:</w:t>
            </w:r>
            <w:r>
              <w:rPr>
                <w:rFonts w:ascii="Times New Roman" w:hAnsi="Times New Roman"/>
                <w:b/>
                <w:bCs/>
                <w:color w:val="000000" w:themeColor="text1"/>
                <w:sz w:val="20"/>
                <w:szCs w:val="20"/>
              </w:rPr>
              <w:t xml:space="preserve"> a törzsrészvényekkel egyenrangú instrumentumok</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Olyan jogi eszközök, amelyek nem tőkeinstrumentumok/részvénytőke formájában képezik a CET1 tőkét (annak egy részét), de egyenrangúak ezzel a kategóriával.</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Kiegészítő alapvető tőke</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575/2013/EU rendelet 61. cikke.</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Ugyanaz a meghatározás, mint a COREP (OF) esetében: {C 01.00;530;010}.</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Ebből: </w:t>
            </w:r>
            <w:r>
              <w:rPr>
                <w:rFonts w:ascii="Times New Roman" w:hAnsi="Times New Roman"/>
                <w:b/>
                <w:color w:val="000000" w:themeColor="text1"/>
                <w:sz w:val="20"/>
                <w:szCs w:val="20"/>
              </w:rPr>
              <w:t>szavatolótőkeként megjelenített alárendelt kötelezettségek (egy része)</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Az egyéb alapvető tőkét (annak egy részét) képező jogi eszközök.</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Járulékos tőke (Tier 2)</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575/2013/EU rendelet 71. cikke.</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Ugyanaz a meghatározás, mint a COREP (OF) esetében: {C 01.00;750;010}.</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Ebből: szavatolótőkeként megjelenített alárendelt kötelezettségek (egy része)</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Ez a bontás azonosítja azokat a jogi eszközöket, amelyek a járulékos szavatolótőkét (annak egy részét) képezik.</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Kötelezettségek összesen és szavatolótőke, beleértve a származtatott kötelezettségeket</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Az ebben a táblában feltüntetett összes kötelezettség és a szabályozói szavatolótőke összege. Ezt az értéket a fenti sorokban szereplő összes érték összeadásával kell képezni. A származtatott ügyletek esetében az alkalmazandó érték a 0334. sor „Nettó kötelezettségpozíciók összege a prudenciális nettósítási szabályok figyelembevételével”.</w:t>
            </w:r>
          </w:p>
        </w:tc>
      </w:tr>
    </w:tbl>
    <w:p w14:paraId="304D409F"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96187373"/>
      <w:r>
        <w:rPr>
          <w:rFonts w:ascii="Times New Roman" w:hAnsi="Times New Roman"/>
          <w:szCs w:val="20"/>
        </w:rPr>
        <w:lastRenderedPageBreak/>
        <w:t>Z 03.00 – Szavatolótőke-követelmények (OWN)</w:t>
      </w:r>
      <w:bookmarkEnd w:id="14"/>
      <w:bookmarkEnd w:id="15"/>
    </w:p>
    <w:p w14:paraId="1EB4E523" w14:textId="77777777" w:rsidR="00F73F97" w:rsidRPr="00D92B3C" w:rsidRDefault="00F73F97" w:rsidP="00EC261B">
      <w:pPr>
        <w:pStyle w:val="Instructionsberschrift3"/>
      </w:pPr>
      <w:r>
        <w:t>Általános megjegyzések</w:t>
      </w:r>
    </w:p>
    <w:p w14:paraId="1CC72D3C" w14:textId="1D211A64" w:rsidR="002449CC" w:rsidRPr="00D92B3C" w:rsidRDefault="002449CC" w:rsidP="00496909">
      <w:pPr>
        <w:pStyle w:val="InstructionsText2"/>
        <w:rPr>
          <w:rFonts w:cs="Times New Roman"/>
        </w:rPr>
      </w:pPr>
      <w:r>
        <w:t>Ebben a táblában a szervezet vagy csoport szavatolótőke-követelményeivel kapcsolatos információkat kell feltüntetni.</w:t>
      </w:r>
    </w:p>
    <w:p w14:paraId="201F0F25" w14:textId="77777777" w:rsidR="00B93E39" w:rsidRPr="00D92B3C" w:rsidRDefault="00B93E39" w:rsidP="00496909">
      <w:pPr>
        <w:pStyle w:val="InstructionsText2"/>
        <w:rPr>
          <w:rFonts w:cs="Times New Roman"/>
        </w:rPr>
      </w:pPr>
      <w:r>
        <w:t>Valamennyi információnak az adatszolgáltatási vonatkozási időpontban alkalmazandó szavatolótőke-követelményeket kell tükröznie.</w:t>
      </w:r>
    </w:p>
    <w:p w14:paraId="6294C8B2" w14:textId="77777777" w:rsidR="00B93E39" w:rsidRPr="00D92B3C" w:rsidRDefault="000447AD" w:rsidP="00496909">
      <w:pPr>
        <w:pStyle w:val="InstructionsText2"/>
        <w:rPr>
          <w:rFonts w:cs="Times New Roman"/>
        </w:rPr>
      </w:pPr>
      <w:r>
        <w:t>A táblában szereplő, a 2. pillér követelményeire vonatkozó információknak az illetékes hatóság által közölt legfrissebb rendelkezésre álló hivatalos SREP-levélen kell alapulniuk.</w:t>
      </w:r>
    </w:p>
    <w:p w14:paraId="00E42EBB" w14:textId="77777777" w:rsidR="00066E8E" w:rsidRPr="00D92B3C" w:rsidRDefault="00066E8E" w:rsidP="00496909">
      <w:pPr>
        <w:pStyle w:val="InstructionsText2"/>
        <w:rPr>
          <w:rFonts w:cs="Times New Roman"/>
        </w:rPr>
      </w:pPr>
      <w:r>
        <w:t>Ha az adatot szolgáltató szervezetre nem vonatkozik egyedi alapon tőkekövetelmény, akkor csak a 0110. sort kell kitölteni.</w:t>
      </w:r>
    </w:p>
    <w:p w14:paraId="4CE17C26" w14:textId="77777777" w:rsidR="00E13CE3" w:rsidRPr="00D92B3C" w:rsidRDefault="00E13CE3" w:rsidP="00EC261B">
      <w:pPr>
        <w:pStyle w:val="Instructionsberschrift3"/>
      </w:pPr>
      <w:r>
        <w:t>A tábla egyes részeire vonatkozó útmutató</w:t>
      </w:r>
    </w:p>
    <w:tbl>
      <w:tblPr>
        <w:tblW w:w="0" w:type="auto"/>
        <w:tblCellMar>
          <w:top w:w="57" w:type="dxa"/>
          <w:left w:w="57" w:type="dxa"/>
          <w:bottom w:w="57" w:type="dxa"/>
          <w:right w:w="0" w:type="dxa"/>
        </w:tblCellMar>
        <w:tblLook w:val="01E0" w:firstRow="1" w:lastRow="1" w:firstColumn="1" w:lastColumn="1" w:noHBand="0" w:noVBand="0"/>
      </w:tblPr>
      <w:tblGrid>
        <w:gridCol w:w="716"/>
        <w:gridCol w:w="8310"/>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Sorok</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Útmutató</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Teljes kockázati kitettségérték</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575/2013/EU rendelet 92. cikkének (3) bekezdése</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Lásd Z 01.00, 0100. oszlop.</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 COREP (OF): {C 02.00;010;010} szerinti teljes kockázati kitettségérték.</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Hozzájárulás a teljes konszolidált kockázati kitettségértékhez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Lásd Z 01.00, 0140. oszlop.</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Ezt a tételt csak olyan szervezetek esetében kell megadni, amelyekre egyedi alapon nem vonatkozik tőkekövetelmény.</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Teljes kitettségi mérték</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Az 575/2013/EU rendelet 429. cikkének (4) bekezdése</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0210–0250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Az induló tőkére és a tőkeáttételi mutatóra vonatkozó követelmény</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Induló tőke</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2013/36/EU irányelv 12., 28–31. cikke és az 575/2013/EU rendelet 93. cikke</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Az intézmény tevékenységének megkezdésére vonatkozó engedély előfeltételeként szükséges induló tőke összege.</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 tőkeáttételi mutatóra vonatkozó követelmény</w:t>
            </w:r>
          </w:p>
          <w:p w14:paraId="2FCAB71A" w14:textId="5CC7FBB9"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Az 575/2013/EU rendelet 92. cikke (1) bekezdésének d) pontja szerinti, a szervezetre vagy csoportra alkalmazandó tőkeáttételi mutatóra vonatkozó követelmény, a teljes kitettségi mérték százalékában kifejezve. Az 575/2013/EU rendelet 429a. cikke (1) bekezdésének n) pontjában említett, az intézmény központi bankjával szembeni kitettségeket kizáró adatszolgáltató szervezeteknek az említett rendelet 429a. cikkének (7) bekezdése szerinti kiigazított tőkeáttételi mutatóra vonatkozó követelményt kell feltüntetniük. Amennyiben nincs hivatalos követelmény, ezt a mezőt üresen kell hagyni.</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CC3478" w:rsidRDefault="009968AE" w:rsidP="00B525EC">
            <w:pPr>
              <w:pStyle w:val="TableParagraph"/>
              <w:spacing w:before="108"/>
              <w:jc w:val="both"/>
              <w:rPr>
                <w:rFonts w:ascii="Times New Roman" w:hAnsi="Times New Roman"/>
                <w:b/>
                <w:color w:val="000000" w:themeColor="text1"/>
                <w:sz w:val="20"/>
                <w:szCs w:val="20"/>
              </w:rPr>
            </w:pPr>
            <w:r w:rsidRPr="00CC3478">
              <w:rPr>
                <w:rFonts w:ascii="Times New Roman" w:hAnsi="Times New Roman"/>
                <w:b/>
                <w:color w:val="000000" w:themeColor="text1"/>
                <w:sz w:val="20"/>
                <w:szCs w:val="20"/>
              </w:rPr>
              <w:t xml:space="preserve">Teljes-SREP-tőkekövetelmény-mutató (TSCR-mutató) </w:t>
            </w:r>
          </w:p>
          <w:p w14:paraId="72F8AE53" w14:textId="0E5BD1B5" w:rsidR="002F55A8" w:rsidRPr="00CC3478" w:rsidRDefault="002F55A8" w:rsidP="00B525EC">
            <w:pPr>
              <w:pStyle w:val="TableParagraph"/>
              <w:spacing w:before="108"/>
              <w:jc w:val="both"/>
              <w:rPr>
                <w:rFonts w:ascii="Times New Roman" w:hAnsi="Times New Roman"/>
                <w:color w:val="000000" w:themeColor="text1"/>
                <w:sz w:val="20"/>
                <w:szCs w:val="20"/>
              </w:rPr>
            </w:pPr>
            <w:r>
              <w:rPr>
                <w:rFonts w:ascii="Times New Roman" w:hAnsi="Times New Roman"/>
                <w:color w:val="000000" w:themeColor="text1"/>
                <w:sz w:val="20"/>
                <w:szCs w:val="20"/>
              </w:rPr>
              <w:t>COREP (OF): {C 03.00;0130;0010}</w:t>
            </w:r>
          </w:p>
          <w:p w14:paraId="49448C94" w14:textId="77777777" w:rsidR="00517EFA" w:rsidRPr="00CC3478" w:rsidRDefault="00517EFA" w:rsidP="00CC3478">
            <w:pPr>
              <w:pStyle w:val="Instructionsberschrift3"/>
              <w:numPr>
                <w:ilvl w:val="0"/>
                <w:numId w:val="0"/>
              </w:numPr>
              <w:ind w:left="288"/>
              <w:rPr>
                <w:rFonts w:eastAsiaTheme="minorHAnsi" w:cstheme="minorBidi"/>
                <w:u w:val="none"/>
              </w:rPr>
            </w:pPr>
            <w:r w:rsidRPr="00CC3478">
              <w:rPr>
                <w:rFonts w:eastAsiaTheme="minorHAnsi" w:cstheme="minorBidi"/>
                <w:u w:val="none"/>
              </w:rPr>
              <w:t>Az alábbi i. és ii. összege:</w:t>
            </w:r>
          </w:p>
          <w:p w14:paraId="65D1EF4B" w14:textId="15E802F2" w:rsidR="00517EFA" w:rsidRPr="00496909" w:rsidRDefault="00496909" w:rsidP="00496909">
            <w:pPr>
              <w:pStyle w:val="InstructionsText"/>
              <w:numPr>
                <w:ilvl w:val="0"/>
                <w:numId w:val="0"/>
              </w:numPr>
              <w:ind w:left="720"/>
              <w:rPr>
                <w:rFonts w:eastAsiaTheme="minorHAnsi"/>
              </w:rPr>
            </w:pPr>
            <w:r>
              <w:rPr>
                <w:rFonts w:eastAsiaTheme="minorHAnsi"/>
              </w:rPr>
              <w:lastRenderedPageBreak/>
              <w:t>i.</w:t>
            </w:r>
            <w:r>
              <w:rPr>
                <w:rFonts w:eastAsiaTheme="minorHAnsi"/>
              </w:rPr>
              <w:tab/>
            </w:r>
            <w:r w:rsidR="00517EFA" w:rsidRPr="00496909">
              <w:rPr>
                <w:rFonts w:eastAsiaTheme="minorHAnsi"/>
              </w:rPr>
              <w:t xml:space="preserve">az 575/2013/EU rendelet 92. cikke (1) bekezdésének c) pontjában meghatározott teljes tőkemegfelelési mutató (8 %); </w:t>
            </w:r>
          </w:p>
          <w:p w14:paraId="41D5EECE" w14:textId="2C66566D" w:rsidR="00517EFA" w:rsidRPr="00496909" w:rsidRDefault="00496909" w:rsidP="00496909">
            <w:pPr>
              <w:pStyle w:val="InstructionsText"/>
              <w:numPr>
                <w:ilvl w:val="0"/>
                <w:numId w:val="0"/>
              </w:numPr>
              <w:ind w:left="720"/>
              <w:rPr>
                <w:rFonts w:eastAsiaTheme="minorHAnsi"/>
              </w:rPr>
            </w:pPr>
            <w:r>
              <w:rPr>
                <w:rFonts w:eastAsiaTheme="minorHAnsi"/>
              </w:rPr>
              <w:t>ii.</w:t>
            </w:r>
            <w:r>
              <w:rPr>
                <w:rFonts w:eastAsiaTheme="minorHAnsi"/>
              </w:rPr>
              <w:tab/>
            </w:r>
            <w:r w:rsidR="00517EFA" w:rsidRPr="00496909">
              <w:rPr>
                <w:rFonts w:eastAsiaTheme="minorHAnsi"/>
              </w:rPr>
              <w:t>a kiegészítő szavatolótőke-követelmény (2. pillér szerinti követelmény, P2R) mutatója, amelyet a 2013/36/EU irányelv 104a. cikkével és a felügyeleti felülvizsgálati és értékelési eljárásra, valamint a felügyeleti stressztesztre vonatkozó közös eljárásokról és módszerekről szóló EBH-iránymutatásban (EBA Guidelines on common procedures and methodologies for the supervisory review and evaluation process and supervisory stress testing, EBA/GL/2014/13 – egységes szerkezetbe foglalt szöveg) meghatározott kritériumokkal összhangban kell meghatározni.</w:t>
            </w:r>
          </w:p>
          <w:p w14:paraId="47373784" w14:textId="77777777" w:rsidR="00517EFA" w:rsidRPr="00CC3478" w:rsidRDefault="00517EFA" w:rsidP="00CC3478">
            <w:pPr>
              <w:pStyle w:val="Instructionsberschrift3"/>
              <w:numPr>
                <w:ilvl w:val="0"/>
                <w:numId w:val="0"/>
              </w:numPr>
              <w:ind w:left="288"/>
              <w:rPr>
                <w:rFonts w:eastAsiaTheme="minorHAnsi" w:cstheme="minorBidi"/>
                <w:u w:val="none"/>
              </w:rPr>
            </w:pPr>
            <w:r w:rsidRPr="00CC3478">
              <w:rPr>
                <w:rFonts w:eastAsiaTheme="minorHAnsi" w:cstheme="minorBidi"/>
                <w:u w:val="none"/>
              </w:rPr>
              <w:t>Ennek a tételnek a SREP-tőkekövetelmény mutatót (TSCR) kell tükröznie, amelyet az illetékes hatóság közöl az intézménnyel. A TSCR az EBH SREP-iránymutatásának 1.2. szakaszában található.</w:t>
            </w:r>
          </w:p>
          <w:p w14:paraId="2C59A543" w14:textId="3663546D" w:rsidR="00517EFA" w:rsidRPr="00CC3478" w:rsidRDefault="00517EFA" w:rsidP="00CC3478">
            <w:pPr>
              <w:pStyle w:val="Instructionsberschrift3"/>
              <w:numPr>
                <w:ilvl w:val="0"/>
                <w:numId w:val="0"/>
              </w:numPr>
              <w:ind w:left="288"/>
              <w:rPr>
                <w:rFonts w:eastAsiaTheme="minorHAnsi" w:cstheme="minorBidi"/>
                <w:u w:val="none"/>
              </w:rPr>
            </w:pPr>
            <w:r w:rsidRPr="00CC3478">
              <w:rPr>
                <w:rFonts w:eastAsiaTheme="minorHAnsi" w:cstheme="minorBidi"/>
                <w:u w:val="none"/>
              </w:rPr>
              <w:t>Ha az illetékes hatóság nem közölt kiegészítő szavatolótőke-követelményeket, akkor</w:t>
            </w:r>
            <w:r w:rsidR="00CC3478" w:rsidRPr="00CC3478">
              <w:rPr>
                <w:rFonts w:eastAsiaTheme="minorHAnsi" w:cstheme="minorBidi"/>
                <w:u w:val="none"/>
              </w:rPr>
              <w:t xml:space="preserve"> csak az </w:t>
            </w:r>
            <w:r w:rsidRPr="00CC3478">
              <w:rPr>
                <w:rFonts w:eastAsiaTheme="minorHAnsi" w:cstheme="minorBidi"/>
                <w:u w:val="none"/>
              </w:rPr>
              <w:t>i. pontot kell jelenteni.</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TSCR: CET1 tőkekövetelmény-mutató </w:t>
            </w:r>
          </w:p>
          <w:p w14:paraId="57720E33" w14:textId="4A945EF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03.00;0140;0010}</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Az alábbi i. és ii. összege:</w:t>
            </w:r>
          </w:p>
          <w:p w14:paraId="4BDE836A" w14:textId="2D41E23C"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w:t>
            </w:r>
            <w:r>
              <w:tab/>
            </w:r>
            <w:r>
              <w:rPr>
                <w:rFonts w:ascii="Times New Roman" w:hAnsi="Times New Roman"/>
                <w:bCs/>
                <w:color w:val="000000" w:themeColor="text1"/>
                <w:sz w:val="20"/>
                <w:szCs w:val="20"/>
              </w:rPr>
              <w:t>az 575/2013/EU rendelet 92. cikke (1) bekezdésének a) pontjában meghatározott elsődleges alapvető tőkemegfelelési mutató (4,5 %);</w:t>
            </w:r>
          </w:p>
          <w:p w14:paraId="32645393" w14:textId="2900695D"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ii.</w:t>
            </w:r>
            <w:r>
              <w:tab/>
            </w:r>
            <w:r>
              <w:rPr>
                <w:rFonts w:ascii="Times New Roman" w:hAnsi="Times New Roman"/>
                <w:bCs/>
                <w:color w:val="000000" w:themeColor="text1"/>
                <w:sz w:val="20"/>
                <w:szCs w:val="20"/>
              </w:rPr>
              <w:t>a 0300. sor ii. pontjában említett kiegészítő szavatolótőke-követelmény (P2R) mutatójának azon része, amely az illetékes hatóság által előírtak szerint elsődleges alapvető tőke (CET1) tőke formájában tartandó.</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Ha az illetékes hatóság nem közölt CET1 tőke formájában fenntartandó kiegészítő szavatolótőke-követelményeket, akkor csak az i. pontot kell jelenteni.</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7D26C1CD" w:rsidR="00122E1B" w:rsidRPr="00AB6822" w:rsidRDefault="00AB6822" w:rsidP="00496909">
            <w:pPr>
              <w:pStyle w:val="InstructionsText"/>
              <w:numPr>
                <w:ilvl w:val="0"/>
                <w:numId w:val="0"/>
              </w:numPr>
              <w:ind w:left="33"/>
              <w:rPr>
                <w:rFonts w:eastAsiaTheme="minorHAnsi"/>
              </w:rPr>
            </w:pPr>
            <w:r>
              <w:rPr>
                <w:rFonts w:eastAsiaTheme="minorHAnsi"/>
              </w:rPr>
              <w:t>iii.</w:t>
            </w:r>
            <w:r w:rsidR="00122E1B" w:rsidRPr="00AB6822">
              <w:rPr>
                <w:rFonts w:eastAsiaTheme="minorHAnsi"/>
              </w:rPr>
              <w:t>TSCR: T1 tőkekövetelmény-mutató</w:t>
            </w:r>
          </w:p>
          <w:p w14:paraId="4A23431E" w14:textId="3ECD5881" w:rsidR="002F55A8" w:rsidRPr="00AB6822" w:rsidRDefault="002F55A8" w:rsidP="00B525EC">
            <w:pPr>
              <w:pStyle w:val="TableParagraph"/>
              <w:spacing w:before="108"/>
              <w:jc w:val="both"/>
              <w:rPr>
                <w:rFonts w:ascii="Times New Roman" w:hAnsi="Times New Roman"/>
                <w:bCs/>
                <w:color w:val="000000" w:themeColor="text1"/>
                <w:sz w:val="20"/>
                <w:szCs w:val="20"/>
              </w:rPr>
            </w:pPr>
            <w:r w:rsidRPr="00AB6822">
              <w:rPr>
                <w:rFonts w:ascii="Times New Roman" w:hAnsi="Times New Roman"/>
                <w:bCs/>
                <w:color w:val="000000" w:themeColor="text1"/>
                <w:sz w:val="20"/>
                <w:szCs w:val="20"/>
              </w:rPr>
              <w:t>COREP (OF): {C 03.00;0150;0010}</w:t>
            </w:r>
          </w:p>
          <w:p w14:paraId="45D2BC66" w14:textId="77777777" w:rsidR="00122E1B" w:rsidRPr="00AB6822" w:rsidRDefault="00122E1B" w:rsidP="00496909">
            <w:pPr>
              <w:pStyle w:val="InstructionsText"/>
              <w:numPr>
                <w:ilvl w:val="0"/>
                <w:numId w:val="0"/>
              </w:numPr>
              <w:rPr>
                <w:rFonts w:eastAsiaTheme="minorHAnsi"/>
              </w:rPr>
            </w:pPr>
            <w:r w:rsidRPr="00AB6822">
              <w:rPr>
                <w:rFonts w:eastAsiaTheme="minorHAnsi"/>
              </w:rPr>
              <w:t>Az alábbi i. és ii. összege:</w:t>
            </w:r>
          </w:p>
          <w:p w14:paraId="4092817A" w14:textId="6AD105C9" w:rsidR="00122E1B" w:rsidRPr="00AB6822" w:rsidRDefault="00496909" w:rsidP="00496909">
            <w:pPr>
              <w:pStyle w:val="InstructionsText"/>
              <w:numPr>
                <w:ilvl w:val="0"/>
                <w:numId w:val="0"/>
              </w:numPr>
              <w:ind w:left="33"/>
              <w:rPr>
                <w:rFonts w:eastAsiaTheme="minorHAnsi"/>
              </w:rPr>
            </w:pPr>
            <w:r>
              <w:rPr>
                <w:rFonts w:eastAsiaTheme="minorHAnsi"/>
              </w:rPr>
              <w:t>i.</w:t>
            </w:r>
            <w:r>
              <w:rPr>
                <w:rFonts w:eastAsiaTheme="minorHAnsi"/>
              </w:rPr>
              <w:tab/>
            </w:r>
            <w:r w:rsidR="00122E1B" w:rsidRPr="00AB6822">
              <w:rPr>
                <w:rFonts w:eastAsiaTheme="minorHAnsi"/>
              </w:rPr>
              <w:t>az 575/2013/EU rendelet 92. cikke (1) bekezdésének b) pontjában meghatározott alapvető tőkemegfelelési mutató (6 %);</w:t>
            </w:r>
          </w:p>
          <w:p w14:paraId="4F7DF8CA" w14:textId="401FD35C" w:rsidR="00122E1B" w:rsidRPr="00AB6822" w:rsidRDefault="00496909" w:rsidP="00496909">
            <w:pPr>
              <w:pStyle w:val="InstructionsText"/>
              <w:numPr>
                <w:ilvl w:val="0"/>
                <w:numId w:val="0"/>
              </w:numPr>
              <w:ind w:left="33"/>
              <w:rPr>
                <w:rFonts w:eastAsiaTheme="minorHAnsi"/>
              </w:rPr>
            </w:pPr>
            <w:r>
              <w:rPr>
                <w:rFonts w:eastAsiaTheme="minorHAnsi"/>
              </w:rPr>
              <w:t>ii.</w:t>
            </w:r>
            <w:r>
              <w:rPr>
                <w:rFonts w:eastAsiaTheme="minorHAnsi"/>
              </w:rPr>
              <w:tab/>
            </w:r>
            <w:r w:rsidR="00122E1B" w:rsidRPr="00AB6822">
              <w:rPr>
                <w:rFonts w:eastAsiaTheme="minorHAnsi"/>
              </w:rPr>
              <w:t>a 0300 sor ii. pontjában említett kiegészítő szavatolótőke-követelmény (P2R) mutatójának azon része, amely az illetékes hatóság által előírtak szerint alapvető tőke (Tier 1) formájában tartandó.</w:t>
            </w:r>
          </w:p>
          <w:p w14:paraId="2EBE448F" w14:textId="77777777" w:rsidR="00122E1B" w:rsidRPr="00AB6822" w:rsidRDefault="00122E1B" w:rsidP="00B525EC">
            <w:pPr>
              <w:pStyle w:val="TableParagraph"/>
              <w:spacing w:before="108"/>
              <w:jc w:val="both"/>
              <w:rPr>
                <w:rFonts w:ascii="Times New Roman" w:hAnsi="Times New Roman"/>
                <w:bCs/>
                <w:color w:val="000000" w:themeColor="text1"/>
                <w:sz w:val="20"/>
                <w:szCs w:val="20"/>
              </w:rPr>
            </w:pPr>
            <w:r w:rsidRPr="00AB6822">
              <w:rPr>
                <w:rFonts w:ascii="Times New Roman" w:hAnsi="Times New Roman"/>
                <w:bCs/>
                <w:color w:val="000000" w:themeColor="text1"/>
                <w:sz w:val="20"/>
                <w:szCs w:val="20"/>
              </w:rPr>
              <w:t>Ha az illetékes hatóság nem közölt T1 tőke formájában tartandó kiegészítő szavatolótőke-követelményeket, akkor csak az i. pontot kell jelenteni.</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Kombinált pufferkövetelmények</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2013/36/EU irányelv 128. cikkének 6. pontja.</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04.00;0740;0010}</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Tőkefenntartási puffer</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2013/36/EU irányelv 128. cikkének 1. pontja és 129. cikke.</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COREP (OF): {C 04.00;750;010}).</w:t>
            </w:r>
          </w:p>
          <w:p w14:paraId="1B46E15E" w14:textId="602AE68A"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Az említett irányelv 129. cikkének (1) bekezdése szerint a tőkefenntartási puffer CET1 tőkén felüli CET1 tőkeelemekből áll. Mivel a tőkefenntartási puffer 2,5 %-os mértéke állandó, ebben a cellában összeget kell feltüntetni.</w:t>
            </w:r>
          </w:p>
          <w:p w14:paraId="09409E4E" w14:textId="77777777" w:rsidR="00046CD0" w:rsidRPr="009B4613"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A tagállamok szintjén azonosított makroprudenciális vagy rendszerkockázatokra képzett tőkefenntartási puffer</w:t>
            </w:r>
          </w:p>
          <w:p w14:paraId="76B66FEC" w14:textId="77777777" w:rsidR="005337DD" w:rsidRPr="009B4613" w:rsidRDefault="005337DD" w:rsidP="00B525EC">
            <w:pPr>
              <w:rPr>
                <w:rStyle w:val="InstructionsTabelleberschrift"/>
                <w:rFonts w:ascii="Times New Roman" w:hAnsi="Times New Roman"/>
                <w:color w:val="000000" w:themeColor="text1"/>
                <w:szCs w:val="20"/>
                <w:u w:val="none"/>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Az 575/2013/EU rendelet 458. cikke (2) bekezdése d) pontjának iv. alpontja.</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z w:val="20"/>
                <w:szCs w:val="20"/>
              </w:rPr>
              <w:t>COREP (OF): {C 04.00;760;010}).</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Ebben a cellában a tagállamok szintjén azonosított azon makroprudenciális vagy rendszerkockázatokra képzett tőkefenntartási puffer értékét kell feltüntetni, amely az 575/2013/EU rendelet 458. cikkével összhangban a tőkefenntartási pufferen felül kérhető.</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A feltüntetett összeg a vonatkozó tőkepuffer-követelményeknek az adatszolgáltatás időpontjában való teljesítéséhez szükséges szavatolótőke összege.</w:t>
            </w:r>
          </w:p>
          <w:p w14:paraId="30AC9E9B" w14:textId="77777777" w:rsidR="005337DD" w:rsidRPr="009B4613"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Intézményspecifikus anticiklikus tőkepuffer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2013/36/EU irányelv 128. cikkének 2. pontja, 130. cikke, továbbá 135–140. cikke.</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(Lásd: COREP (OF): {C 04.00;770;010}).</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feltüntetett összeg a vonatkozó tőkepuffer-követelményeknek az adatszolgáltatás időpontjában való teljesítéséhez szükséges szavatolótőke összege.</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Rendszerkockázati tőkepuffer</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2013/36/EU irányelv 128. cikkének 5. pontja, 133. és 134. cikke.</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(Lásd: COREP (OF): {C 04.00;780;010}).</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feltüntetett összeg a vonatkozó tőkepuffer-követelményeknek az adatszolgáltatás időpontjában való teljesítéséhez szükséges szavatolótőke összege.</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Globálisan rendszerszinten jelentős intézményekre vonatkozó tőkepuffer</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2013/36/EU irányelv 128. cikkének 3. pontja és 131. cikke.</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04.00;800;010}</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feltüntetett összeg a vonatkozó tőkepuffer-követelményeknek az adatszolgáltatás időpontjában való teljesítéséhez szükséges szavatolótőke összege.</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Egyéb rendszerszinten jelentős intézményekre vonatkozó tőkepuffer</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2013/36/EU irányelv 128. cikkének 4. pontja és 131. cikke.</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04.00;810;010}</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feltüntetett összeg a vonatkozó tőkepuffer-követelményeknek az adatszolgáltatás időpontjában való teljesítéséhez szükséges szavatolótőke összege.</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Teljestőkekövetelmény-mutató (OCR-mutató)</w:t>
            </w:r>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03.00;160;010}</w:t>
            </w:r>
          </w:p>
          <w:p w14:paraId="338006B0" w14:textId="77777777" w:rsidR="00B77E4E" w:rsidRPr="00D92B3C" w:rsidRDefault="00B77E4E" w:rsidP="00496909">
            <w:pPr>
              <w:pStyle w:val="InstructionsText"/>
              <w:numPr>
                <w:ilvl w:val="0"/>
                <w:numId w:val="0"/>
              </w:numPr>
              <w:ind w:left="221"/>
              <w:rPr>
                <w:rFonts w:cs="Times New Roman"/>
              </w:rPr>
            </w:pPr>
            <w:r>
              <w:t>Az alábbi i. és ii. összege:</w:t>
            </w:r>
          </w:p>
          <w:p w14:paraId="518D69CD" w14:textId="4B52E540" w:rsidR="00B77E4E" w:rsidRPr="00D92B3C" w:rsidRDefault="00496909" w:rsidP="00496909">
            <w:pPr>
              <w:pStyle w:val="InstructionsText"/>
              <w:numPr>
                <w:ilvl w:val="0"/>
                <w:numId w:val="0"/>
              </w:numPr>
              <w:ind w:left="33"/>
              <w:rPr>
                <w:rFonts w:cs="Times New Roman"/>
              </w:rPr>
            </w:pPr>
            <w:r>
              <w:t>i.</w:t>
            </w:r>
            <w:r>
              <w:tab/>
            </w:r>
            <w:r w:rsidR="00B77E4E">
              <w:t>a 0300. sorban említett TSCR-mutató;</w:t>
            </w:r>
          </w:p>
          <w:p w14:paraId="3920AB79" w14:textId="6B43BF8B" w:rsidR="00B77E4E" w:rsidRPr="00D92B3C" w:rsidRDefault="00496909" w:rsidP="00496909">
            <w:pPr>
              <w:pStyle w:val="InstructionsText"/>
              <w:numPr>
                <w:ilvl w:val="0"/>
                <w:numId w:val="0"/>
              </w:numPr>
              <w:ind w:left="33"/>
              <w:rPr>
                <w:rFonts w:cs="Times New Roman"/>
              </w:rPr>
            </w:pPr>
            <w:r>
              <w:t>ii.</w:t>
            </w:r>
            <w:r>
              <w:tab/>
            </w:r>
            <w:r w:rsidR="00B77E4E">
              <w:t>amennyiben jogilag alkalmazható, a 2013/36/EU irányelv 128. cikkének 6. pontjában említett kombinált pufferkövetelmény mutatója.</w:t>
            </w:r>
          </w:p>
          <w:p w14:paraId="355F1E2B" w14:textId="3160F130" w:rsidR="00B77E4E" w:rsidRPr="00D92B3C" w:rsidRDefault="00B77E4E" w:rsidP="00496909">
            <w:pPr>
              <w:pStyle w:val="InstructionsText"/>
              <w:numPr>
                <w:ilvl w:val="0"/>
                <w:numId w:val="0"/>
              </w:numPr>
              <w:rPr>
                <w:rFonts w:cs="Times New Roman"/>
              </w:rPr>
            </w:pPr>
            <w:r>
              <w:lastRenderedPageBreak/>
              <w:t>Ennek a tételnek az EBH SREP-iránymutatásának 1.2. szakaszában meghatározott teljes tőkekövetelményt (OCR) kell tükröznie.</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Ha nem alkalmazandó pufferkövetelmény, csak az i. pontot kell megadni.</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CET1 tőkekövetelmény-mutató</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03.00;170;010}</w:t>
            </w:r>
          </w:p>
          <w:p w14:paraId="46842D1E" w14:textId="77777777" w:rsidR="004E1838" w:rsidRPr="00D92B3C" w:rsidRDefault="004E1838" w:rsidP="00496909">
            <w:pPr>
              <w:pStyle w:val="InstructionsText"/>
              <w:numPr>
                <w:ilvl w:val="0"/>
                <w:numId w:val="0"/>
              </w:numPr>
              <w:rPr>
                <w:rFonts w:cs="Times New Roman"/>
              </w:rPr>
            </w:pPr>
            <w:r>
              <w:t>Az alábbi i. és ii. összege:</w:t>
            </w:r>
          </w:p>
          <w:p w14:paraId="57C3C525" w14:textId="2E301A8C" w:rsidR="004E1838" w:rsidRPr="00D92B3C" w:rsidRDefault="00D028B3" w:rsidP="00D028B3">
            <w:pPr>
              <w:pStyle w:val="InstructionsText"/>
              <w:numPr>
                <w:ilvl w:val="0"/>
                <w:numId w:val="0"/>
              </w:numPr>
              <w:ind w:left="33"/>
              <w:rPr>
                <w:rFonts w:cs="Times New Roman"/>
              </w:rPr>
            </w:pPr>
            <w:r>
              <w:t>i.</w:t>
            </w:r>
            <w:r>
              <w:tab/>
            </w:r>
            <w:r w:rsidR="004E1838">
              <w:t>a 0310. sorban említett CET1 tőke alkotta TSCR-mutató;</w:t>
            </w:r>
          </w:p>
          <w:p w14:paraId="0C6EEFD7" w14:textId="5C13FA59" w:rsidR="004E1838" w:rsidRPr="00D92B3C" w:rsidRDefault="00D028B3" w:rsidP="00D028B3">
            <w:pPr>
              <w:pStyle w:val="InstructionsText"/>
              <w:numPr>
                <w:ilvl w:val="0"/>
                <w:numId w:val="0"/>
              </w:numPr>
              <w:ind w:left="33"/>
              <w:rPr>
                <w:rFonts w:cs="Times New Roman"/>
                <w:bCs/>
                <w:u w:val="single"/>
              </w:rPr>
            </w:pPr>
            <w:r>
              <w:t>ii.</w:t>
            </w:r>
            <w:r>
              <w:tab/>
            </w:r>
            <w:r w:rsidR="004E1838">
              <w:t>amennyiben jogilag alkalmazható, a 2013/36/EU irányelv 128. cikkének 6. pontjában említett kombinált pufferkövetelmény mutatója.</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Ha nem alkalmazandó pufferkövetelmény, csak az i. pontot kell megadni.</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T1 tőkekövetelmény-mutató</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03.00;180;010}</w:t>
            </w:r>
          </w:p>
          <w:p w14:paraId="053307FF" w14:textId="77777777" w:rsidR="004E1838" w:rsidRPr="00D92B3C" w:rsidRDefault="004E1838" w:rsidP="00496909">
            <w:pPr>
              <w:pStyle w:val="InstructionsText"/>
              <w:numPr>
                <w:ilvl w:val="0"/>
                <w:numId w:val="0"/>
              </w:numPr>
              <w:ind w:left="221"/>
              <w:rPr>
                <w:rFonts w:cs="Times New Roman"/>
              </w:rPr>
            </w:pPr>
            <w:r>
              <w:t>Az alábbi i. és ii. összege:</w:t>
            </w:r>
          </w:p>
          <w:p w14:paraId="11C681EE" w14:textId="4F826A78" w:rsidR="004E1838" w:rsidRPr="00D92B3C" w:rsidRDefault="00D028B3" w:rsidP="00D028B3">
            <w:pPr>
              <w:pStyle w:val="InstructionsText"/>
              <w:numPr>
                <w:ilvl w:val="0"/>
                <w:numId w:val="0"/>
              </w:numPr>
              <w:ind w:left="33"/>
              <w:rPr>
                <w:rFonts w:cs="Times New Roman"/>
              </w:rPr>
            </w:pPr>
            <w:r>
              <w:t>i.</w:t>
            </w:r>
            <w:r>
              <w:tab/>
            </w:r>
            <w:r w:rsidR="004E1838">
              <w:t>a 0320. sorban említett T1 tőke alkotta TSCR-mutató;</w:t>
            </w:r>
          </w:p>
          <w:p w14:paraId="07733519" w14:textId="71B47755" w:rsidR="004E1838" w:rsidRPr="00D92B3C" w:rsidRDefault="00D028B3" w:rsidP="00D028B3">
            <w:pPr>
              <w:pStyle w:val="InstructionsText"/>
              <w:numPr>
                <w:ilvl w:val="0"/>
                <w:numId w:val="0"/>
              </w:numPr>
              <w:ind w:left="33"/>
              <w:rPr>
                <w:rFonts w:cs="Times New Roman"/>
                <w:bCs/>
                <w:u w:val="single"/>
              </w:rPr>
            </w:pPr>
            <w:r>
              <w:t>ii.</w:t>
            </w:r>
            <w:r>
              <w:tab/>
            </w:r>
            <w:r w:rsidR="004E1838">
              <w:t>amennyiben jogilag alkalmazható, a 2013/36/EU irányelv 128. cikkének 6. pontjában említett kombinált pufferkövetelmény mutatója.</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Ha nem alkalmazandó pufferkövetelmény, csak az i. pontot kell megadni.</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és 2. pillér szerinti tőke-iránymutatás (P2G)</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03.00;190;010}</w:t>
            </w:r>
          </w:p>
          <w:p w14:paraId="64543DA2" w14:textId="77777777" w:rsidR="00B27F8F" w:rsidRPr="00D92B3C" w:rsidRDefault="00B27F8F" w:rsidP="00496909">
            <w:pPr>
              <w:pStyle w:val="InstructionsText"/>
              <w:numPr>
                <w:ilvl w:val="0"/>
                <w:numId w:val="0"/>
              </w:numPr>
              <w:rPr>
                <w:rFonts w:cs="Times New Roman"/>
              </w:rPr>
            </w:pPr>
            <w:r>
              <w:t>Az alábbi i. és ii. összege:</w:t>
            </w:r>
          </w:p>
          <w:p w14:paraId="0ECD6318" w14:textId="0DCA9CA7" w:rsidR="00B27F8F" w:rsidRPr="00D92B3C" w:rsidRDefault="00D028B3" w:rsidP="00D028B3">
            <w:pPr>
              <w:pStyle w:val="InstructionsText"/>
              <w:numPr>
                <w:ilvl w:val="0"/>
                <w:numId w:val="0"/>
              </w:numPr>
              <w:ind w:left="33"/>
              <w:rPr>
                <w:rFonts w:cs="Times New Roman"/>
              </w:rPr>
            </w:pPr>
            <w:r>
              <w:t>i.</w:t>
            </w:r>
            <w:r>
              <w:tab/>
            </w:r>
            <w:r w:rsidR="00B27F8F">
              <w:t>a 0500. sorban említett OCR-mutató;</w:t>
            </w:r>
          </w:p>
          <w:p w14:paraId="785F5121" w14:textId="052E8B53" w:rsidR="00B27F8F" w:rsidRPr="00D92B3C" w:rsidRDefault="00D028B3" w:rsidP="00D028B3">
            <w:pPr>
              <w:pStyle w:val="InstructionsText"/>
              <w:numPr>
                <w:ilvl w:val="0"/>
                <w:numId w:val="0"/>
              </w:numPr>
              <w:ind w:left="33"/>
              <w:rPr>
                <w:rFonts w:cs="Times New Roman"/>
                <w:bCs/>
                <w:u w:val="single"/>
              </w:rPr>
            </w:pPr>
            <w:r>
              <w:t>ii.</w:t>
            </w:r>
            <w:r>
              <w:tab/>
            </w:r>
            <w:r w:rsidR="00B27F8F">
              <w:t>ahol alkalmazandó, az EBA SREP GL-ben meghatározott 2. pillér szerinti tőke-iránymutatás (P2G). A P2G-t csak akkor kell feltüntetni, ha azt az illetékes hatóság közli az intézménnyel.</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Ha az illetékes hatóság nem közölt ilyen iránymutatást, akkor csak az i. pontot kell jelenteni.</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CET1 tőkekövetelmény-mutató</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03.00;200;010}</w:t>
            </w:r>
          </w:p>
          <w:p w14:paraId="05132510" w14:textId="77777777" w:rsidR="00B27F8F" w:rsidRPr="00D92B3C" w:rsidRDefault="00B27F8F" w:rsidP="00496909">
            <w:pPr>
              <w:pStyle w:val="InstructionsText"/>
              <w:numPr>
                <w:ilvl w:val="0"/>
                <w:numId w:val="0"/>
              </w:numPr>
              <w:rPr>
                <w:rFonts w:cs="Times New Roman"/>
              </w:rPr>
            </w:pPr>
            <w:r>
              <w:t>Az alábbi i. és ii. összege:</w:t>
            </w:r>
          </w:p>
          <w:p w14:paraId="4A819993" w14:textId="160332B7" w:rsidR="00B27F8F" w:rsidRPr="00D92B3C" w:rsidRDefault="00D028B3" w:rsidP="00D028B3">
            <w:pPr>
              <w:pStyle w:val="InstructionsText"/>
              <w:numPr>
                <w:ilvl w:val="0"/>
                <w:numId w:val="0"/>
              </w:numPr>
              <w:ind w:left="33"/>
              <w:rPr>
                <w:rFonts w:cs="Times New Roman"/>
              </w:rPr>
            </w:pPr>
            <w:r>
              <w:t>i.</w:t>
            </w:r>
            <w:r>
              <w:tab/>
            </w:r>
            <w:r w:rsidR="00B27F8F">
              <w:t>a 0510. sorban említett CET1 tőkéből képzendő OCR mutató;</w:t>
            </w:r>
          </w:p>
          <w:p w14:paraId="68ED702C" w14:textId="459AE1F5" w:rsidR="00B27F8F" w:rsidRPr="00D92B3C" w:rsidRDefault="00D028B3" w:rsidP="00D028B3">
            <w:pPr>
              <w:pStyle w:val="InstructionsText"/>
              <w:numPr>
                <w:ilvl w:val="0"/>
                <w:numId w:val="0"/>
              </w:numPr>
              <w:ind w:left="33"/>
              <w:rPr>
                <w:rFonts w:cs="Times New Roman"/>
                <w:bCs/>
                <w:u w:val="single"/>
              </w:rPr>
            </w:pPr>
            <w:r>
              <w:t>ii.</w:t>
            </w:r>
            <w:r>
              <w:tab/>
            </w:r>
            <w:r w:rsidR="00B27F8F">
              <w:t>adott esetben a 0600. sor ii. pontjában említett P2G azon része, amelyet az illetékes hatóság előírása szerint CET1 tőke formájában kell fenntartani. A P2G csak akkor vehető figyelembe, ha az illetékes hatóság azt közölte az intézménnyel.</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Ha az illetékes hatóság nem közölt ilyen iránymutatást, akkor csak az i. pontot kell jelenteni.</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és P2G: T1 tőkekövetelmény-mutató</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03.00;210;010}</w:t>
            </w:r>
          </w:p>
          <w:p w14:paraId="3FBB27DD" w14:textId="77777777" w:rsidR="00B27F8F" w:rsidRPr="00D92B3C" w:rsidRDefault="00B27F8F" w:rsidP="00496909">
            <w:pPr>
              <w:pStyle w:val="InstructionsText"/>
              <w:numPr>
                <w:ilvl w:val="0"/>
                <w:numId w:val="0"/>
              </w:numPr>
              <w:rPr>
                <w:rFonts w:cs="Times New Roman"/>
              </w:rPr>
            </w:pPr>
            <w:r>
              <w:t>Az alábbi i. és ii. összege:</w:t>
            </w:r>
          </w:p>
          <w:p w14:paraId="09F52B98" w14:textId="268DEA37" w:rsidR="00B27F8F" w:rsidRPr="00D92B3C" w:rsidRDefault="00D028B3" w:rsidP="00D028B3">
            <w:pPr>
              <w:pStyle w:val="InstructionsText"/>
              <w:numPr>
                <w:ilvl w:val="0"/>
                <w:numId w:val="0"/>
              </w:numPr>
              <w:ind w:left="33"/>
              <w:rPr>
                <w:rFonts w:cs="Times New Roman"/>
              </w:rPr>
            </w:pPr>
            <w:r>
              <w:t>i.</w:t>
            </w:r>
            <w:r>
              <w:tab/>
            </w:r>
            <w:r w:rsidR="00B27F8F">
              <w:t>a 0520. sorban említett, T1 tőke alkotta OCR-mutató;</w:t>
            </w:r>
          </w:p>
          <w:p w14:paraId="1D9625AF" w14:textId="0C2B7AC7" w:rsidR="00B27F8F" w:rsidRPr="00D92B3C" w:rsidRDefault="00D028B3" w:rsidP="00D028B3">
            <w:pPr>
              <w:pStyle w:val="InstructionsText"/>
              <w:numPr>
                <w:ilvl w:val="0"/>
                <w:numId w:val="0"/>
              </w:numPr>
              <w:ind w:left="33"/>
              <w:rPr>
                <w:rFonts w:cs="Times New Roman"/>
              </w:rPr>
            </w:pPr>
            <w:r>
              <w:lastRenderedPageBreak/>
              <w:t>ii.</w:t>
            </w:r>
            <w:r>
              <w:tab/>
            </w:r>
            <w:r w:rsidR="00B27F8F">
              <w:t>adott esetben a 600. sor ii. pontjában említett P2G azon része, amelyet az illetékes hatóság T1 tőke formájában követel fenntartani. A P2G csak akkor vehető figyelembe, ha az illetékes hatóság azt közölte az intézménnyel.</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Ha az illetékes hatóság nem közölt ilyen iránymutatást, akkor csak az i. pontot kell jelenteni.</w:t>
            </w:r>
          </w:p>
        </w:tc>
      </w:tr>
    </w:tbl>
    <w:p w14:paraId="4396EC85" w14:textId="77777777" w:rsidR="00FE3E96" w:rsidRPr="009B4613" w:rsidRDefault="00FE3E96" w:rsidP="00E13CE3">
      <w:pPr>
        <w:rPr>
          <w:rFonts w:ascii="Times New Roman" w:hAnsi="Times New Roman" w:cs="Times New Roman"/>
          <w:color w:val="000000" w:themeColor="text1"/>
          <w:sz w:val="20"/>
          <w:szCs w:val="20"/>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96187374"/>
      <w:r>
        <w:rPr>
          <w:rFonts w:ascii="Times New Roman" w:hAnsi="Times New Roman"/>
          <w:szCs w:val="20"/>
        </w:rPr>
        <w:t>Z 04.00 - Csoporton belüli pénzügyi kapcsolódások (IFC)</w:t>
      </w:r>
      <w:bookmarkEnd w:id="16"/>
      <w:bookmarkEnd w:id="17"/>
    </w:p>
    <w:p w14:paraId="651647D3" w14:textId="77777777" w:rsidR="00E13CE3" w:rsidRPr="00D92B3C" w:rsidRDefault="00AD2380" w:rsidP="00EC261B">
      <w:pPr>
        <w:pStyle w:val="Instructionsberschrift3"/>
      </w:pPr>
      <w:r>
        <w:t>Általános megjegyzések</w:t>
      </w:r>
    </w:p>
    <w:p w14:paraId="22CE4358" w14:textId="77777777" w:rsidR="00E13CE3" w:rsidRPr="00D92B3C" w:rsidRDefault="00E13CE3" w:rsidP="00496909">
      <w:pPr>
        <w:pStyle w:val="InstructionsText2"/>
        <w:rPr>
          <w:rFonts w:cs="Times New Roman"/>
        </w:rPr>
      </w:pPr>
      <w:r>
        <w:t xml:space="preserve">Ebben a táblában a hitelezői feltőkésítésből ki nem zárt csoporton belüli kötelezettségekre, tőkeeszközökre és garanciákra vonatkozó információkat kell megadni. </w:t>
      </w:r>
    </w:p>
    <w:p w14:paraId="5DFA4AB4" w14:textId="77777777" w:rsidR="00395330" w:rsidRPr="00D92B3C" w:rsidRDefault="00395330" w:rsidP="00496909">
      <w:pPr>
        <w:pStyle w:val="InstructionsText2"/>
        <w:rPr>
          <w:rFonts w:cs="Times New Roman"/>
        </w:rPr>
      </w:pPr>
      <w:r>
        <w:t>A konszolidált pénzügyi kimutatásokban szereplő érintett szervezetek közötti összes pénzügyi kapcsolódást fel kell tüntetni. A jelentett összegeket összesíteni kell, amennyiben azok ugyanazon partnerekre (kibocsátó vagy garantált intézmény, hitelező, tulajdonos vagy garancianyújtó) és ugyanazon kötelezettség-, tőkeinstrumentum- vagy garanciatípusokra vonatkoznak.</w:t>
      </w:r>
    </w:p>
    <w:p w14:paraId="6610BD05" w14:textId="77777777" w:rsidR="00E13CE3" w:rsidRPr="00D92B3C" w:rsidRDefault="00E13CE3" w:rsidP="00496909">
      <w:pPr>
        <w:pStyle w:val="InstructionsText2"/>
        <w:rPr>
          <w:rFonts w:cs="Times New Roman"/>
        </w:rPr>
      </w:pPr>
      <w:r>
        <w:t>Az e tábla 0020., 0040. és 0050. oszlopában feltüntetett értékek kombinációja elsődleges kulcsot képez, amelynek a tábla minden sorát egyedileg kell azonosítania.</w:t>
      </w:r>
    </w:p>
    <w:p w14:paraId="2B305CA8" w14:textId="77777777" w:rsidR="00E13CE3" w:rsidRPr="00D92B3C" w:rsidRDefault="00E13CE3" w:rsidP="00715DAB">
      <w:pPr>
        <w:pStyle w:val="Instructionsberschrift3"/>
      </w:pPr>
      <w:r>
        <w:t>A tábla egyes részeire vonatkozó útmutató</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Oszlopok</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Útmutató</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Kibocsátó vagy garantált szervezet</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kötelezettségeket vagy tőkeinstrumentumokat kibocsátó szervezet vagy a garantált szervezet.</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Szervezet neve </w:t>
            </w:r>
          </w:p>
          <w:p w14:paraId="1F5428C4" w14:textId="29A3ECCC"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Nem lehet azonos a 0030. oszlopban megadott névvel.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Kód</w:t>
            </w:r>
          </w:p>
          <w:p w14:paraId="15332D51" w14:textId="0D73A323"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kibocsátó vagy a garantált szervezet kódja. Intézmények esetében a kód a 20 jegyű, alfanumerikus LEI-kód. Más szervezetek esetében a kód a 20 jegyű, alfanumerikus LEI-kód, vagy ha nem áll rendelkezésre, az Unióban alkalmazandó egységes kódrendszer szerinti kód, vagy ha ez sem áll rendelkezésre, valamely nemzeti kód.</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kódnak egyedinek kell lennie, és azt valamennyi táblán következetesen kell használni.</w:t>
            </w:r>
          </w:p>
          <w:p w14:paraId="30F154D7" w14:textId="0E0670D0"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Nem lehet azonos a 0040. oszlopban megadott kóddal.</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Hitelező, tulajdonos vagy garancianyújtó</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a szervezet, amely a kötelezettség tekintetében hitelező, vagy a tőkeinstrumentum tulajdonosa vagy a garancia nyújtója.</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Szervezet neve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Nem lehet azonos a 0010. oszlopban megadott névvel.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Kód</w:t>
            </w:r>
          </w:p>
          <w:p w14:paraId="6C3E2486" w14:textId="193988EF"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hitelező, tulajdonos vagy garancianyújtó kódja. Intézmények esetében a kód a 20 jegyű, alfanumerikus LEI-kód. Más szervezetek esetében a kód a 20 jegyű, alfanumerikus LEI-kód, vagy ha nem áll rendelkezésre, az Unióban alkalmazandó egységes kódrendszer szerinti kód, vagy ha ez sem áll rendelkezésre, valamely nemzeti kód.</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kódnak egyedinek kell lennie, és azt valamennyi táblán következetesen kell használni.</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Nem lehet azonos a 0020. oszlopban megadott kóddal.</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 xml:space="preserve">0050–0080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Pénzügyi kapcsolódás</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Ebben a mezőben kell leírni a releváns szervezetek közötti pénzügyi kapcsolatot.</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Típus</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következő listából választandó:</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Csoporton belüli kötelezettségek</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Nem biztosított, de elsőbbségi betétek</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Ugyanaz a meghatározás, mint a Z 02.00 (LIAB), 0310. sorában</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Nem biztosított és nem elsőbbségi betétek</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Ugyanaz a meghatározás, mint a Z 02.00 (LIAB), 0320. sorában</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Származtatott ügyletekből eredő kötelezettségek (lezárási összegek)</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Ugyanaz a meghatározás, mint a Z 02.00 (LIAB), 0330. sorában</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Biztosítékkal fedezett kötelezettségek – nem fedezett rész</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Ugyanaz a meghatározás, mint a Z 02.00 (LIAB), 0340. sorában</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Strukturált értékpapírok</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Ugyanaz a meghatározás, mint a Z 02.00 (LIAB), 0350. sorában</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Előresorolt, biztosíték nélküli kötelezettségek</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Ugyanaz a meghatározás, mint a Z 02.00 (LIAB), 0360. sorában</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Előresorolt, nem elsőbbségi kötelezettségek</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Ugyanaz a meghatározás, mint a Z 02.00 (LIAB), 0365. sorában</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Alárendelt kötelezettségek</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Ugyanaz a meghatározás, mint a Z 02.00 (LIAB), 0370. sorában</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MREL szempontjából figyelembe vehető egyéb kötelezettségek</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Ugyanaz a meghatározás, mint a Z 02.00 (LIAB), 0380. sorában</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Nem pénzügyi kötelezettségek</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Ugyanaz a meghatározás, mint a Z 02.00 (LIAB), 0390. sorában</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Egyéb kötelezettségek</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Ugyanaz a meghatározás, mint a Z 02.00 (LIAB), 0400. sorában Bármely, az előző tétel által le nem fedett kötelezettség.</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Járulékos tőke (Tier 2)</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Ugyanaz a meghatározás, mint a Z 02.00 (LIAB), 0530. sorában</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Kiegészítő alapvető tőke</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Ugyanaz a meghatározás, mint a Z 02.00 (LIAB), 0520. sorában</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Elsődleges alapvető tőke</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Ugyanaz a meghatározás, mint a Z 02.00 (LIAB), 0510. sorában</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Csoporton belüli garanciák</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Kibocsátások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 kibocsátott konkrét instrumentumokra/kötelezettségekre vonatkozó garanciák.</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Partner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Az intézmény valamely meghatározott partnerének nyújtott garanciák.</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Korlátlan</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Nem meghatározott összegre vonatkozó, általános garanciák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Egyéb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Bármely, a korábbi típusok alá nem sorolható garancia.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Kintlévőség összege</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kötelezettségek esetében (0050. oszlop, L.1., L.2. és L.4. – L.14. típusok) a csoporton belüli kötelezettségek kintlévő összege; a származtatott ügyletekből eredő kötelezettségek esetében (L.3. típus) a Z 02.00 (LIAB) tábla 0333. sora szerinti lezárási összegek.</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garanciák esetében (0050. oszlop, G.1. – G.4. értékek), a garancia keretében történő jövőbeni kifizetések maximális potenciális összege.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Ebből harmadik ország joga szerint kibocsátott</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Egy harmadik ország joga által szabályozott kintlévőség pénzben kifejezett összege.</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Ebből: MREL szempontjából figyelembe vehető</w:t>
            </w:r>
          </w:p>
          <w:p w14:paraId="73A4729E" w14:textId="648D69A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2014/59/EU irányelv 45. cikkében meghatározott követelmény teljesítéséhez figyelembe vehető szavatolótőke és kötelezettségek összege.</w:t>
            </w:r>
            <w:r>
              <w:t xml:space="preserve"> </w:t>
            </w:r>
          </w:p>
        </w:tc>
      </w:tr>
    </w:tbl>
    <w:p w14:paraId="27337152" w14:textId="77777777" w:rsidR="00E13CE3" w:rsidRPr="009B4613" w:rsidRDefault="00E13CE3" w:rsidP="00E13CE3">
      <w:pPr>
        <w:jc w:val="both"/>
        <w:rPr>
          <w:rFonts w:ascii="Times New Roman" w:hAnsi="Times New Roman" w:cs="Times New Roman"/>
          <w:color w:val="000000" w:themeColor="text1"/>
          <w:sz w:val="20"/>
          <w:szCs w:val="20"/>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96187375"/>
      <w:r>
        <w:rPr>
          <w:rFonts w:ascii="Times New Roman" w:hAnsi="Times New Roman"/>
          <w:szCs w:val="20"/>
        </w:rPr>
        <w:t>Z 05.01 és Z 05.02 – Fő partnerek (MCP)</w:t>
      </w:r>
      <w:bookmarkEnd w:id="18"/>
    </w:p>
    <w:p w14:paraId="3CC29F42" w14:textId="77777777" w:rsidR="00BF5063" w:rsidRPr="00D92B3C" w:rsidRDefault="00BF5063" w:rsidP="00715DAB">
      <w:pPr>
        <w:pStyle w:val="Instructionsberschrift3"/>
      </w:pPr>
      <w:r>
        <w:t>Általános megjegyzések</w:t>
      </w:r>
    </w:p>
    <w:p w14:paraId="116486F6" w14:textId="77777777" w:rsidR="00747EE2" w:rsidRPr="00D92B3C" w:rsidRDefault="005B6B0C" w:rsidP="00496909">
      <w:pPr>
        <w:pStyle w:val="InstructionsText2"/>
        <w:rPr>
          <w:rFonts w:cs="Times New Roman"/>
        </w:rPr>
      </w:pPr>
      <w:r>
        <w:t>Ezek a táblák a fő partnerekkel szembeni kötelezettségekre (Z 05.01) és a fő partnerektől kapott mérlegen kívüli tételekre (Z 05.02) vonatkozó információkat tartalmazzák. A feltüntetett összegeket összesíteni kell, amennyiben azok ugyanazon partnerekre vagy ugyanolyan típusú kötelezettségekre vagy mérlegen kívüli tételekre vonatkoznak.</w:t>
      </w:r>
    </w:p>
    <w:p w14:paraId="589A58FE" w14:textId="77777777" w:rsidR="0056559D" w:rsidRPr="00D92B3C" w:rsidRDefault="007B491F" w:rsidP="00496909">
      <w:pPr>
        <w:pStyle w:val="InstructionsText2"/>
        <w:rPr>
          <w:rFonts w:cs="Times New Roman"/>
        </w:rPr>
      </w:pPr>
      <w:r>
        <w:t>Nem kell feltüntetni e táblákban azokat a kötelezettségeket és mérlegen kívüli tételeket, amelyeknél a partner nem azonosítható. Nem kell feltüntetni azokat a kötelezettségeket és mérlegen kívüli tételeket sem, amelyek esetében a partner a konszolidált pénzügyi kimutatásban szereplő szervezet.</w:t>
      </w:r>
    </w:p>
    <w:p w14:paraId="3454E902" w14:textId="77777777" w:rsidR="00DF1EA4" w:rsidRPr="00D92B3C" w:rsidRDefault="00F7117F" w:rsidP="00715DAB">
      <w:pPr>
        <w:pStyle w:val="Instructionsberschrift3"/>
      </w:pPr>
      <w:r>
        <w:t>Z 05.01 – Fő partnerek (kötelezettségek alapján) – A tábla egyes részeire vonatkozó útmutató</w:t>
      </w:r>
    </w:p>
    <w:p w14:paraId="387BB84F" w14:textId="77777777" w:rsidR="00DF1EA4" w:rsidRPr="00D92B3C" w:rsidRDefault="00DF1EA4" w:rsidP="00496909">
      <w:pPr>
        <w:pStyle w:val="InstructionsText2"/>
        <w:rPr>
          <w:rFonts w:cs="Times New Roman"/>
        </w:rPr>
      </w:pPr>
      <w:r>
        <w:t>Az e tábla 0020. és 0060. oszlopában feltüntetett értékek kombinációja elsődleges kulcsot képez, amelynek a tábla minden sorát egyedileg kell azonosítania.</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Oszlopok</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Útmutató</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532FC132"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Partner</w:t>
            </w:r>
          </w:p>
          <w:p w14:paraId="03D59175" w14:textId="58DD25A5"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Azon fő partnerekre vonatkozó információk, amelyek tekintetében a kötelezettségek felmerülnek. </w:t>
            </w:r>
          </w:p>
          <w:p w14:paraId="3339D9D8" w14:textId="653ADEF1"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fő partnerek azonosításához minden egyes partnerre vagy egymással kapcsolatban álló ügyfelek csoportjára vonatkozóan össze kell vonni az adatot szolgáltató szervezet vagy csoport e partnerrel vagy csoporttal szembeni összes kintlévő kötelezettségét, kivéve a konszolidált pénzügyi kimutatásokban szereplő szervezetekkel szembeni kötelezettségeket.</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Ezt követően e partnereket vagy az egymással kapcsolatban álló partnerek e csoportjait az aggregált kintlévő összeg alapján rangsorolni kell, és az adatokat a 10 legfőbb partnerre vonatkozóan kell jelenteni.</w:t>
            </w:r>
          </w:p>
          <w:p w14:paraId="06033B0A" w14:textId="77777777" w:rsidR="00AD011A" w:rsidRPr="009B4613"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4FC978B" w14:textId="5876816E"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Az „egymással kapcsolatban álló partnerek csoportjának” fogalommeghatározása azonos az 575/2013/EU rendelet 4. cikke (1) bekezdésének 39. pontjában meghatározott „kapcsolatban álló ügyfelek csoportja” fogalommeghatározásával. </w:t>
            </w:r>
          </w:p>
          <w:p w14:paraId="294E9015" w14:textId="77777777" w:rsidR="00AD011A" w:rsidRPr="009B4613"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5FA2E46" w14:textId="55504754"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 tábla alkalmazásában a partner nem lehet a konszolidált pénzügyi kimutatásokban szereplő szervezet.</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Szervezet neve</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fő partner vagy adott esetben az egymással kapcsolatban álló ügyfelek csoportjának neve.</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egymással kapcsolatban álló ügyfelek csoportjának neve az anyavállalat neve, vagy ha az egymással kapcsolatban álló ügyfelek csoportjának nincs anyavállalata, a csoport kereskedelmi neve.</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Kód</w:t>
            </w:r>
          </w:p>
          <w:p w14:paraId="27538BAA" w14:textId="0CD0B9BD"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fő partner kódja vagy az egymással kapcsolatban álló ügyfelek csoportjának kódja. Intézmények esetében a kód a 20 jegyű, alfanumerikus LEI-kód. Más szervezetek esetében a kód a 20 jegyű, alfanumerikus LEI-kód, vagy ha nem áll rendelkezésre, az Unióban alkalmazandó egységes kódrendszer szerinti kód, vagy ha ez sem áll rendelkezésre, valamely nemzeti kód.</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A kódnak egyedinek kell lennie, és azt valamennyi táblán következetesen kell használni.</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Csoport vagy egyedi szervezet</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Egyedi fő partner esetében „1”-t, egymással kapcsolatban álló ügyfelek csoportja esetében pedig „2”-t kell feltüntetni.</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Ország</w:t>
            </w:r>
          </w:p>
          <w:p w14:paraId="3B53F170" w14:textId="4F46F823"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partner bejegyzése szerinti ország ISO 3166–1-alpha-2 kódja. Idetartoznak a nemzetközi szervezetekre vonatkozó pszeudo-ISO-kódok, amelyek az Eurostat fizetési mérleggel foglalkozó kézikönyvének (Balance of Payments Vademecum) legfrissebb kiadásában találhatók. </w:t>
            </w:r>
          </w:p>
          <w:p w14:paraId="1E6233E0" w14:textId="5680EF98"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Az országot a partner létesítő okirat szerinti székhelye alapján határozzák meg. Egymással kapcsolatban álló ügyfelek csoportja esetében az anyavállalat bejegyzése szerinti ország.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Szektor</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Minden partnerhez egy szektort kell rendelni a FINREP szerinti alábbi gazdasági ágazati kategóriák alapján (FINREP, V. melléklet, 1. rész, 6. fejezet):</w:t>
            </w:r>
          </w:p>
          <w:p w14:paraId="15164190" w14:textId="77777777" w:rsidR="00774595"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Központi bankok</w:t>
            </w:r>
          </w:p>
          <w:p w14:paraId="11DDE564"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Államháztartások</w:t>
            </w:r>
          </w:p>
          <w:p w14:paraId="08B5EA06" w14:textId="70AA4335"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 xml:space="preserve">Hitelintézetek </w:t>
            </w:r>
          </w:p>
          <w:p w14:paraId="45DFA09A"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Egyéb pénzügyi vállalatok</w:t>
            </w:r>
          </w:p>
          <w:p w14:paraId="2F21052B"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Nem pénzügyi vállalatok</w:t>
            </w:r>
          </w:p>
          <w:p w14:paraId="20D01891"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Háztartások</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Egymással kapcsolatban álló ügyfelek csoportja esetében nem kell ágazatot feltüntetni.</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Típus</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kötelezettségtípus a „Z 02.00 – Kötelezettségek szerkezete (LIAB)” táblában felsorolt kötelezettségtípusok egyike lehet, nevezetesen:</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L.0.</w:t>
            </w:r>
            <w:r>
              <w:tab/>
            </w:r>
            <w:r>
              <w:rPr>
                <w:rFonts w:ascii="Times New Roman" w:hAnsi="Times New Roman"/>
                <w:color w:val="000000" w:themeColor="text1"/>
                <w:sz w:val="20"/>
                <w:szCs w:val="20"/>
              </w:rPr>
              <w:t>A hitelezői feltőkésítésből kizárt kötelezettségek</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w:t>
            </w:r>
            <w:r>
              <w:tab/>
            </w:r>
            <w:r>
              <w:rPr>
                <w:rFonts w:ascii="Times New Roman" w:hAnsi="Times New Roman"/>
                <w:color w:val="000000" w:themeColor="text1"/>
                <w:sz w:val="20"/>
                <w:szCs w:val="20"/>
              </w:rPr>
              <w:t>Nem biztosított, de elsőbbségi betétek</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L.2.</w:t>
            </w:r>
            <w:r>
              <w:tab/>
            </w:r>
            <w:r>
              <w:rPr>
                <w:rFonts w:ascii="Times New Roman" w:hAnsi="Times New Roman"/>
                <w:color w:val="000000" w:themeColor="text1"/>
                <w:sz w:val="20"/>
                <w:szCs w:val="20"/>
              </w:rPr>
              <w:t>Nem biztosított és nem elsőbbségi betétek</w:t>
            </w:r>
          </w:p>
          <w:p w14:paraId="538EC192" w14:textId="75F1ACB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L.3.</w:t>
            </w:r>
            <w:r>
              <w:tab/>
            </w:r>
            <w:r>
              <w:rPr>
                <w:rFonts w:ascii="Times New Roman" w:hAnsi="Times New Roman"/>
                <w:color w:val="000000" w:themeColor="text1"/>
                <w:sz w:val="20"/>
                <w:szCs w:val="20"/>
              </w:rPr>
              <w:t>Származtatott ügyletekből eredő kötelezettségek</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L.4.</w:t>
            </w:r>
            <w:r>
              <w:tab/>
            </w:r>
            <w:r>
              <w:rPr>
                <w:rFonts w:ascii="Times New Roman" w:hAnsi="Times New Roman"/>
                <w:color w:val="000000" w:themeColor="text1"/>
                <w:sz w:val="20"/>
                <w:szCs w:val="20"/>
              </w:rPr>
              <w:t>Biztosítékkal fedezett kötelezettségek – nem fedezett rész</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L.5.</w:t>
            </w:r>
            <w:r>
              <w:tab/>
            </w:r>
            <w:r>
              <w:rPr>
                <w:rFonts w:ascii="Times New Roman" w:hAnsi="Times New Roman"/>
                <w:color w:val="000000" w:themeColor="text1"/>
                <w:sz w:val="20"/>
                <w:szCs w:val="20"/>
              </w:rPr>
              <w:t>Strukturált értékpapírok</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L.6.</w:t>
            </w:r>
            <w:r>
              <w:tab/>
            </w:r>
            <w:r>
              <w:rPr>
                <w:rFonts w:ascii="Times New Roman" w:hAnsi="Times New Roman"/>
                <w:color w:val="000000" w:themeColor="text1"/>
                <w:sz w:val="20"/>
                <w:szCs w:val="20"/>
              </w:rPr>
              <w:t>Előresorolt, biztosíték nélküli kötelezettségek</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L.7.</w:t>
            </w:r>
            <w:r>
              <w:tab/>
            </w:r>
            <w:r>
              <w:rPr>
                <w:rFonts w:ascii="Times New Roman" w:hAnsi="Times New Roman"/>
                <w:color w:val="000000" w:themeColor="text1"/>
                <w:sz w:val="20"/>
                <w:szCs w:val="20"/>
              </w:rPr>
              <w:t>Előresorolt, nem elsőbbségi kötelezettségek</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L.8.</w:t>
            </w:r>
            <w:r>
              <w:tab/>
            </w:r>
            <w:r>
              <w:rPr>
                <w:rFonts w:ascii="Times New Roman" w:hAnsi="Times New Roman"/>
                <w:color w:val="000000" w:themeColor="text1"/>
                <w:sz w:val="20"/>
                <w:szCs w:val="20"/>
              </w:rPr>
              <w:t>Alárendelt kötelezettségek (nem szavatolótőkeként megjelenített)</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L.9.</w:t>
            </w:r>
            <w:r>
              <w:tab/>
            </w:r>
            <w:r>
              <w:rPr>
                <w:rFonts w:ascii="Times New Roman" w:hAnsi="Times New Roman"/>
                <w:color w:val="000000" w:themeColor="text1"/>
                <w:sz w:val="20"/>
                <w:szCs w:val="20"/>
              </w:rPr>
              <w:t>MREL szempontjából figyelembe vehető egyéb kötelezettségek</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L.10.</w:t>
            </w:r>
            <w:r>
              <w:tab/>
            </w:r>
            <w:r>
              <w:rPr>
                <w:rFonts w:ascii="Times New Roman" w:hAnsi="Times New Roman"/>
                <w:color w:val="000000" w:themeColor="text1"/>
                <w:sz w:val="20"/>
                <w:szCs w:val="20"/>
              </w:rPr>
              <w:t>Nem pénzügyi kötelezettségek</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L.11.</w:t>
            </w:r>
            <w:r>
              <w:tab/>
            </w:r>
            <w:r>
              <w:rPr>
                <w:rFonts w:ascii="Times New Roman" w:hAnsi="Times New Roman"/>
                <w:color w:val="000000" w:themeColor="text1"/>
                <w:sz w:val="20"/>
                <w:szCs w:val="20"/>
              </w:rPr>
              <w:t>Egyéb kötelezettségek</w:t>
            </w:r>
          </w:p>
          <w:p w14:paraId="2D3991E7" w14:textId="3C5D905A"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Ha valamely fő partnerrel szembeni kötelezettségek a fenti típusok közül egynél többhöz tartoznak, minden egyes kötelezettségtípust külön sorban kell feltüntetni.</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Összeg</w:t>
            </w:r>
          </w:p>
          <w:p w14:paraId="6453BB39" w14:textId="514F5634"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összeg megegyezik a „kintlévőség összege” Z 02.00 – Kötelezettségek szerkezete táblában szereplő meghatározásával. A származtatott ügyletekből eredő kötelezettségek esetében (L.3. típus) a Z 02.00 tábla 0333. sora szerinti lezárási összegeket kell feltüntetni</w:t>
            </w:r>
          </w:p>
        </w:tc>
      </w:tr>
    </w:tbl>
    <w:p w14:paraId="3AE50F86" w14:textId="77777777" w:rsidR="00627D51" w:rsidRPr="009B4613" w:rsidRDefault="00627D51" w:rsidP="007F5A56">
      <w:pPr>
        <w:pStyle w:val="body"/>
        <w:rPr>
          <w:rFonts w:ascii="Times New Roman" w:hAnsi="Times New Roman" w:cs="Times New Roman"/>
          <w:color w:val="000000" w:themeColor="text1"/>
          <w:sz w:val="20"/>
          <w:szCs w:val="20"/>
        </w:rPr>
      </w:pPr>
    </w:p>
    <w:p w14:paraId="0091547C" w14:textId="77777777" w:rsidR="005A6A04" w:rsidRPr="00D92B3C" w:rsidRDefault="00F7117F" w:rsidP="00715DAB">
      <w:pPr>
        <w:pStyle w:val="Instructionsberschrift3"/>
      </w:pPr>
      <w:r>
        <w:lastRenderedPageBreak/>
        <w:t>Z 05.02 – Fő partnerek (mérlegen kívüli tételek alapján): A tábla egyes részeire vonatkozó útmutató</w:t>
      </w:r>
    </w:p>
    <w:p w14:paraId="6262D37D" w14:textId="77777777" w:rsidR="0056559D" w:rsidRPr="00D92B3C" w:rsidRDefault="005A6A04" w:rsidP="00496909">
      <w:pPr>
        <w:pStyle w:val="InstructionsText2"/>
        <w:rPr>
          <w:rFonts w:cs="Times New Roman"/>
        </w:rPr>
      </w:pPr>
      <w:r>
        <w:t>Az e tábla 0020. és 0060. oszlopában feltüntetett értékek kombinációja elsődleges kulcsot képez, amelynek a tábla minden sorát egyedileg kell azonosítania.</w:t>
      </w:r>
    </w:p>
    <w:tbl>
      <w:tblPr>
        <w:tblW w:w="0" w:type="auto"/>
        <w:tblCellMar>
          <w:top w:w="57" w:type="dxa"/>
          <w:left w:w="57" w:type="dxa"/>
          <w:bottom w:w="57" w:type="dxa"/>
          <w:right w:w="0" w:type="dxa"/>
        </w:tblCellMar>
        <w:tblLook w:val="01E0" w:firstRow="1" w:lastRow="1" w:firstColumn="1" w:lastColumn="1" w:noHBand="0" w:noVBand="0"/>
      </w:tblPr>
      <w:tblGrid>
        <w:gridCol w:w="909"/>
        <w:gridCol w:w="8117"/>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Oszlopok</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Útmutató</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63E159BA"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Partner</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mérlegen kívüli fő partnerekre vonatkozó információk.</w:t>
            </w:r>
          </w:p>
          <w:p w14:paraId="2DAFE926"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főbb mérlegen kívüli ügyfeleket a partnerektől vagy az egymással kapcsolatban álló ügyfelek csoportjától a táblában adatot szolgáltató szervezet vagy a csoporthoz tartozó szervezetek által kapott elkötelezettségek és pénzügyi garanciák teljes névleges összegének összeadásával kell meghatározni (a FINREP F 09 tábla alkalmazásában meghatározottaknak megfelelően). Nem sorolhatók a mérlegen kívüli fő partnerek közé a csoport konszolidált pénzügyi kimutatásaiban szereplő szervezetek. Ezt követően a partnereket vagy az egymással kapcsolatban álló ügyfelek csoportjait az aggregált összeg alapján rangsorolni kell, és az adatokat a 10 legfőbb mérlegen kívüli partnerre vonatkozóan kell jelenteni.</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 tábla alkalmazásában csak a konszolidált pénzügyi kimutatásokban nem szereplő partnereket kell feltüntetni.</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Szervezet neve</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Lásd a Z 05.01 oszlop 0010. oszlopára vonatkozó útmutatást.</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Kód</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Lásd a Z 05.01 oszlop 0020. oszlopára vonatkozó útmutatást.</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Csoport vagy egyedi szervezet</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Lásd a Z 05.01 oszlop 0030. oszlopára vonatkozó útmutatást.</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Ország</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Lásd a Z 05.01 oszlop 0040. oszlopára vonatkozó útmutatást.</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Szektor</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Lásd a Z 05.01 oszlop 0050. oszlopára vonatkozó útmutatást.</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Típus</w:t>
            </w:r>
          </w:p>
          <w:p w14:paraId="578C6797" w14:textId="6822F162"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mérlegen kívüli tétel típusa a következők egyike a FINREP F 09.02 táblában meghatározottak szerint:</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OBS.1.</w:t>
            </w:r>
            <w:r>
              <w:tab/>
            </w:r>
            <w:r>
              <w:rPr>
                <w:rFonts w:ascii="Times New Roman" w:hAnsi="Times New Roman"/>
                <w:color w:val="000000" w:themeColor="text1"/>
                <w:sz w:val="20"/>
                <w:szCs w:val="20"/>
              </w:rPr>
              <w:t>Kapott hitelnyújtási elkötelezettségek</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OBS.2.</w:t>
            </w:r>
            <w:r>
              <w:tab/>
            </w:r>
            <w:r>
              <w:rPr>
                <w:rFonts w:ascii="Times New Roman" w:hAnsi="Times New Roman"/>
                <w:color w:val="000000" w:themeColor="text1"/>
                <w:sz w:val="20"/>
                <w:szCs w:val="20"/>
              </w:rPr>
              <w:t>Kapott pénzügyi garanciák</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OBS.3.</w:t>
            </w:r>
            <w:r>
              <w:tab/>
            </w:r>
            <w:r>
              <w:rPr>
                <w:rFonts w:ascii="Times New Roman" w:hAnsi="Times New Roman"/>
                <w:color w:val="000000" w:themeColor="text1"/>
                <w:sz w:val="20"/>
                <w:szCs w:val="20"/>
              </w:rPr>
              <w:t>Kapott egyéb elkötelezettségek</w:t>
            </w:r>
          </w:p>
          <w:p w14:paraId="3909D473" w14:textId="77CEA9D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Ha valamely fő partnertől kapott mérlegen kívüli tételek a fenti típusok közül egynél többhöz tartoznak, minden egyes típust külön sorban kell feltüntetni.</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Összeg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9" w:name="_Toc492542326"/>
      <w:bookmarkStart w:id="20" w:name="_Toc96187376"/>
      <w:r>
        <w:rPr>
          <w:rFonts w:ascii="Times New Roman" w:hAnsi="Times New Roman"/>
          <w:szCs w:val="20"/>
        </w:rPr>
        <w:t>Z 06.00 - Betétbiztosítás (DIS)</w:t>
      </w:r>
      <w:bookmarkEnd w:id="19"/>
      <w:bookmarkEnd w:id="20"/>
    </w:p>
    <w:p w14:paraId="3E891384" w14:textId="77777777" w:rsidR="008F7980" w:rsidRPr="00D92B3C" w:rsidRDefault="006A7DCF" w:rsidP="00715DAB">
      <w:pPr>
        <w:pStyle w:val="Instructionsberschrift3"/>
      </w:pPr>
      <w:r>
        <w:t>Általános megjegyzések</w:t>
      </w:r>
    </w:p>
    <w:p w14:paraId="2BBE7EE7" w14:textId="2462787A" w:rsidR="0076289A" w:rsidRPr="00D92B3C" w:rsidRDefault="00DF64E1" w:rsidP="00496909">
      <w:pPr>
        <w:pStyle w:val="InstructionsText2"/>
        <w:rPr>
          <w:rFonts w:cs="Times New Roman"/>
        </w:rPr>
      </w:pPr>
      <w:bookmarkStart w:id="21" w:name="_Hlk89264673"/>
      <w:r>
        <w:lastRenderedPageBreak/>
        <w:t>Ez a tábla áttekintést nyújt a csoporton belüli betétbiztosításról. Ebben a táblában a betétbiztosítási rendszert akkor kell feltüntetni, ha a csoporthoz tartozó releváns szervezet tagja annak.</w:t>
      </w:r>
    </w:p>
    <w:bookmarkEnd w:id="21"/>
    <w:p w14:paraId="4617367D" w14:textId="0F60D970" w:rsidR="000C2D75" w:rsidRPr="00D92B3C" w:rsidRDefault="0057049E" w:rsidP="00496909">
      <w:pPr>
        <w:pStyle w:val="InstructionsText2"/>
        <w:rPr>
          <w:rFonts w:cs="Times New Roman"/>
        </w:rPr>
      </w:pPr>
      <w:r>
        <w:t>A csoporthoz tartozó minden hitelintézetet külön sorban kell feltüntetni.</w:t>
      </w:r>
    </w:p>
    <w:p w14:paraId="039239B2" w14:textId="77777777" w:rsidR="006A7DCF" w:rsidRPr="00D92B3C" w:rsidRDefault="006A7DCF" w:rsidP="00715DAB">
      <w:pPr>
        <w:pStyle w:val="Instructionsberschrift3"/>
      </w:pPr>
      <w:r>
        <w:t>A tábla egyes részeire vonatkozó útmutató</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Oszlopok</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Útmutató</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Szervezet</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Szervezet neve</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szervezet Z 01.00 – Szervezeti felépítés (ORG) táblában feltüntetett neve.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Kód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szervezet Z 01.00 – Szervezeti felépítés (ORG) táblában feltüntetett kódja.</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Ez a kód egy sorazonosító, amely a tábla minden egyes sorát egyedileg azonosítja.</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DGS (betétbiztosítási rendszer)</w:t>
            </w:r>
          </w:p>
          <w:p w14:paraId="7E4A4D8B" w14:textId="3DB5FF2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2014/49/EU irányelv 4. cikkének (3) bekezdése</w:t>
            </w:r>
          </w:p>
          <w:p w14:paraId="038DB966" w14:textId="3D88F749"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Azon hivatalosan elismert betétbiztosítási rendszer neve, amelynek a szervezet a 2014/49/EU irányelv értelmében tagja. Ez a szervezet bejegyzése szerinti tagállamban működő betétbiztosítási rendszer, azon más betétbiztosítási rendszerek kizárásával, amelyek más tagállamokban további védelmet („top up”) biztosíthatnak a szervezet ügyfeleinek az adott tagállamban lévő fióktelepnél. Amennyiben egy intézmény olyan intézményvédelmi rendszer tagja, amelyet a 2014/49/EU irányelv 4. cikkének (2) bekezdése értelmében betétbiztosítási rendszerként hivatalosan is elismertek, a betétbiztosítási rendszer nevének meg kell egyeznie az intézményvédelmi rendszer 050. sorban feltüntetett nevével.</w:t>
            </w:r>
          </w:p>
          <w:p w14:paraId="6F0E20BE" w14:textId="6191D2E3"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szervezet bejegyzése szerinti ország függvényében a betétbiztosítási rendszert a következők közül kell kiválasztani:</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Ausztria esetében</w:t>
            </w:r>
          </w:p>
          <w:p w14:paraId="2166314C" w14:textId="77777777" w:rsidR="006049D9" w:rsidRPr="00C518B0" w:rsidRDefault="006049D9"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Einlagensicherung AUSTRIA Ges.m.b.H. </w:t>
            </w:r>
          </w:p>
          <w:p w14:paraId="45A8D7DB" w14:textId="4EE1490E" w:rsidR="006049D9" w:rsidRPr="00C518B0"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„Sparkassen-Haftungs AG”</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Belgium esetében</w:t>
            </w:r>
          </w:p>
          <w:p w14:paraId="08603455" w14:textId="77777777" w:rsidR="004842F3" w:rsidRPr="002E41E5"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„Garantiefonds voor Financiële diensten/Fonds de garantie pour les services financiers”</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Bulgária esetében</w:t>
            </w:r>
          </w:p>
          <w:p w14:paraId="2296D9B2"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„Фондът за гарантиране на влоговете в банките”</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Horvátország esetében</w:t>
            </w:r>
          </w:p>
          <w:p w14:paraId="3F7BE9C8"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„Državna agencija za osiguranje šednih ulognih uloga i sanaciju banaka”</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Ciprus esetében</w:t>
            </w:r>
          </w:p>
          <w:p w14:paraId="01623B35" w14:textId="77777777" w:rsidR="004842F3" w:rsidRPr="008F7393"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„Σύστημα Εγγύσης των Καταθέσεων και Εξυγίανσης Πιστωτικών και Άλλων Ιδρυμάτων”</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A Cseh Köztársaság esetében</w:t>
            </w:r>
          </w:p>
          <w:p w14:paraId="2111D13B"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„Garanční ssystem finančního trhu”</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Dánia esetében</w:t>
            </w:r>
          </w:p>
          <w:p w14:paraId="3622D534"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„Garantiformuen”</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Észtország esetében </w:t>
            </w:r>
          </w:p>
          <w:p w14:paraId="24CE91CA" w14:textId="4C22A0D8"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„Tagatisfond”</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Finnország esetében </w:t>
            </w:r>
          </w:p>
          <w:p w14:paraId="746311B9"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„Talletussuojarahasto”</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Franciaország esetében</w:t>
            </w:r>
          </w:p>
          <w:p w14:paraId="38F2590C" w14:textId="77777777" w:rsidR="004842F3" w:rsidRPr="002E41E5"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„Fonds de Garantie des Dépôts et de Résolution”</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Németország esetében </w:t>
            </w:r>
          </w:p>
          <w:p w14:paraId="23EB1201"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deutscher Banken GmbH”</w:t>
            </w:r>
          </w:p>
          <w:p w14:paraId="0C1E7BBF" w14:textId="77777777" w:rsidR="004842F3" w:rsidRPr="008F7393"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des Bundesverbandes Öffentlicher Banken Deutschlands GmbH”</w:t>
            </w:r>
          </w:p>
          <w:p w14:paraId="087DF787" w14:textId="77777777" w:rsidR="004842F3" w:rsidRPr="008F7393"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„Sicherungsseinrichtung des Deutschen Sparkassen- und Giroverbandes (DSGV-Haftungsverbund)”</w:t>
            </w:r>
          </w:p>
          <w:p w14:paraId="638D9ECD"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„BVR Institutssischerung GmbH”</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Gibraltár esetében</w:t>
            </w:r>
          </w:p>
          <w:p w14:paraId="101BB0F0" w14:textId="77777777" w:rsidR="00EE17EF"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„Gibraltar Deposit Guarantee Scheme”</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Görögország esetében </w:t>
            </w:r>
          </w:p>
          <w:p w14:paraId="1D77E984"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„Ταμείο Εγγύησης Καταθέσεων και Επενδύσεων”</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Magyarország esetében </w:t>
            </w:r>
          </w:p>
          <w:p w14:paraId="4BE65025"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„Országos Betétbiztosítási Alap”</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Izland esetében</w:t>
            </w:r>
          </w:p>
          <w:p w14:paraId="7F833BFA"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„Tryggingarsjóður innstæðueigenda og fjárfesta”</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Írország esetében</w:t>
            </w:r>
          </w:p>
          <w:p w14:paraId="7DF05995"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„Irish Deposit Protection Scheme”</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Olaszország esetében </w:t>
            </w:r>
          </w:p>
          <w:p w14:paraId="6CEF34EF" w14:textId="77777777" w:rsidR="004842F3" w:rsidRPr="008F7393"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Interbancario di Tutela dei Depositi”</w:t>
            </w:r>
          </w:p>
          <w:p w14:paraId="2FCEB374" w14:textId="77777777" w:rsidR="004842F3" w:rsidRPr="008F7393"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di Garanzia dei Depositanti del Credito Cooperativo”</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Lettország esetében</w:t>
            </w:r>
          </w:p>
          <w:p w14:paraId="223EEA69"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„Latvijas Noguldījumu garantiju fonds”</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Liechtenstein esetében </w:t>
            </w:r>
          </w:p>
          <w:p w14:paraId="1AB2E012"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„Einlagensicherungs- und Anlegerentschädigungs-Stiftung SV”</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Litvánia esetében</w:t>
            </w:r>
          </w:p>
          <w:p w14:paraId="62D4287F"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„Indėlių ir investicijų draudimas”</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Luxemburg esetében</w:t>
            </w:r>
          </w:p>
          <w:p w14:paraId="46B805EB" w14:textId="77777777" w:rsidR="004842F3" w:rsidRPr="002E41E5"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de garantie des Dépôts Luxembourg”</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Málta esetében</w:t>
            </w:r>
          </w:p>
          <w:p w14:paraId="3BEA89EB"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„Depositor Compensation Scheme”</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Hollandia esetében </w:t>
            </w:r>
          </w:p>
          <w:p w14:paraId="04030DD5"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Nederlandsche Bank, Depositogarantiestelsel”</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Norvégia esetében</w:t>
            </w:r>
          </w:p>
          <w:p w14:paraId="33D53E3B"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„Bankenes sikringsfond”</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Lengyelország esetében</w:t>
            </w:r>
          </w:p>
          <w:p w14:paraId="0D610AE2"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„Bankowy Fundusz Gwarancyjny”</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Portugália esetében</w:t>
            </w:r>
          </w:p>
          <w:p w14:paraId="7E0A1EBF"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„Fundo de Garantia de Depósitos”</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lastRenderedPageBreak/>
              <w:t>Románia esetében</w:t>
            </w:r>
          </w:p>
          <w:p w14:paraId="7E7EAD06" w14:textId="34311B43" w:rsidR="004842F3" w:rsidRPr="0090323D"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„Fondul de Garantare a Depozitelor Bancare”</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Szlovákia esetében</w:t>
            </w:r>
          </w:p>
          <w:p w14:paraId="66A684F0"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ochrany vkladov”</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Szlovénia esetében </w:t>
            </w:r>
          </w:p>
          <w:p w14:paraId="4062FF4F"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„Banka Slovenije”</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Spanyolország esetében</w:t>
            </w:r>
          </w:p>
          <w:p w14:paraId="00EC15AE" w14:textId="77777777" w:rsidR="004842F3" w:rsidRPr="002E41E5"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de Garantía de Depósitos de Entidades de Crédito”</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Svédország esetében</w:t>
            </w:r>
          </w:p>
          <w:p w14:paraId="6B75A5FA" w14:textId="77777777" w:rsidR="004842F3" w:rsidRPr="00D92B3C" w:rsidRDefault="008B4886" w:rsidP="008F43E2">
            <w:pPr>
              <w:pStyle w:val="TableParagraph"/>
              <w:numPr>
                <w:ilvl w:val="0"/>
                <w:numId w:val="24"/>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„Riksgälden”</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Ha a hivatalosan elismert betétbiztosítási rendszer, amelynek a szervezet tagja, nem szerepel a fenti felsorolásban, az „egyéb” megjelölést kell feltüntetni.</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Biztosított betétek összege</w:t>
            </w:r>
          </w:p>
          <w:p w14:paraId="152CB00C" w14:textId="369DB17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2014/49/EU irányelv 2. cikke (1) bekezdésének 5. pontja és 6. cikkének (2) bekezdése.</w:t>
            </w:r>
          </w:p>
          <w:p w14:paraId="6E6A89AF" w14:textId="0AC8B350"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2014/49/EU irányelv 2. cikke (1) bekezdésének 5. pontjában – a 6. cikkel együtt értelmezve – meghatározott biztosított betéteknek a 0030. sorban megadott betétbiztosítási rendszer által fedezett összege, a 2014/49/EU irányelv 6. cikkének (2) bekezdésében meghatározott ideiglenes túllépés kizárásával.</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Intézményvédelmi rendszer</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575/2013/EU rendelet 113. cikkének (7) bekezdése</w:t>
            </w:r>
          </w:p>
          <w:p w14:paraId="2E97210C" w14:textId="6FCEA449"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575/2013/EU rendelet 113. cikkének (7) bekezdésében említett azon intézményvédelmi rendszer neve, amelynek a szervezet tagja. Ha a szervezet nem tagja intézményvédelmi rendszernek, a mezőt üresen kell hagyni. Ha a szervezet olyan intézményvédelmi rendszer tagja, amelyet a 2014/49/EU irányelv 4. cikkének (2) bekezdése értelmében hivatalosan betétbiztosítási rendszerként is elismernek, az intézményvédelmi rendszer neve megegyezik a betétbiztosítási rendszer 030. sorban megadott nevével.</w:t>
            </w:r>
          </w:p>
          <w:p w14:paraId="76DBA0CC" w14:textId="77777777" w:rsidR="0057049E" w:rsidRPr="009B4613"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Kiegészítő védelem önkéntes rendszer alapján</w:t>
            </w:r>
          </w:p>
          <w:p w14:paraId="589FF84F" w14:textId="63E9B92D"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2014/49/EU irányelv 1. cikke (3) bekezdésének a) pontja.</w:t>
            </w:r>
          </w:p>
          <w:p w14:paraId="0C05C29F" w14:textId="1871E6F7"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szervezetnél elhelyezett, önkéntes betétbiztosítási rendszer hatálya alá tartozó betétek összege.</w:t>
            </w:r>
          </w:p>
        </w:tc>
      </w:tr>
    </w:tbl>
    <w:p w14:paraId="54A835DD" w14:textId="77777777" w:rsidR="0057049E" w:rsidRPr="009B4613" w:rsidRDefault="0057049E" w:rsidP="008F7980">
      <w:pPr>
        <w:rPr>
          <w:rFonts w:ascii="Times New Roman" w:hAnsi="Times New Roman" w:cs="Times New Roman"/>
          <w:b/>
          <w:color w:val="000000" w:themeColor="text1"/>
          <w:sz w:val="20"/>
          <w:szCs w:val="20"/>
          <w:u w:val="single"/>
        </w:rPr>
      </w:pPr>
    </w:p>
    <w:p w14:paraId="54273647" w14:textId="77777777" w:rsidR="00E13CE3" w:rsidRPr="00D92B3C" w:rsidRDefault="00E13CE3" w:rsidP="00D829EE">
      <w:pPr>
        <w:pStyle w:val="Instructionsberschrift2"/>
        <w:numPr>
          <w:ilvl w:val="1"/>
          <w:numId w:val="6"/>
        </w:numPr>
        <w:ind w:left="357" w:hanging="357"/>
        <w:rPr>
          <w:rFonts w:ascii="Times New Roman" w:hAnsi="Times New Roman" w:cs="Times New Roman"/>
          <w:szCs w:val="20"/>
        </w:rPr>
      </w:pPr>
      <w:bookmarkStart w:id="22" w:name="_Toc492542327"/>
      <w:bookmarkStart w:id="23" w:name="_Toc96187377"/>
      <w:r>
        <w:rPr>
          <w:rFonts w:ascii="Times New Roman" w:hAnsi="Times New Roman"/>
          <w:szCs w:val="20"/>
        </w:rPr>
        <w:t>Kritikus funkciók és fő üzletágak</w:t>
      </w:r>
      <w:bookmarkEnd w:id="22"/>
      <w:bookmarkEnd w:id="23"/>
    </w:p>
    <w:p w14:paraId="7F5A1735" w14:textId="77777777" w:rsidR="00AA4026" w:rsidRPr="00D92B3C" w:rsidRDefault="00AA4026" w:rsidP="00715DAB">
      <w:pPr>
        <w:pStyle w:val="Instructionsberschrift3"/>
      </w:pPr>
      <w:r>
        <w:t>Általános megjegyzések</w:t>
      </w:r>
    </w:p>
    <w:p w14:paraId="3E394F27" w14:textId="7B9A5D62" w:rsidR="001D72E4" w:rsidRPr="00D92B3C" w:rsidRDefault="001D72E4" w:rsidP="00496909">
      <w:pPr>
        <w:pStyle w:val="InstructionsText2"/>
        <w:rPr>
          <w:rFonts w:cs="Times New Roman"/>
        </w:rPr>
      </w:pPr>
      <w:r>
        <w:t>E szakasz négy táblája kulcsfontosságú adatokat és minőségi értékeléseket nyújt a csoport gazdasági funkcióinak hatásáról, helyettesíthetőségéről és kritikusságáról, amit e kritikus funkciók fő üzletágakhoz és szervezetekhez való hozzárendelése egészít ki.</w:t>
      </w:r>
    </w:p>
    <w:p w14:paraId="379E7199" w14:textId="77777777" w:rsidR="005B5989" w:rsidRPr="00D92B3C" w:rsidRDefault="0001511A" w:rsidP="00496909">
      <w:pPr>
        <w:pStyle w:val="InstructionsText2"/>
        <w:rPr>
          <w:rFonts w:cs="Times New Roman"/>
        </w:rPr>
      </w:pPr>
      <w:r>
        <w:t>Az egyes táblák a következő témákkal foglalkoznak:</w:t>
      </w:r>
    </w:p>
    <w:p w14:paraId="5478B9AC" w14:textId="77777777" w:rsidR="004D12A4" w:rsidRPr="00D92B3C" w:rsidRDefault="0000307C" w:rsidP="00496909">
      <w:pPr>
        <w:pStyle w:val="InstructionsText2"/>
        <w:rPr>
          <w:rFonts w:cs="Times New Roman"/>
        </w:rPr>
      </w:pPr>
      <w:r>
        <w:t>Z 07.01 tábla – A gazdasági funkciók kritikusságának értékelése (FUNC 1): mennyiségi és minőségi mutatók alapján azonosítja a csoport által ellátott nem kritikus és kritikus funkciókat minden egyes olyan tagállam tekintetében, ahol a csoport aktív;</w:t>
      </w:r>
    </w:p>
    <w:p w14:paraId="3677D314" w14:textId="472206BA" w:rsidR="00DF4780" w:rsidRPr="00D92B3C" w:rsidRDefault="000103DF" w:rsidP="00496909">
      <w:pPr>
        <w:pStyle w:val="InstructionsText2"/>
        <w:rPr>
          <w:rFonts w:cs="Times New Roman"/>
        </w:rPr>
      </w:pPr>
      <w:r>
        <w:lastRenderedPageBreak/>
        <w:t>Z 07.02 tábla – A kritikus funkciók szervezetekhez való hozzárendelése (FUNC 2): az azonosított kritikus funkciókat hozzárendeli a szervezetekhez, és értékeli, hogy az egyes szervezetek lényegesnek minősülnek-e az adott kritikus funkció ellátása szempontjából;</w:t>
      </w:r>
    </w:p>
    <w:p w14:paraId="2DE966B5" w14:textId="07E849D6" w:rsidR="00DF4780" w:rsidRPr="00D92B3C" w:rsidRDefault="00A75AB9" w:rsidP="00496909">
      <w:pPr>
        <w:pStyle w:val="InstructionsText2"/>
        <w:rPr>
          <w:rFonts w:cs="Times New Roman"/>
        </w:rPr>
      </w:pPr>
      <w:r>
        <w:t>Z 07.03 tábla – A fő üzletágak szervezetekhez való hozzárendelése (FUNC 3): a fő üzletágak teljes listája és ezek hozzárendelése a szervezetekhez;</w:t>
      </w:r>
    </w:p>
    <w:p w14:paraId="6E15E952" w14:textId="49503E5A" w:rsidR="00DF4780" w:rsidRPr="00D92B3C" w:rsidRDefault="00AD488F" w:rsidP="00496909">
      <w:pPr>
        <w:pStyle w:val="InstructionsText2"/>
        <w:rPr>
          <w:rFonts w:cs="Times New Roman"/>
        </w:rPr>
      </w:pPr>
      <w:r>
        <w:t>Z 07.04 tábla – A kritikus funkciók fő üzletágakhoz való hozzárendelése (FUNC 4): az azonosított kritikus funkciók hozzárendelése az üzletágakhoz.</w:t>
      </w:r>
    </w:p>
    <w:p w14:paraId="59A4D823" w14:textId="055F9F3B" w:rsidR="003A344F" w:rsidRPr="00D92B3C" w:rsidRDefault="006B4A6D" w:rsidP="00496909">
      <w:pPr>
        <w:pStyle w:val="InstructionsText2"/>
        <w:rPr>
          <w:rFonts w:cs="Times New Roman"/>
        </w:rPr>
      </w:pPr>
      <w:r>
        <w:t xml:space="preserve">A 2014/59/EU irányelv 2. cikke (1) bekezdésének 35. pontja értelmében a „kritikus funkciók” olyan tevékenységek, szolgáltatások vagy működési folyamatok, amelyek megszűnése az intézmény vagy csoport méretéből, piaci részesedéséből, külső vagy belső összekapcsoltságából, összetettségéből vagy határokon átnyúló tevékenységéből adódóan egy vagy több tagállamban valószínűsíthetően fennakadást okoz a reálgazdaság számára létfontosságú szolgáltatások vagy a pénzügyi stabilitás tekintetében, különös tekintettel e tevékenységek, szolgáltatások vagy működési folyamatok helyettesíthetőségére. </w:t>
      </w:r>
    </w:p>
    <w:p w14:paraId="24049F8B" w14:textId="5F10B718" w:rsidR="0056559D" w:rsidRPr="00D92B3C" w:rsidRDefault="003A344F" w:rsidP="00496909">
      <w:pPr>
        <w:pStyle w:val="InstructionsText2"/>
        <w:rPr>
          <w:rFonts w:cs="Times New Roman"/>
          <w:szCs w:val="20"/>
        </w:rPr>
      </w:pPr>
      <w:r>
        <w:t>Az (EU) 2016/778 felhatalmazáson alapuló bizottsági rendelet</w:t>
      </w:r>
      <w:r>
        <w:rPr>
          <w:rFonts w:cs="Times New Roman"/>
          <w:vertAlign w:val="superscript"/>
          <w:lang w:val="en-GB"/>
        </w:rPr>
        <w:footnoteReference w:id="18"/>
      </w:r>
      <w:r>
        <w:t xml:space="preserve"> 6. cikkének (1) bekezdése értelmében a funkció kritikusnak minősül, ha megfelel mindkét alábbi feltételnek:</w:t>
      </w:r>
    </w:p>
    <w:p w14:paraId="60694F64" w14:textId="55F4406D" w:rsidR="0056559D" w:rsidRPr="00951349" w:rsidRDefault="00951349" w:rsidP="00496909">
      <w:pPr>
        <w:pStyle w:val="InstructionsText2"/>
        <w:numPr>
          <w:ilvl w:val="0"/>
          <w:numId w:val="38"/>
        </w:numPr>
        <w:rPr>
          <w:rFonts w:cs="Times New Roman"/>
        </w:rPr>
      </w:pPr>
      <w:r>
        <w:t xml:space="preserve"> </w:t>
      </w:r>
      <w:r w:rsidR="0056559D">
        <w:t>a funkciót az intézmény az intézményhez vagy a csoporthoz nem tartozó harmadik felek részére biztosítja; valamint</w:t>
      </w:r>
    </w:p>
    <w:p w14:paraId="43179C80" w14:textId="5DAB8451" w:rsidR="0056559D" w:rsidRPr="00951349" w:rsidRDefault="00495D17" w:rsidP="00496909">
      <w:pPr>
        <w:pStyle w:val="InstructionsText2"/>
        <w:numPr>
          <w:ilvl w:val="0"/>
          <w:numId w:val="38"/>
        </w:numPr>
        <w:rPr>
          <w:rFonts w:cs="Times New Roman"/>
          <w:i/>
        </w:rPr>
      </w:pPr>
      <w:r>
        <w:t>a funkció hirtelen fellépő zavara valószínűleg lényeges negatív hatást okozna a harmadik felek részére, tovagyűrűző negatív hatást idézne elő vagy aláásná a piaci szereplők általános bizalmát, mivel a kritikus funkció rendszerszintű jelentőséggel bír harmadik felek szempontjából és a funkciót működtető intézmény vagy csoport rendszerszintű jelentőséggel bír a funkció működtetése szempontjából.</w:t>
      </w:r>
    </w:p>
    <w:p w14:paraId="7BDBA6EC" w14:textId="53DF98FF" w:rsidR="00291ADD" w:rsidRPr="00D92B3C" w:rsidRDefault="00AC1C52" w:rsidP="00496909">
      <w:pPr>
        <w:pStyle w:val="InstructionsText2"/>
        <w:rPr>
          <w:rFonts w:cs="Times New Roman"/>
        </w:rPr>
      </w:pPr>
      <w:r>
        <w:t>A 2014/59/EU irányelv 2. cikke (1) bekezdésének 36. pontja értelmében a „fő üzletágak” azok az üzletágak és a hozzájuk kapcsolódó szolgáltatások, amelyek a bevétel, profit vagy franchise-érték jelentős részét generálják egy intézmény vagy egy csoport részére, amelynek a társaság is részét képezi.</w:t>
      </w:r>
    </w:p>
    <w:p w14:paraId="349FB66D" w14:textId="77777777" w:rsidR="007827E9" w:rsidRPr="00D92B3C" w:rsidRDefault="007827E9" w:rsidP="00496909">
      <w:pPr>
        <w:pStyle w:val="InstructionsText2"/>
        <w:rPr>
          <w:rFonts w:cs="Times New Roman"/>
        </w:rPr>
      </w:pPr>
      <w:r>
        <w:t>E tábla alkalmazásában a gazdasági funkciók a táblában alább felsorolt funkciókat jelentik.</w:t>
      </w:r>
    </w:p>
    <w:p w14:paraId="6E2655D3" w14:textId="77777777" w:rsidR="00881545" w:rsidRPr="00D92B3C" w:rsidRDefault="00905475" w:rsidP="00496909">
      <w:pPr>
        <w:pStyle w:val="InstructionsText2"/>
        <w:rPr>
          <w:rFonts w:cs="Times New Roman"/>
        </w:rPr>
      </w:pPr>
      <w:r>
        <w:t>A gazdasági funkciók minden egyes kategóriája esetében „egyéb” gazdasági funkció is választható, ha a funkciót az előre meghatározott funkciók egyike sem fedi le.</w:t>
      </w:r>
    </w:p>
    <w:p w14:paraId="4FB784E0" w14:textId="43FD4075" w:rsidR="00AC1C52" w:rsidRPr="00D92B3C" w:rsidRDefault="005E0691" w:rsidP="00496909">
      <w:pPr>
        <w:pStyle w:val="InstructionsText2"/>
        <w:rPr>
          <w:rFonts w:cs="Times New Roman"/>
        </w:rPr>
      </w:pPr>
      <w:r>
        <w:t>A 0010–0070. sorban és a 0080–0150. sorban említett partnerek meghatározása azonos a FINREP V. melléklete 1. részének 6. fejezetében megadott ügyfélszektor-meghatározásokkal. A „kkv-k” meghatározása azonos a FINREP V. melléklete 1. része 5. pontjának i. alpontjában megadott meghatározással.</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Azonosító</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Gazdasági funkciók</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Betétgyűjtés</w:t>
            </w:r>
          </w:p>
          <w:p w14:paraId="6E043817" w14:textId="66F15430"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betétgyűjtés a nem pénzügyi közvetítők betéteinek elfogadására vonatkozik. Nem foglalja magában az egyéb pénzügyi közvetítőktől származó hiteleket, amelyet külön, a „bankközi finanszírozás” alatt kell feltüntetni.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betétek közé tartoznak a következők: i. folyószámlák/egynapos betétek, ii. megállapodás szerinti futamidejű betétek, és iii. felmondással visszaváltható betétek; nem tartoznak ide a visszavásárlási megállapodások.</w:t>
            </w:r>
          </w:p>
          <w:p w14:paraId="238251CF" w14:textId="1DD05C2C"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Hivatkozások: Az FSB iránymutatása a kritikus funkciók és a kritikus megosztott szolgáltatások azonosításáról </w:t>
            </w:r>
            <w:r>
              <w:rPr>
                <w:rFonts w:ascii="Times New Roman" w:hAnsi="Times New Roman"/>
                <w:color w:val="000000" w:themeColor="text1"/>
                <w:sz w:val="20"/>
                <w:szCs w:val="20"/>
              </w:rPr>
              <w:lastRenderedPageBreak/>
              <w:t>(2013), 14. o.; az 1071/2013/EU rendelet II. melléklete 2. részének 9.1., 9.2. és 9.3. pontja.</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Háztartások</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Nem pénzügyi vállalatok (kkv-k)</w:t>
            </w:r>
          </w:p>
        </w:tc>
      </w:tr>
      <w:tr w:rsidR="00D22EB0" w:rsidRPr="00D829EE"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Nem pénzügyi vállalatok (nem kkv-k)</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Államháztartások</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1.5., 1.6., 1.7.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Egyéb szektorok / partnerek (1), (2) és (3)</w:t>
            </w:r>
          </w:p>
        </w:tc>
      </w:tr>
      <w:tr w:rsidR="00D22EB0" w:rsidRPr="00D92B3C"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Hitelezés</w:t>
            </w:r>
          </w:p>
          <w:p w14:paraId="58D20E25" w14:textId="492D6DA9"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hitelezés a nem pénzügyi partnerek, például a vállalati vagy lakossági ügyfelek számára nyújtott hitelezést fedi le. A pénzügyi partnerek számára nyújtott hitelezést külön, a „bankközi finanszírozás” rész alatt kell feltüntetni. A hitelek magukban foglalják az intézmények által tartott adósságinstrumentumokat, de nem foglalják magukban a hitelviszonyt megtestesítő értékpapírokat, függetlenül azok számviteli besorolásától.</w:t>
            </w:r>
          </w:p>
          <w:p w14:paraId="0D75852D" w14:textId="2BA4495B"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Hivatkozások: Az FSB iránymutatása a kritikus funkciók és a kritikus megosztott szolgáltatások azonosításáról (2013), 17. o.; az 1071/2013/EU rendelet II. melléklete 2. részének 2. pontja.</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Háztartások – lakáscélú hitelezés</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lakáscélú hitelek (azaz személyes használat vagy bérbeadás céljára történő lakásvásárlás céljából nyújtott hitel, ideértve az építésre és a felújításra felvett hiteleket is).</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Háztartások – egyéb hitelezés</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Nem pénzügyi vállalatok (kkv-k)</w:t>
            </w:r>
          </w:p>
        </w:tc>
      </w:tr>
      <w:tr w:rsidR="00D22EB0" w:rsidRPr="00D829EE"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Nem pénzügyi vállalatok (nem kkv-k)</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Államháztartások</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2.6., 2.7., 2.8.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Egyéb szektorok / partnerek (1), (2) és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Pénzforgalmi, készpénz-, kiegyenlítési, elszámolási, letéti őrzési szolgáltatások</w:t>
            </w:r>
          </w:p>
          <w:p w14:paraId="43E4D6B7" w14:textId="5AE5C13B"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Hivatkozás: Az FSB iránymutatása a kritikus funkciók és a kritikus megosztott szolgáltatások azonosításáról (2013), 20. o.;</w:t>
            </w:r>
          </w:p>
          <w:p w14:paraId="3D0E0093" w14:textId="7AD9FEE8"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e szakaszba tartozó gazdasági funkciók magukban foglalják a pénzforgalmi, készpénz-, kiegyenlítési, elszámolási és letéti őrzési szolgáltatások hitelintézet általi nyújtását a saját ügyfelek közötti közvetítőként vagy egy ügyfél és egy vagy több releváns pénzügyi piaci infrastruktúra közötti közvetítőként, vagy a pénzügyi piaci infrastruktúrákhoz más bankok számára biztosított (közvetett) hozzáférést. A kritikus funkciók és a kritikus megosztott szolgáltatások azonosításáról szóló FSB-iránymutatással összhangban a pénzforgalmi, kiegyenlítési és elszámolási funkciók a bankok által ügyfeleiknek nyújtott szolgáltatásokra korlátozódnak. Ez a kategória nem terjed ki a (tiszta) pénzügyi piaci infrastruktúraszolgáltatók által nyújtott szolgáltatásokra. E tábla alkalmazásában a pénzügyi piaci infrastruktúrák magukban foglalják a fizetési rendszereket, értékpapír-kiegyenlítési rendszereket, központi értéktárakat és központi szerződő feleket (de nem foglalják magukban a kereskedési adattárakat).</w:t>
            </w:r>
          </w:p>
          <w:p w14:paraId="5D38D5ED" w14:textId="6154B378"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„pénzforgalmi szolgáltatás”, a „fizetési művelet” és a „fizetési rendszer” meghatározása megegyezik az (EU) 2015/2366 európai parlamenti és tanácsi irányelv</w:t>
            </w:r>
            <w:r>
              <w:rPr>
                <w:rStyle w:val="FootnoteReference"/>
                <w:rFonts w:ascii="Times New Roman" w:eastAsia="Cambria" w:hAnsi="Times New Roman" w:cs="Times New Roman"/>
                <w:color w:val="000000" w:themeColor="text1"/>
                <w:spacing w:val="-2"/>
                <w:w w:val="95"/>
                <w:sz w:val="20"/>
                <w:szCs w:val="20"/>
                <w:lang w:val="en-GB"/>
              </w:rPr>
              <w:footnoteReference w:id="19"/>
            </w:r>
            <w:r>
              <w:rPr>
                <w:rFonts w:ascii="Times New Roman" w:hAnsi="Times New Roman"/>
                <w:color w:val="000000" w:themeColor="text1"/>
                <w:sz w:val="20"/>
                <w:szCs w:val="20"/>
              </w:rPr>
              <w:t xml:space="preserve"> 4. cikke (3), (5), illetve (7) bekezdésében meghatározottakkal.</w:t>
            </w:r>
          </w:p>
          <w:p w14:paraId="6873CCB9" w14:textId="77777777" w:rsidR="007827E9" w:rsidRPr="009B4613"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Monetáris pénzügyi intézményeknek nyújtott pénzforgalmi szolgáltatások</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Ez a sor magában foglalja a monetáris pénzügyi intézményeknek külső fizetési rendszerek alkalmazásával vagy anélkül nyújtott pénzforgalmi szolgáltatásokat. Idetartoznak a levelező banki szolgáltatások(hoz kapcsolódó kifizetések) is. A monetáris pénzügyi intézmények közé tartoznak az alábbi alszektorokban szereplő intézményi egységek: i. központi bankok; ii. betétgyűjtő vállalatok a központi bank kivételével; valamint iii. pénzpiaci alapok.</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Nem monetáris pénzügyi intézményeknek nyújtott pénzforgalmi szolgáltatások</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Ügyfeleknek külső fizetési rendszerek alkalmazásával vagy anélkül nyújtott pénzforgalmi szolgáltatások. Ide csak a nem monetáris pénzügyi intézmények közé tartozó természetes vagy jogi személyek sorolhatók. A pénzforgalmi szolgáltatók szintén nem tartoznak a „nem monetáris pénzügyi intézmények” szektorába.</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Készpénzszolgáltatások</w:t>
            </w:r>
          </w:p>
          <w:p w14:paraId="3A86513C" w14:textId="5A07C5B8"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Készpénzszolgáltatások nyújtása ügyfelek (magánszemélyek és vállalatok, de nem monetáris pénzügyi intézmények) részére. Idetartozik az ATM-eknél és a fiókokban történő készpénzfelvétel, de nem tartoznak ide egyéb készpénzszolgáltatások (például a kiskereskedelmi vállalatok számára nyújtott készpénzszállítási szolgáltatások). Idetartozik továbbá a csekkel és a fiókokban banki nyomtatványokkal történő készpénzfelvétel (ahol a kártyák azonosító eszközként használhatók).</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Értékpapír-kiegyenlítési szolgáltatások</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Ügyfeleknek nyújtott szolgáltatások az értékpapírügyletek megerősítése, elszámolása és kiegyenlítése céljából, értékpapír-kiegyenlítési rendszerek alkalmazásával vagy anélkül. A „kiegyenlítés” értékpapírügylet teljesítése, amely ügyletet azzal a céllal kötöttek meg, hogy az ügyletben részt vevő felek kötelezettségei pénzeszköz-átutalás és/vagy értékpapírtranszfer révén kerüljenek kiegyenlítésre.</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Központi szerződő fél elszámolási szolgáltatásai</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ügyfeleknek nyújtott, értékpapírokkal és származtatott ügyletekkel kapcsolatos elszámolási szolgáltatások. Idetartozik a központi szerződő félhez történő közvetett hozzáférés biztosítása is.</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Letéti őrzési szolgáltatások</w:t>
            </w:r>
          </w:p>
          <w:p w14:paraId="4699F022" w14:textId="1D6D8E22"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ügyfelek pénzügyi eszközeinek megőrzése és kezelése, valamint a letéti őrzéshez kapcsolódó szolgáltatások, például készpénz- és biztosítékkezelés.</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3.7., 3.8., 3.9.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Egyéb szolgáltatások / tevékenységek/funkciók (1), (2) és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Tőkepiacok</w:t>
            </w:r>
          </w:p>
          <w:p w14:paraId="32AE751A" w14:textId="33BC8138"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tőkepiaci tevékenységek az értékpapírok kibocsátására és kereskedelmére, a kapcsolódó tanácsadási szolgáltatásokra és egyéb kapcsolódó szolgáltatásokra, például kiemelt brókerszolgáltatásra és árjegyzésre vonatkoznak.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Kereskedési céllal tartott származtatott ügyletek – tőzsdén kívüli</w:t>
            </w:r>
          </w:p>
          <w:p w14:paraId="16ECF3F1" w14:textId="6E1B61F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648/2012/EU rendelet 2. cikkének (5) és (7) bekezdése.</w:t>
            </w:r>
          </w:p>
          <w:p w14:paraId="1B571BDA" w14:textId="3E25DBE5"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származtatott termék vagy ügylet a 2014/65/EU irányelvnek az 1287/2006/EK bizottsági rendelet</w:t>
            </w:r>
            <w:r>
              <w:rPr>
                <w:rStyle w:val="FootnoteReference"/>
                <w:rFonts w:eastAsia="Cambria" w:cs="Times New Roman"/>
                <w:color w:val="000000" w:themeColor="text1"/>
                <w:spacing w:val="-2"/>
                <w:w w:val="95"/>
                <w:lang w:val="en-GB"/>
              </w:rPr>
              <w:footnoteReference w:id="20"/>
            </w:r>
            <w:r>
              <w:rPr>
                <w:rFonts w:ascii="Times New Roman" w:hAnsi="Times New Roman"/>
                <w:color w:val="000000" w:themeColor="text1"/>
                <w:sz w:val="20"/>
                <w:szCs w:val="20"/>
              </w:rPr>
              <w:t xml:space="preserve"> 38. és 39. cikkével végrehajtott I. melléklete C. szakaszának 4–10. pontjában felsorolt </w:t>
            </w:r>
            <w:r>
              <w:rPr>
                <w:rFonts w:ascii="Times New Roman" w:hAnsi="Times New Roman"/>
                <w:color w:val="000000" w:themeColor="text1"/>
                <w:sz w:val="20"/>
                <w:szCs w:val="20"/>
              </w:rPr>
              <w:lastRenderedPageBreak/>
              <w:t>pénzügyi eszköz.</w:t>
            </w:r>
          </w:p>
          <w:p w14:paraId="77D42F9E" w14:textId="710AF21B"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Tőzsdén kívüli származtatott termék vagy ügylet olyan származtatott ügylet, amelynek végrehajtására nem a 2014/65/EU irányelv 4. cikke (1) bekezdése 21. pontjának értelmében vett szabályozott piacon vagy a 648/2012/EU rendelet 2a. cikkével összhangban a szabályozott piaccal egyenértékűnek tekintett harmadik országbeli piacon kerül sor.</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Csak a tőzsdén kívüli piacon forgalmazott származtatott ügyletek értékét kell feltüntetni.</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Kereskedési céllal tartott származtatott ügyletek – nem tőzsdén kívüli</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kereskedési céllal tartott összes származtatott ügylet, kivéve a kereskedési céllal tartott tőzsdén kívüli származtatott ügyleteket.</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Másodlagos piacok / kereskedés</w:t>
            </w:r>
          </w:p>
          <w:p w14:paraId="5A2E5D63" w14:textId="0224939C"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másodlagos piac az a hely, ahol az értékpapírok befektetők általi vásárlása és értékesítése történik. Ez a funkció a teljes kereskedési portfólióra vonatkozik (részvény, vállalati kötvény, államkötvény).</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feltüntetendő érték a kereskedési céllal tartott értékpapírok összértéke. Az értékpapírokat az adatszolgáltatási vonatkozási időpontkori valós értéken kell jelenteni.</w:t>
            </w:r>
          </w:p>
          <w:p w14:paraId="00DC0A9F" w14:textId="503F85F0"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összeg nem tartalmazza a hiteleket, a származtatott ügyleteket és a nem forgalomképes eszközöket (pl. követelések).</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Elsődleges piacok / jegyzési garanciavállalás</w:t>
            </w:r>
          </w:p>
          <w:p w14:paraId="02307AFF" w14:textId="35C82DBE"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elsődleges piacok azok a piacok, ahol a vállalkozások, kormányok és más csoportok új értékpapírokat bocsátanak ki hitel- vagy tulajdonviszonyt megtestesítő értékpapírok (például törzs- és elsőbbségi részvények, vállalati kötvények, váltók, kincstárjegyek, államkötvények stb.) révén történő finanszírozásuk céljából. Az elsődleges piacokat a jegyzési garanciavállalási csoportok segítik.</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4.5., 4.6., 4.7.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Egyéb szolgáltatások / tevékenységek/funkciók (1), (2) és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Bankközi finanszírozás</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bankközi piacokon a pénzügyi partnerek (hitelintézetek és egyéb pénzügyi vállalatok) számára történő hitelnyújtási és azoktól való hitelfelvételi tevékenységek.</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Hitelfelvétel</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Pénzügyi partnerektől bankközi piacon történő hitelfelvétel (többek között visszavásárlási megállapodások, bankközi kölcsönfelvétel, kereskedelmi értékpapírok, letéti jegyek, pénzpiaci alapok, hitelkeretek, eszközfedezetű kereskedelmi papírok és vagyonkezelői betétek formájában).</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Származtatott ügyletek (eszközök)</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pénzügyi partnerekkel kötött, a mérleg eszközoldalán megjelenített összes származtatott ügylet. A „Tőkepiacok” szakasszal szemben a „Bankközi finanszírozás” szakaszban feltüntetett származtatott ügyletek magukban foglalják a pénzügyi partnerekkel kötött összes származtatott ügyletet (és nem csak a kereskedési céllal tartott termékeket).</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Hitelezés</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Pénzügyi partnerek számára bankközi piacon történő hitelnyújtás (többek között fordított visszavásárlási megállapodások, kereskedelmi értékpapírok, letéti jegyek, pénzpiaci alapok, hitelkeretek, eszközfedezetű kereskedelmi papírok és vagyonkezelői betétek formájában).</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Származtatott ügyletek (kötelezettségek)</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pénzügyi partnerekkel kötött, a mérleg forrásoldalán megjelenített összes származtatott ügylet.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5.5., 5.6., 5.7.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Egyéb terméktípusok (1), (2) és (3)</w:t>
            </w:r>
          </w:p>
          <w:p w14:paraId="71DB3BF2" w14:textId="3564B209"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„Bankközi finanszírozás” gazdasági funkcióhoz tartozó bármely olyan funkció, amely nem szerepel a fenti 5.1.–5.4. pontokban.</w:t>
            </w:r>
          </w:p>
        </w:tc>
      </w:tr>
    </w:tbl>
    <w:p w14:paraId="0D0DA246" w14:textId="77777777"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07.01 – A gazdasági funkciók kritikusságának értékelése (FUNC 1) A tábla egyes részeire vonatkozó útmutató</w:t>
      </w:r>
    </w:p>
    <w:p w14:paraId="5F16FF24" w14:textId="77777777" w:rsidR="00336AC0" w:rsidRPr="00D92B3C" w:rsidRDefault="00336AC0" w:rsidP="00496909">
      <w:pPr>
        <w:pStyle w:val="InstructionsText2"/>
        <w:rPr>
          <w:rFonts w:cs="Times New Roman"/>
        </w:rPr>
      </w:pPr>
      <w:r>
        <w:t>Egy-egy táblát kell benyújtani minden olyan tagállam („ország”) vonatkozásában, amelyben a csoport tevékenykedik.</w:t>
      </w:r>
    </w:p>
    <w:p w14:paraId="10470341" w14:textId="77777777" w:rsidR="00AE7D80" w:rsidRPr="00D92B3C" w:rsidRDefault="00336AC0" w:rsidP="00496909">
      <w:pPr>
        <w:pStyle w:val="InstructionsText2"/>
        <w:rPr>
          <w:rFonts w:cs="Times New Roman"/>
        </w:rPr>
      </w:pPr>
      <w:r>
        <w:t>A táblában minden olyan gazdasági funkciót fel kell tüntetni, amelyet az adott tagállamban a csoporthoz tartozó bármely vállalkozás végez, függetlenül attól, hogy ez a funkció kritikus-e vagy sem.</w:t>
      </w:r>
    </w:p>
    <w:p w14:paraId="0F54907C" w14:textId="77777777" w:rsidR="005244DF" w:rsidRPr="009B4613"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Sorok</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Útmutató</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Gazdasági funkciók</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fent meghatározott gazdasági funkciók</w:t>
            </w:r>
          </w:p>
        </w:tc>
      </w:tr>
    </w:tbl>
    <w:p w14:paraId="1B2F7A7F" w14:textId="77777777" w:rsidR="0056559D" w:rsidRPr="009B4613"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Oszlopok</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Útmutató</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 gazdasági funkció leírása</w:t>
            </w:r>
          </w:p>
          <w:p w14:paraId="47DB2666" w14:textId="6F6B82A8"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Amennyiben a gazdasági funkció „Egyéb” típusú (1.5.–1.7., 2.6.–2.8., 3.7.–3.9., 4.5.–4.7., 5.5.–5.7. funkciók), meg kell adni e funkció leírását.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Piaci részesedés </w:t>
            </w:r>
          </w:p>
          <w:p w14:paraId="1CE7AB7C" w14:textId="756A2B22"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intézmény vagy csoport piaci részesedésére vonatkozó becslés az adott országban az adott gazdasági funkció vonatkozásában. A monetáris értéken mért teljes piac százalékos arányában kifejezve.</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Pénzösszeg</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oszlop tartalma a gazdasági funkciótól függ:</w:t>
            </w:r>
          </w:p>
          <w:p w14:paraId="6E7B34B5" w14:textId="77777777" w:rsidR="005244DF" w:rsidRPr="00D92B3C" w:rsidRDefault="005244DF" w:rsidP="008F43E2">
            <w:pPr>
              <w:pStyle w:val="TableParagraph"/>
              <w:numPr>
                <w:ilvl w:val="0"/>
                <w:numId w:val="19"/>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Betétgyűjtés</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Elfogadott betétek könyv szerinti értéke (beleértve a felhalmozott kamatot).</w:t>
            </w:r>
          </w:p>
          <w:p w14:paraId="6E08998A" w14:textId="0FC7D7F9"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Hivatkozások: FINREP III. és IV. melléklet, F 08.01 tábla és az V. melléklet 2. részének 97. pontja.</w:t>
            </w:r>
          </w:p>
          <w:p w14:paraId="5AF743DC" w14:textId="77777777" w:rsidR="005244DF" w:rsidRPr="00D92B3C" w:rsidRDefault="005244DF" w:rsidP="008F43E2">
            <w:pPr>
              <w:pStyle w:val="TableParagraph"/>
              <w:numPr>
                <w:ilvl w:val="0"/>
                <w:numId w:val="19"/>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Hitelezés</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nem értékvesztett és értékvesztett hitelek és előlegek bruttó könyv szerinti értéke (beleértve a felhalmozott kamatot). A hitelezési állomány a várható jövőbeli hitelezésre vonatkozó közelítő változó. </w:t>
            </w:r>
          </w:p>
          <w:p w14:paraId="3DCB8E60" w14:textId="7179756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Hivatkozások: FINREP III. és IV. melléklet, F 04.04.01. tábla és az V. melléklet 1. részének 34. b) pontja.</w:t>
            </w:r>
          </w:p>
          <w:p w14:paraId="4521C17B" w14:textId="31AC546C" w:rsidR="005244DF" w:rsidRPr="00D92B3C" w:rsidRDefault="005244DF" w:rsidP="008F43E2">
            <w:pPr>
              <w:pStyle w:val="TableParagraph"/>
              <w:numPr>
                <w:ilvl w:val="0"/>
                <w:numId w:val="19"/>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Pénzforgalmi, készpénz-, kiegyenlítési, elszámolási, letéti őrzési szolgáltatások</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Általános szabályként a napi ügyletek éves átlagát kell jelenteni. Ha ez nem áll rendelkezésre, rövidebb időszak (pl. néhány hónap) átlagát is fel lehet tüntetni.</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Az egyes különböző funkciók tekintetében a következő mérőszámokat kell használni: </w:t>
            </w:r>
          </w:p>
          <w:p w14:paraId="66BA4289" w14:textId="48EA4B6D" w:rsidR="005244DF" w:rsidRPr="00D92B3C" w:rsidRDefault="005244DF" w:rsidP="008F43E2">
            <w:pPr>
              <w:pStyle w:val="TableParagraph"/>
              <w:numPr>
                <w:ilvl w:val="0"/>
                <w:numId w:val="18"/>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Pénzforgalmi szolgáltatások (3.1.–3</w:t>
            </w:r>
            <w:r w:rsidR="00DC07EB">
              <w:rPr>
                <w:rFonts w:ascii="Times New Roman" w:hAnsi="Times New Roman"/>
                <w:color w:val="000000" w:themeColor="text1"/>
                <w:sz w:val="20"/>
                <w:szCs w:val="20"/>
              </w:rPr>
              <w:t>.2.): Küldött műveletek értéke.</w:t>
            </w:r>
            <w:r>
              <w:br/>
            </w:r>
            <w:r>
              <w:rPr>
                <w:rFonts w:ascii="Times New Roman" w:hAnsi="Times New Roman"/>
                <w:color w:val="000000" w:themeColor="text1"/>
                <w:sz w:val="20"/>
                <w:szCs w:val="20"/>
              </w:rPr>
              <w:lastRenderedPageBreak/>
              <w:t>(Hivatkozások: az (EU) 2015/2366 irányelv 4. cikkének (5) bekezdése; EKB/2013/43</w:t>
            </w:r>
            <w:r>
              <w:rPr>
                <w:rStyle w:val="FootnoteReference"/>
                <w:rFonts w:eastAsia="Cambria" w:cs="Times New Roman"/>
                <w:color w:val="000000" w:themeColor="text1"/>
                <w:spacing w:val="-2"/>
                <w:w w:val="95"/>
                <w:lang w:val="en-GB"/>
              </w:rPr>
              <w:footnoteReference w:id="21"/>
            </w:r>
            <w:r>
              <w:rPr>
                <w:rFonts w:ascii="Times New Roman" w:hAnsi="Times New Roman"/>
                <w:color w:val="000000" w:themeColor="text1"/>
                <w:sz w:val="20"/>
                <w:szCs w:val="20"/>
              </w:rPr>
              <w:t>)</w:t>
            </w:r>
          </w:p>
          <w:p w14:paraId="1297783C" w14:textId="6C876FD0" w:rsidR="005244DF" w:rsidRPr="00D92B3C" w:rsidRDefault="005244DF" w:rsidP="008F43E2">
            <w:pPr>
              <w:pStyle w:val="TableParagraph"/>
              <w:numPr>
                <w:ilvl w:val="0"/>
                <w:numId w:val="18"/>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Készpénzszolgáltatások (3.3.): Az ATM-műveletek értéke az EKB/2013/43 iránymutatás 7. táblázatában meghatározottak szerint, valamint a pénztári készpénzfelvétel, az EKB/2014/15 iránymutatás</w:t>
            </w:r>
            <w:r>
              <w:rPr>
                <w:rStyle w:val="FootnoteReference"/>
                <w:rFonts w:eastAsia="Cambria" w:cs="Times New Roman"/>
                <w:color w:val="000000" w:themeColor="text1"/>
                <w:spacing w:val="-2"/>
                <w:w w:val="95"/>
                <w:lang w:val="en-GB"/>
              </w:rPr>
              <w:footnoteReference w:id="22"/>
            </w:r>
            <w:r>
              <w:rPr>
                <w:rFonts w:ascii="Times New Roman" w:hAnsi="Times New Roman"/>
                <w:color w:val="000000" w:themeColor="text1"/>
                <w:sz w:val="20"/>
                <w:szCs w:val="20"/>
              </w:rPr>
              <w:t xml:space="preserve"> 4. táblázatában meghatározottak szerint.</w:t>
            </w:r>
          </w:p>
          <w:p w14:paraId="57EC4FF1" w14:textId="77777777" w:rsidR="005244DF" w:rsidRPr="00D92B3C" w:rsidRDefault="005244DF" w:rsidP="008F43E2">
            <w:pPr>
              <w:pStyle w:val="TableParagraph"/>
              <w:numPr>
                <w:ilvl w:val="0"/>
                <w:numId w:val="18"/>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Értékpapír-kiegyenlítési szolgáltatások (3.4.): Az ügyfelek nevében feldolgozott értékpapír-műveletek értéke. Ide tartoznak az értékpapír-kiegyenlítési rendszerrel kiegyenlített vagy az adatszolgáltató intézmények által belsőleg kiegyenlített ügyletek és a „fizetés nélküli ügyletek”.</w:t>
            </w:r>
          </w:p>
          <w:p w14:paraId="1FC3A898" w14:textId="2756C195" w:rsidR="005244DF" w:rsidRPr="00D92B3C" w:rsidRDefault="005244DF" w:rsidP="008F43E2">
            <w:pPr>
              <w:pStyle w:val="TableParagraph"/>
              <w:numPr>
                <w:ilvl w:val="0"/>
                <w:numId w:val="18"/>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Központi szerződő fél elszámolási szolgáltatásai (3.5.): Azon központi szerződő fél által az intézménnyel szemben annak ügyfelei nevében felvett pozíciók (kitettség), amelynek az intézmény tagja. A központi szerződő feleknél folytatott ügyféltevékenységhez kapcsolódó nyitott pozíciók átlagos napi értékét kell megadni. Ha ez nem áll rendelkezésre, rövidebb időszak (pl. néhány hónap) átlagát is fel lehet tüntetni.</w:t>
            </w:r>
          </w:p>
          <w:p w14:paraId="3027931B" w14:textId="5D624133" w:rsidR="005244DF" w:rsidRPr="00D92B3C" w:rsidRDefault="005244DF" w:rsidP="008F43E2">
            <w:pPr>
              <w:pStyle w:val="TableParagraph"/>
              <w:numPr>
                <w:ilvl w:val="0"/>
                <w:numId w:val="18"/>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Letéti őrzési szolgáltatások (3.6.): A letétbe helyezett eszközök összege valós értéken. Ha a valós érték nem áll rendelkezésre, egyéb értékelési alap, például a névleges érték is használható. Azokban az esetekben, amikor az intézmény olyan szervezeteknek nyújt szolgáltatást, mint például a kollektív befektetési vállalkozások vagy nyugdíjalapok, az érintett eszközöket azon a valós értéken is fel lehet tüntetni, amelyen ezek a szervezetek az eszközöket saját mérlegükben megjelenítik. A feltüntetett összegeknek adott esetben tartalmazniuk ke</w:t>
            </w:r>
            <w:r w:rsidR="00DC07EB">
              <w:rPr>
                <w:rFonts w:ascii="Times New Roman" w:hAnsi="Times New Roman"/>
                <w:color w:val="000000" w:themeColor="text1"/>
                <w:sz w:val="20"/>
                <w:szCs w:val="20"/>
              </w:rPr>
              <w:t>ll a felhalmozott kamatokat is.</w:t>
            </w:r>
            <w:r>
              <w:br/>
            </w:r>
            <w:r>
              <w:rPr>
                <w:rFonts w:ascii="Times New Roman" w:hAnsi="Times New Roman"/>
                <w:color w:val="000000" w:themeColor="text1"/>
                <w:sz w:val="20"/>
                <w:szCs w:val="20"/>
              </w:rPr>
              <w:t>(Hivatkozás: FINREP III. és IV. melléklet, F 22.02. tábla 010. oszlop)</w:t>
            </w:r>
          </w:p>
          <w:p w14:paraId="79433C03" w14:textId="77777777" w:rsidR="005244DF" w:rsidRPr="00D92B3C" w:rsidRDefault="005244DF" w:rsidP="008F43E2">
            <w:pPr>
              <w:pStyle w:val="TableParagraph"/>
              <w:numPr>
                <w:ilvl w:val="0"/>
                <w:numId w:val="19"/>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Tőkepiacok</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Névleges összeg – Csak a származtatott ügyletekre jelentendő (4.1.–4.2.): az összes megkötött, de a vonatkozási időpontban még ki nem egyenlített ügylet bruttó névértéke. </w:t>
            </w:r>
          </w:p>
          <w:p w14:paraId="080C757C" w14:textId="68D73535"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Hivatkozások: definíció: FINREP V. melléklet, 2. rész 133. pont; adatok: FINREP III., IV. és V. melléklet.</w:t>
            </w:r>
          </w:p>
          <w:p w14:paraId="6103DDD4" w14:textId="363EC446" w:rsidR="005244DF" w:rsidRPr="00D92B3C" w:rsidRDefault="005244DF" w:rsidP="008F43E2">
            <w:pPr>
              <w:pStyle w:val="TableParagraph"/>
              <w:numPr>
                <w:ilvl w:val="0"/>
                <w:numId w:val="18"/>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Származtatott ügyletek összesen (4.1.–4.2.): F 10.00. tábla, 030. oszlop, 290. sor.</w:t>
            </w:r>
          </w:p>
          <w:p w14:paraId="6C61E84D" w14:textId="1071A207" w:rsidR="005244DF" w:rsidRPr="00D92B3C" w:rsidRDefault="005244DF" w:rsidP="008F43E2">
            <w:pPr>
              <w:pStyle w:val="TableParagraph"/>
              <w:numPr>
                <w:ilvl w:val="0"/>
                <w:numId w:val="18"/>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Származtatott ügyletek – tőzsdén kívüli (4.1.): F 10.00. tábla, 030. oszlop, 300+310+320. sor.</w:t>
            </w:r>
          </w:p>
          <w:p w14:paraId="0319CD75" w14:textId="22D9618B" w:rsidR="005244DF" w:rsidRPr="00D92B3C" w:rsidRDefault="005244DF" w:rsidP="008F43E2">
            <w:pPr>
              <w:pStyle w:val="TableParagraph"/>
              <w:numPr>
                <w:ilvl w:val="0"/>
                <w:numId w:val="18"/>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Másodlagos piaci tevékenységek (4.3.). Eszközök könyv szerinti értéke – a mérleg eszközoldalán feltüntetendő könyv szerinti érték, beleértve a „kereskedési céllal tartott” [FINREP V. melléklet 1. részének 15. a) pontja és 16. a) pontja] tulajdoni részesedést megtestesítő instrumentumok és hitelviszonyt megtestesítő értékpapírok [FINREP V. melléklet 1. részének 31. pontja] esetében a felhalmozott kamatot is [FINREP V. melléklet 1. részének 27. pontja].</w:t>
            </w:r>
          </w:p>
          <w:p w14:paraId="0FEBC22C" w14:textId="7E937686" w:rsidR="005244DF" w:rsidRPr="00D92B3C" w:rsidRDefault="005244DF" w:rsidP="008F43E2">
            <w:pPr>
              <w:pStyle w:val="TableParagraph"/>
              <w:numPr>
                <w:ilvl w:val="0"/>
                <w:numId w:val="18"/>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Hivatkozás: FINREP: III. melléklet, F 04.01 tábla, 010. oszlop, 010+060+120. sor</w:t>
            </w:r>
          </w:p>
          <w:p w14:paraId="6284BC18" w14:textId="77777777" w:rsidR="005244DF" w:rsidRPr="00D92B3C" w:rsidRDefault="005244DF" w:rsidP="008F43E2">
            <w:pPr>
              <w:pStyle w:val="TableParagraph"/>
              <w:numPr>
                <w:ilvl w:val="0"/>
                <w:numId w:val="18"/>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Elsődleges piacok (4.4.): Díjbevétel – Nem az intézmény által keletkeztetett vagy kibocsátott értékpapírok keletkeztetésében vagy kibocsátásában való részvételért kapott díjak és jutalékok.</w:t>
            </w:r>
          </w:p>
          <w:p w14:paraId="1930D8B6" w14:textId="66FFC523" w:rsidR="005244DF" w:rsidRPr="00D92B3C" w:rsidRDefault="005244DF" w:rsidP="008F43E2">
            <w:pPr>
              <w:pStyle w:val="TableParagraph"/>
              <w:numPr>
                <w:ilvl w:val="0"/>
                <w:numId w:val="18"/>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Hivatkozás: FINREP: III. és IV. melléklet, F 22.01. tábla, 010. oszlop, 030+180. sor.</w:t>
            </w:r>
          </w:p>
          <w:p w14:paraId="01F6787E" w14:textId="77777777" w:rsidR="005244DF" w:rsidRPr="00D92B3C" w:rsidRDefault="005244DF" w:rsidP="008F43E2">
            <w:pPr>
              <w:pStyle w:val="TableParagraph"/>
              <w:numPr>
                <w:ilvl w:val="0"/>
                <w:numId w:val="19"/>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Bankközi finanszírozás</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FINREP szerint meghatározott bruttó könyv szerinti értéket kell használni. </w:t>
            </w:r>
          </w:p>
          <w:p w14:paraId="2BE7032A" w14:textId="70F67720"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Hivatkozások: FINREP: V. melléklet, 1. rész 34. pont, FINREP: III és IV. melléklet, a következő táblák:</w:t>
            </w:r>
            <w:r>
              <w:rPr>
                <w:rFonts w:ascii="Calibri" w:hAnsi="Calibri"/>
                <w:b/>
                <w:bCs/>
                <w:color w:val="1F497D"/>
              </w:rPr>
              <w:t xml:space="preserve"> </w:t>
            </w:r>
          </w:p>
          <w:p w14:paraId="58711D3A" w14:textId="5E10C2BF" w:rsidR="005244DF" w:rsidRPr="00D92B3C" w:rsidRDefault="005244DF" w:rsidP="008F43E2">
            <w:pPr>
              <w:pStyle w:val="TableParagraph"/>
              <w:numPr>
                <w:ilvl w:val="0"/>
                <w:numId w:val="18"/>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Hitelfelvétel (5.1.): F 20.06. tábla, 010. oszlop, 100+110. sor, az összes ország.</w:t>
            </w:r>
          </w:p>
          <w:p w14:paraId="067B120A" w14:textId="72F46632" w:rsidR="005244DF" w:rsidRPr="00D92B3C" w:rsidRDefault="005244DF" w:rsidP="008F43E2">
            <w:pPr>
              <w:pStyle w:val="TableParagraph"/>
              <w:numPr>
                <w:ilvl w:val="0"/>
                <w:numId w:val="18"/>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Származtatott ügyletek (eszközök) (5.2.): F 20.04. tábla, 010. oszlop, 010. sor, az összes ország.</w:t>
            </w:r>
          </w:p>
          <w:p w14:paraId="3A6FC68D" w14:textId="768DD88E" w:rsidR="005244DF" w:rsidRPr="00D92B3C" w:rsidRDefault="005244DF" w:rsidP="008F43E2">
            <w:pPr>
              <w:pStyle w:val="TableParagraph"/>
              <w:numPr>
                <w:ilvl w:val="0"/>
                <w:numId w:val="18"/>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Hitelezés (5.3.): F 20.04. tábla, 010. oszlop, 170+180. sor, az összes ország.</w:t>
            </w:r>
          </w:p>
          <w:p w14:paraId="6D20DC8C" w14:textId="3C3298F3" w:rsidR="005244DF" w:rsidRPr="00D92B3C" w:rsidRDefault="005244DF" w:rsidP="008F43E2">
            <w:pPr>
              <w:pStyle w:val="TableParagraph"/>
              <w:numPr>
                <w:ilvl w:val="0"/>
                <w:numId w:val="18"/>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Származtatott ügyletek (kötelezettségek) (5.4.): F 20.06. tábla, 010. oszlop 010. sor, az összes ország.</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Numerikus mutató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oszlop tartalma a gazdasági funkciótól függ:</w:t>
            </w:r>
          </w:p>
          <w:p w14:paraId="517223A5" w14:textId="77777777" w:rsidR="005244DF" w:rsidRPr="00D92B3C" w:rsidRDefault="005244DF" w:rsidP="008F43E2">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Betétgyűjtés </w:t>
            </w:r>
          </w:p>
          <w:p w14:paraId="22CE4863" w14:textId="228AD018"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„Pénzösszeg” oszlopban jelentett értéket betétben elhelyező ügyfelek száma összesen. Ha egy ügyfél egynél több betéti terméket/számlát használ, az ügyfelet csak egyszer kell számításba venni.</w:t>
            </w:r>
          </w:p>
          <w:p w14:paraId="5EBBB077" w14:textId="77777777" w:rsidR="005244DF" w:rsidRPr="00D92B3C" w:rsidRDefault="005244DF" w:rsidP="008F43E2">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Hitelezés</w:t>
            </w:r>
          </w:p>
          <w:p w14:paraId="616DAF67" w14:textId="3228F305"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Ügyfelek száma összesen. Ha egy ügyfél több hitelezési terméket/számlát használ, az ügyfelet csak egyszer kell számításba venni.</w:t>
            </w:r>
          </w:p>
          <w:p w14:paraId="47EEEB05" w14:textId="77777777" w:rsidR="005244DF" w:rsidRPr="00D92B3C" w:rsidRDefault="005244DF" w:rsidP="008F43E2">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Pénzforgalmi, készpénz-, kiegyenlítési, elszámolási, letéti őrzési szolgáltatások</w:t>
            </w:r>
          </w:p>
          <w:p w14:paraId="33BAE82C" w14:textId="379578C5"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Általános szabályként a napi ügyletek éves átlagát kell jelenteni. Ha ez nem áll rendelkezésre, rövidebb időszak (pl. néhány hónap) átlagát is fel lehet tüntetni. </w:t>
            </w:r>
          </w:p>
          <w:p w14:paraId="2469B328" w14:textId="30579626"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egyes különböző funkciók tekintetében a következő mérőszámokat kell használni:</w:t>
            </w:r>
          </w:p>
          <w:p w14:paraId="67FA6A45" w14:textId="631E766F" w:rsidR="005244DF" w:rsidRPr="00CF3B41" w:rsidRDefault="005244DF" w:rsidP="008F43E2">
            <w:pPr>
              <w:pStyle w:val="TableParagraph"/>
              <w:numPr>
                <w:ilvl w:val="0"/>
                <w:numId w:val="18"/>
              </w:numPr>
              <w:spacing w:before="108"/>
              <w:ind w:left="720"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Pénzforgalmi szolgáltatások (3.1.–3.2.):</w:t>
            </w:r>
            <w:r w:rsidR="00DC07EB">
              <w:rPr>
                <w:rFonts w:ascii="Times New Roman" w:hAnsi="Times New Roman"/>
                <w:color w:val="000000" w:themeColor="text1"/>
                <w:sz w:val="20"/>
                <w:szCs w:val="20"/>
              </w:rPr>
              <w:t xml:space="preserve"> A végrehajtott ügyletek száma.</w:t>
            </w:r>
            <w:r>
              <w:br/>
            </w:r>
            <w:r>
              <w:rPr>
                <w:rFonts w:ascii="Times New Roman" w:hAnsi="Times New Roman"/>
                <w:color w:val="000000" w:themeColor="text1"/>
                <w:sz w:val="20"/>
                <w:szCs w:val="20"/>
              </w:rPr>
              <w:t>Hivatkozások: az (EU) 2015/2366 irányelv 4. cikkének (5) bekezdése; EKB/2013/43.</w:t>
            </w:r>
          </w:p>
          <w:p w14:paraId="0CCBD2AE" w14:textId="0EEE9EFE" w:rsidR="005244DF" w:rsidRPr="00D92B3C" w:rsidRDefault="005244DF" w:rsidP="008F43E2">
            <w:pPr>
              <w:pStyle w:val="TableParagraph"/>
              <w:numPr>
                <w:ilvl w:val="0"/>
                <w:numId w:val="18"/>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Készpénzszolgáltatások (3.3.): Az ATM-műveletek száma az EKB/2013/43 iránymutatás 7. táblázatában meghatározottak szerint, valamint a pénztári készpénzfelvétel, az EKB/2014/15 iránymutatás 4. táblázatában meghatározottak szerint.</w:t>
            </w:r>
          </w:p>
          <w:p w14:paraId="025E091F" w14:textId="77777777" w:rsidR="005244DF" w:rsidRPr="00D92B3C" w:rsidRDefault="005244DF" w:rsidP="008F43E2">
            <w:pPr>
              <w:pStyle w:val="TableParagraph"/>
              <w:numPr>
                <w:ilvl w:val="0"/>
                <w:numId w:val="18"/>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Értékpapír-kiegyenlítési szolgáltatások (3.4.): Az ügyfelek nevében feldolgozott értékpapír-műveletek száma. Ide tartoznak az értékpapír-kiegyenlítési rendszerben kiegyenlített vagy az adatszolgáltató intézmény vagy csoport által belsőleg kiegyenlített ügyletek és a „fizetés nélküli ügyletek”.</w:t>
            </w:r>
          </w:p>
          <w:p w14:paraId="6C90AEAB" w14:textId="77777777" w:rsidR="005244DF" w:rsidRPr="00D92B3C" w:rsidRDefault="005244DF" w:rsidP="008F43E2">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Tőkepiacok</w:t>
            </w:r>
          </w:p>
          <w:p w14:paraId="0589D01C" w14:textId="5A0B45F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Partnerek VAGY ügyletek száma. A származtatott ügyletek (4.1.–4.2.) és a másodlagos piaci eszközök (4.3.) esetében a partnerek teljes száma. Az elsődleges piaci tevékenység (4.4.) esetében a jegyzési garanciával ellátott ügyletek teljes száma.</w:t>
            </w:r>
          </w:p>
          <w:p w14:paraId="130181A4" w14:textId="77777777" w:rsidR="005244DF" w:rsidRPr="00D92B3C" w:rsidRDefault="005244DF" w:rsidP="008F43E2">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Bankközi finanszírozás</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Partnerek száma összesen. Ha egy partner több számlával és/vagy több ügylettel rendelkezik, akkor a partner csak egyszer számítandó.</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A piacra gyakorolt hatás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funkció hirtelen megszűnésének a harmadik felekre, a pénzügyi piacokra és a reálgazdaságra gyakorolt becsült hatása, figyelembe véve az intézmény méretét, piaci részesedését az adott országban, a külső és belső összekapcsoltságot, összetettséget és az intézmény határokon átnyúló tevékenységeit.</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minőségi értékelés eredményét „Magas (H)”, „Közepes-Magas (MH)”, „Közepes-Alacsony (ML)” vagy „Alacsony (L)” megjelöléssel kell kifejezni.</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 a funkció megszűnése jelentős hatást gyakorol a nemzeti piacra; „MH”: jelentős hatás; „ML”: a hatás lényeges, de korlátozott; „L”: alacsony mértékű hatás.</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Helyettesíthetőség</w:t>
            </w:r>
          </w:p>
          <w:p w14:paraId="4FC51EEB" w14:textId="737B4C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Az (EU) 2016/778 felhatalmazáson alapuló rendelet 6. cikkének (3) bekezdése</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A funkció helyettesíthető, ha elfogadható módon és észszerű időn belül helyettesíthető, elkerülve a reálgazdaságot és a pénzügyi piacokat érintő rendszerszintű problémákat. Figyelembe kell venni az alábbiakat:</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az adott funkció piacának szerkezete, valamint helyettesítő szolgáltatók rendelkezésre állása;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 más szolgáltatók kapacitásának nagysága, a funkció ellátására vonatkozó követelmények, valamint a piacra lépés vagy terjeszkedés esetleges akadályai;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 mennyire motiváltak más szolgáltatók az érintett tevékenységek átvételére;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 a szolgáltatás igénybevevőinek a szolgáltatóváltáshoz szükséges idő és a szolgáltatóváltással járó költségek, a funkciók átvételéhez más versenytársaknak szükséges idő, illetve hogy ez az idő – a szolgáltatás típusától függően – elegendő-e a jelentős zavarok elkerüléséhez.</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minőségi értékelés eredményét „Magas (H)”, „Közepes-Magas (MH)”, „Közepes-Alacsony (ML)” vagy „Alacsony (L)” megjelöléssel kell kifejezni.</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 az adott funkciót észszerű időn belül könnyen elláthatja egy másik bank hasonló feltételekkel;</w:t>
            </w:r>
          </w:p>
          <w:p w14:paraId="253A9D9C" w14:textId="086DED0B"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 a funkciót nem lehet könnyen vagy gyorsan helyettesíteni; </w:t>
            </w:r>
          </w:p>
          <w:p w14:paraId="78AEEE78" w14:textId="5AC399F9"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„MH” és „ML”: közbenső esetek, figyelembe véve különböző szempontokat (pl. piaci részesedés, piaci koncentráció, helyettesítés időigénye, a piacra lépés vagy terjeszkedés jogi akadályai és operatív követelményei).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Kritikus funkció</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Ebben az oszlopban fel kell tüntetni, hogy az ebben a táblában szereplő mennyiségi adatokat és kritikussági mutatókat figyelembe véve a gazdasági funkció kritikusnak tekinthető-e az adott ország piacán.</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„Igen” vagy „Nem” megjelölés választható.</w:t>
            </w:r>
          </w:p>
        </w:tc>
      </w:tr>
    </w:tbl>
    <w:p w14:paraId="625EAD53" w14:textId="77777777"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t>Z 07.02 – A kritikus funkciók szervezetekhez való hozzárendelése (FUNC 2) A tábla egyes részeire vonatkozó útmutató</w:t>
      </w:r>
    </w:p>
    <w:p w14:paraId="652C2EAE" w14:textId="77777777" w:rsidR="00517C03" w:rsidRPr="00D92B3C" w:rsidRDefault="005F4132" w:rsidP="00496909">
      <w:pPr>
        <w:pStyle w:val="InstructionsText2"/>
        <w:rPr>
          <w:rFonts w:cs="Times New Roman"/>
        </w:rPr>
      </w:pPr>
      <w:r>
        <w:t>Ezt a táblát a teljes csoportra vonatkozóan kell kitölteni. Ebben a táblában csak a {Z 07.01; 070 mezőkben} (az egyes tagállamok tekintetében) kritikusként azonosított funkciókat kell feltüntetni.</w:t>
      </w:r>
    </w:p>
    <w:p w14:paraId="6B07A7C5" w14:textId="77777777" w:rsidR="00517C03" w:rsidRPr="00D92B3C" w:rsidRDefault="00517C03" w:rsidP="00496909">
      <w:pPr>
        <w:pStyle w:val="InstructionsText2"/>
        <w:rPr>
          <w:rFonts w:cs="Times New Roman"/>
        </w:rPr>
      </w:pPr>
      <w:r>
        <w:t>Az e tábla 0010., 0020. és 0040. oszlopában feltüntetett értékek kombinációja elsődleges kulcsot képez, amelynek a tábla minden sorát egyedileg kell azonosítania.</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Oszlopok</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Útmutató</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Ország</w:t>
            </w:r>
          </w:p>
          <w:p w14:paraId="481EA8E6" w14:textId="57B7F0BC"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ország, amelynek tekintetében a funkció kritikus, a Z 07.01 (FUNC 1) táblában megadottak szerint.</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Azonosító</w:t>
            </w:r>
          </w:p>
          <w:p w14:paraId="2B3587CF" w14:textId="55940A42"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fenti II.7.1. pontban meghatározott és a Z 07.01 (FUNC 1) táblában említett kritikus funkciók azonosítója.</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Szervezet neve</w:t>
            </w:r>
          </w:p>
          <w:p w14:paraId="5635CF52" w14:textId="0306103E"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kritikus funkciót ellátó szervezet Z 01.00 (ORG) táblában megadott neve.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Ha több olyan szervezet van, amely ugyanabban az országban azonos kritikus funkciókat lát el, minden egyes szervezetet külön sorban kell feltüntetni.</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Kód</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kritikus funkciót ellátó szervezet Z 01.00 – Szervezeti felépítés (ORG) táblában megadott </w:t>
            </w:r>
            <w:r>
              <w:rPr>
                <w:rFonts w:ascii="Times New Roman" w:hAnsi="Times New Roman"/>
                <w:color w:val="000000" w:themeColor="text1"/>
                <w:sz w:val="20"/>
                <w:szCs w:val="20"/>
              </w:rPr>
              <w:lastRenderedPageBreak/>
              <w:t>kódja.</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Pénzösszeg</w:t>
            </w:r>
          </w:p>
          <w:p w14:paraId="4EB0AF84" w14:textId="1AA9DF03"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szervezet által a Z 07.01 (FUNC 1) tábla 0030. oszlopában feltüntetett összegben képviselt rész, összegszerűen megadva. </w:t>
            </w:r>
          </w:p>
        </w:tc>
      </w:tr>
    </w:tbl>
    <w:p w14:paraId="1C505975" w14:textId="77777777" w:rsidR="0056559D" w:rsidRPr="009B4613" w:rsidRDefault="0056559D" w:rsidP="0056559D">
      <w:pPr>
        <w:rPr>
          <w:rFonts w:ascii="Times New Roman" w:hAnsi="Times New Roman" w:cs="Times New Roman"/>
          <w:color w:val="000000" w:themeColor="text1"/>
          <w:sz w:val="20"/>
          <w:szCs w:val="20"/>
        </w:rPr>
      </w:pPr>
    </w:p>
    <w:p w14:paraId="5184AF8D" w14:textId="0B4E06AE"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07.03 – A fő üzletágak szervezetekhez való hozzárendelése (FUNC 3) A tábla egyes részeire vonatkozó útmutató</w:t>
      </w:r>
    </w:p>
    <w:p w14:paraId="6A4F8A17" w14:textId="77777777" w:rsidR="008D7004" w:rsidRPr="00BF16D7" w:rsidRDefault="00356129" w:rsidP="00496909">
      <w:pPr>
        <w:pStyle w:val="InstructionsText2"/>
        <w:rPr>
          <w:rFonts w:cs="Times New Roman"/>
        </w:rPr>
      </w:pPr>
      <w:r>
        <w:t>Az e tábla 0020. és 0040. oszlopában feltüntetett értékek kombinációja elsődleges kulcsot képez, amelynek a tábla minden sorát egyedileg kell azonosítania.</w:t>
      </w:r>
    </w:p>
    <w:p w14:paraId="08717458" w14:textId="6403463D" w:rsidR="002D7C07" w:rsidRPr="00BF16D7" w:rsidRDefault="002D7C07" w:rsidP="00496909">
      <w:pPr>
        <w:pStyle w:val="InstructionsText2"/>
        <w:rPr>
          <w:rFonts w:cs="Times New Roman"/>
        </w:rPr>
      </w:pPr>
      <w:r>
        <w:t xml:space="preserve">Ebben a táblában csak a releváns szervezeteket kell feltüntetni.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Oszlopok</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Útmutató</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Fő üzletág</w:t>
            </w:r>
          </w:p>
          <w:p w14:paraId="26FC5213" w14:textId="0514C489" w:rsidR="00356129" w:rsidRPr="00D92B3C"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2014/59/EU irányelv 2. cikke (1) bekezdésének 36. pontja és az (EU) 2016/778 felhatalmazáson alapuló bizottsági rendelet 7. cikke szerinti fő üzletág.</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Üzletág azonosítója</w:t>
            </w:r>
          </w:p>
          <w:p w14:paraId="454A48A8" w14:textId="0B087E2E"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üzletág intézmény által adott egyedi azonosítója.</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Leírás</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fő üzletág leírása.</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Szervezet neve</w:t>
            </w:r>
          </w:p>
          <w:p w14:paraId="3508A828" w14:textId="1CAD470F"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Azon szervezet Z 01.00 (ORG) táblában feltüntetett neve, amely a fő üzletágat működteti vagy annak részét képezi.</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Ha több szervezet működteti a fő üzletágat vagy képezi annak részét, akkor minden egyes szervezetet külön sorban kell feltüntetni.</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Kód </w:t>
            </w:r>
          </w:p>
          <w:p w14:paraId="3A4C22B0" w14:textId="15E788E6"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fő üzletágat működtető vagy annak részét képező szervezetnek a Z 01.00 (ORG) táblában feltüntetett kódja.</w:t>
            </w:r>
          </w:p>
        </w:tc>
      </w:tr>
    </w:tbl>
    <w:p w14:paraId="258A1667" w14:textId="3BCA2C0A" w:rsidR="0056559D" w:rsidRPr="00D92B3C" w:rsidRDefault="00F7117F" w:rsidP="00715DAB">
      <w:pPr>
        <w:pStyle w:val="Instructionsberschrift3"/>
      </w:pPr>
      <w:r>
        <w:t>Z 07.04 – A kritikus funkciók fő üzletágakhoz való hozzárendelése (FUNC 4) A tábla egyes részeire vonatkozó útmutató</w:t>
      </w:r>
    </w:p>
    <w:p w14:paraId="3D8A43BC" w14:textId="77777777" w:rsidR="003D0643" w:rsidRPr="00D92B3C" w:rsidRDefault="003D0643" w:rsidP="00496909">
      <w:pPr>
        <w:pStyle w:val="InstructionsText2"/>
        <w:rPr>
          <w:rFonts w:cs="Times New Roman"/>
        </w:rPr>
      </w:pPr>
      <w:r>
        <w:t>Az e tábla 0010., 0020. és 0040. oszlopában feltüntetett értékek kombinációja elsődleges kulcsot képez, amelynek a tábla minden sorát egyedileg kell azonosítania.</w:t>
      </w:r>
    </w:p>
    <w:p w14:paraId="7C5566B9" w14:textId="77777777" w:rsidR="00347A09" w:rsidRPr="00D92B3C" w:rsidRDefault="00347A09" w:rsidP="00496909">
      <w:pPr>
        <w:pStyle w:val="InstructionsText2"/>
        <w:rPr>
          <w:rFonts w:cs="Times New Roman"/>
        </w:rPr>
      </w:pPr>
      <w:r>
        <w:t xml:space="preserve">Ebben a táblában csak a {Z 07.01; 0070 mezőkben} kritikusként azonosított funkciókat kell feltüntetni.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Oszlopok</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Útmutató</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Ország</w:t>
            </w:r>
          </w:p>
          <w:p w14:paraId="5C677508" w14:textId="09C6B4A8"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ország, amelynek tekintetében a funkció kritikus, a Z 07.01 (FUNC 1) táblában megadottak szerint.</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Funkció azonosítója</w:t>
            </w:r>
          </w:p>
          <w:p w14:paraId="217B71E6" w14:textId="64F29662"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A fenti II.7.1. pontban meghatározott és a Z 07.01 (FUNC 1) táblában említett kritikus funkciók azonosítója.</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Fő üzletág</w:t>
            </w:r>
          </w:p>
          <w:p w14:paraId="35590170" w14:textId="1CD02A13"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2014/59/EU irányelv 2. cikke (1) bekezdésének 36. pontja és a 2016. február 2-i (EU) 2016/778 felhatalmazáson alapuló bizottsági rendelet 7. cikke szerinti fő üzletág, a Z 07.03 (FUNC 3) táblában megadottak szerint.</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Üzletág azonosítója</w:t>
            </w:r>
          </w:p>
          <w:p w14:paraId="4362D9AE" w14:textId="13A8C92F"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üzletág intézmény által adott egyedi azonosítója; a Z 07.03 (FUNC 3) táblában megadottal megegyező azonosító.</w:t>
            </w:r>
          </w:p>
        </w:tc>
      </w:tr>
    </w:tbl>
    <w:p w14:paraId="07F60CA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4" w:name="_Toc96187378"/>
      <w:r>
        <w:rPr>
          <w:rFonts w:ascii="Times New Roman" w:hAnsi="Times New Roman"/>
          <w:szCs w:val="20"/>
        </w:rPr>
        <w:t>Z 08.00 - Kritikus szolgáltatások (SERV)</w:t>
      </w:r>
      <w:bookmarkEnd w:id="24"/>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Általános útmutató</w:t>
      </w:r>
    </w:p>
    <w:p w14:paraId="4310B78D" w14:textId="6E7BA54F" w:rsidR="008A0BEC" w:rsidRPr="00D92B3C" w:rsidRDefault="008A0BEC" w:rsidP="00496909">
      <w:pPr>
        <w:pStyle w:val="InstructionsText2"/>
        <w:rPr>
          <w:rFonts w:cs="Times New Roman"/>
        </w:rPr>
      </w:pPr>
      <w:r>
        <w:t>Az e táblában feltüntetendő információkat a csoport egészére vonatkozóan egyszer kell jelenteni. A tábla a csoporthoz tartozó bármely szervezet által igénybe vett kritikus szolgáltatásokat sorolja fel és kapcsolja a csoport által biztosított kritikus funkciókhoz.</w:t>
      </w:r>
    </w:p>
    <w:p w14:paraId="735E6BB8" w14:textId="467CD3A0" w:rsidR="00625A0F" w:rsidRPr="00D92B3C" w:rsidRDefault="00276FFB" w:rsidP="00496909">
      <w:pPr>
        <w:pStyle w:val="InstructionsText2"/>
        <w:rPr>
          <w:rFonts w:cs="Times New Roman"/>
        </w:rPr>
      </w:pPr>
      <w:r>
        <w:t>Kritikus szolgáltatásnak minősülnek a csoporton belüli egy vagy több üzleti egység vagy szervezet részére teljesített alapműveletek, -tevékenységek és -szolgáltatások (az előbbiek meghatározott félnek nyújtott szolgáltatások, az utóbbiak megosztott szolgáltatások), amelyekre egy vagy több kritikus funkció ellátásához szükség van. A kritikus szolgáltatásokat nyújthatják csoporton belüli szervezetek (belső szolgáltatás) vagy azok kiszervezhetők külső szolgáltatóhoz (külső szolgáltatás). Egy szolgáltatást akkor kell kritikus szolgáltatásnak tekinteni, ha a szolgáltatás zavara jelentős akadályt jelenthet, vagy teljes mértékben ellehetetlenítheti a kritikus funkció ellátását, mivel ezen szolgáltatások szervesen kapcsolódnak az intézmény által harmadik felek részére biztosított kritikus funkciókhoz.</w:t>
      </w:r>
    </w:p>
    <w:p w14:paraId="08576756" w14:textId="77777777" w:rsidR="0051360C" w:rsidRPr="00D92B3C" w:rsidRDefault="0051360C" w:rsidP="00496909">
      <w:pPr>
        <w:pStyle w:val="InstructionsText2"/>
        <w:rPr>
          <w:rFonts w:cs="Times New Roman"/>
        </w:rPr>
      </w:pPr>
      <w:r>
        <w:t>Ebben a táblában nem kell feltüntetni azokat a szolgáltatásokat, amelyeket teljes egészében egy adott szervezeten belül végeznek.</w:t>
      </w:r>
    </w:p>
    <w:p w14:paraId="1C23FA87" w14:textId="77777777" w:rsidR="009F4567" w:rsidRPr="00D92B3C" w:rsidRDefault="00276FFB" w:rsidP="00496909">
      <w:pPr>
        <w:pStyle w:val="InstructionsText2"/>
        <w:rPr>
          <w:rFonts w:cs="Times New Roman"/>
        </w:rPr>
      </w:pPr>
      <w:r>
        <w:t>Ebben a táblában nem kell feltüntetni azokat a szolgáltatásokat, amelyek nem gyakorolnak lényeges hatást a kritikus funkciókra.</w:t>
      </w:r>
    </w:p>
    <w:p w14:paraId="2B4ECDEF" w14:textId="33F4BD21" w:rsidR="00276FFB" w:rsidRPr="00C518B0" w:rsidRDefault="00276FFB" w:rsidP="00496909">
      <w:pPr>
        <w:pStyle w:val="InstructionsText2"/>
        <w:rPr>
          <w:rFonts w:cs="Times New Roman"/>
        </w:rPr>
      </w:pPr>
      <w:r>
        <w:t xml:space="preserve">Az e tábla 0005., 0010., 0030., 0050., 0070. és 0080. oszlopában feltüntetett értékek kombinációja elsődleges kulcsot képez, amely a tábla minden sora tekintetében egyedi.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A tábla egyes részeire vonatkozó útmutató</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Oszlopok</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Útmutató</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Azonosító</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 szolgáltatás típusa</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szolgáltatás típusa az alábbiakban felsorolt szolgáltatástípusok egyike lehet.</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Amennyiben lehetséges, az alkategóriát kell feltüntetni (két számjegyű azonosító). Amennyiben nincs alkategória, vagy az alkategória nem írja le megfelelően az intézmény által nyújtott szolgáltatást, a fő kategóriát (egy számjegyű azonosító) kell feltüntetni.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w:t>
            </w:r>
            <w:r>
              <w:tab/>
            </w:r>
            <w:r>
              <w:rPr>
                <w:rFonts w:ascii="Times New Roman" w:hAnsi="Times New Roman"/>
                <w:color w:val="000000" w:themeColor="text1"/>
                <w:sz w:val="20"/>
                <w:szCs w:val="20"/>
              </w:rPr>
              <w:t>Emberi erőforrásokkal kapcsolatos támogatás</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r>
              <w:tab/>
            </w:r>
            <w:r>
              <w:rPr>
                <w:rFonts w:ascii="Times New Roman" w:hAnsi="Times New Roman"/>
                <w:color w:val="000000" w:themeColor="text1"/>
                <w:sz w:val="20"/>
                <w:szCs w:val="20"/>
              </w:rPr>
              <w:t xml:space="preserve">munkavállalókkal kapcsolatos igazgatási feladatok, beleértve a szerződések és a bérezés kezelését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r>
              <w:tab/>
            </w:r>
            <w:r>
              <w:rPr>
                <w:rFonts w:ascii="Times New Roman" w:hAnsi="Times New Roman"/>
                <w:color w:val="000000" w:themeColor="text1"/>
                <w:sz w:val="20"/>
                <w:szCs w:val="20"/>
              </w:rPr>
              <w:t>belső kommunikáció</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w:t>
            </w:r>
            <w:r>
              <w:tab/>
            </w:r>
            <w:r>
              <w:rPr>
                <w:rFonts w:ascii="Times New Roman" w:hAnsi="Times New Roman"/>
                <w:color w:val="000000" w:themeColor="text1"/>
                <w:sz w:val="20"/>
                <w:szCs w:val="20"/>
              </w:rPr>
              <w:t xml:space="preserve">Információs technológia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2.1.</w:t>
            </w:r>
            <w:r>
              <w:tab/>
            </w:r>
            <w:r>
              <w:rPr>
                <w:rFonts w:ascii="Times New Roman" w:hAnsi="Times New Roman"/>
                <w:color w:val="000000" w:themeColor="text1"/>
                <w:sz w:val="20"/>
                <w:szCs w:val="20"/>
              </w:rPr>
              <w:t xml:space="preserve">informatikai és kommunikációs eszközök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r>
              <w:tab/>
            </w:r>
            <w:r>
              <w:rPr>
                <w:rFonts w:ascii="Times New Roman" w:hAnsi="Times New Roman"/>
                <w:color w:val="000000" w:themeColor="text1"/>
                <w:sz w:val="20"/>
                <w:szCs w:val="20"/>
              </w:rPr>
              <w:t xml:space="preserve">adattárolás és -feldolgozás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r>
              <w:tab/>
            </w:r>
            <w:r>
              <w:rPr>
                <w:rFonts w:ascii="Times New Roman" w:hAnsi="Times New Roman"/>
                <w:color w:val="000000" w:themeColor="text1"/>
                <w:sz w:val="20"/>
                <w:szCs w:val="20"/>
              </w:rPr>
              <w:t xml:space="preserve">egyéb informatikai infrastruktúra, munkaállomások, távközlés, szerverek, adatközpontok és kapcsolódó szolgáltatások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r>
              <w:tab/>
            </w:r>
            <w:r>
              <w:rPr>
                <w:rFonts w:ascii="Times New Roman" w:hAnsi="Times New Roman"/>
                <w:color w:val="000000" w:themeColor="text1"/>
                <w:sz w:val="20"/>
                <w:szCs w:val="20"/>
              </w:rPr>
              <w:t xml:space="preserve">szoftverlicencek és szoftveralkalmazások kezelése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r>
              <w:tab/>
            </w:r>
            <w:r>
              <w:rPr>
                <w:rFonts w:ascii="Times New Roman" w:hAnsi="Times New Roman"/>
                <w:color w:val="000000" w:themeColor="text1"/>
                <w:sz w:val="20"/>
                <w:szCs w:val="20"/>
              </w:rPr>
              <w:t xml:space="preserve">külső szolgáltatókhoz, különösen adat- és infrastruktúra-szolgáltatókhoz való hozzáférés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w:t>
            </w:r>
            <w:r>
              <w:tab/>
            </w:r>
            <w:r>
              <w:rPr>
                <w:rFonts w:ascii="Times New Roman" w:hAnsi="Times New Roman"/>
                <w:color w:val="000000" w:themeColor="text1"/>
                <w:sz w:val="20"/>
                <w:szCs w:val="20"/>
              </w:rPr>
              <w:t xml:space="preserve">alkalmazások karbantartása, ideértve a szoftveralkalmazások karbantartását és a kapcsolódó adatáramokat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2.7.</w:t>
            </w:r>
            <w:r>
              <w:tab/>
            </w:r>
            <w:r>
              <w:rPr>
                <w:rFonts w:ascii="Times New Roman" w:hAnsi="Times New Roman"/>
                <w:color w:val="000000" w:themeColor="text1"/>
                <w:sz w:val="20"/>
                <w:szCs w:val="20"/>
              </w:rPr>
              <w:t>beszámolók készítése, belső információáramlás és adatbázisok</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2.8.</w:t>
            </w:r>
            <w:r>
              <w:tab/>
            </w:r>
            <w:r>
              <w:rPr>
                <w:rFonts w:ascii="Times New Roman" w:hAnsi="Times New Roman"/>
                <w:color w:val="000000" w:themeColor="text1"/>
                <w:sz w:val="20"/>
                <w:szCs w:val="20"/>
              </w:rPr>
              <w:t>felhasználók részére nyújtott támogatás</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2.9.</w:t>
            </w:r>
            <w:r>
              <w:tab/>
            </w:r>
            <w:r>
              <w:rPr>
                <w:rFonts w:ascii="Times New Roman" w:hAnsi="Times New Roman"/>
                <w:color w:val="000000" w:themeColor="text1"/>
                <w:sz w:val="20"/>
                <w:szCs w:val="20"/>
              </w:rPr>
              <w:t>vészhelyzeti szolgáltatások és katasztrófaelhárítás</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w:t>
            </w:r>
            <w:r>
              <w:tab/>
            </w:r>
            <w:r>
              <w:rPr>
                <w:rFonts w:ascii="Times New Roman" w:hAnsi="Times New Roman"/>
                <w:color w:val="000000" w:themeColor="text1"/>
                <w:sz w:val="20"/>
                <w:szCs w:val="20"/>
              </w:rPr>
              <w:t>Ügyletek feldolgozása, ideértve az ügyletekkel kapcsolatos jogi kérdéseket, különösen a pénzmosás megakadályozását</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w:t>
            </w:r>
            <w:r>
              <w:tab/>
            </w:r>
            <w:r>
              <w:rPr>
                <w:rFonts w:ascii="Times New Roman" w:hAnsi="Times New Roman"/>
                <w:color w:val="000000" w:themeColor="text1"/>
                <w:sz w:val="20"/>
                <w:szCs w:val="20"/>
              </w:rPr>
              <w:t xml:space="preserve">Ingatlanok és létesítmények rendelkezésre bocsátása vagy kezelése, és kapcsolódó létesítmények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r>
              <w:tab/>
            </w:r>
            <w:r>
              <w:rPr>
                <w:rFonts w:ascii="Times New Roman" w:hAnsi="Times New Roman"/>
                <w:color w:val="000000" w:themeColor="text1"/>
                <w:sz w:val="20"/>
                <w:szCs w:val="20"/>
              </w:rPr>
              <w:t xml:space="preserve">irodai és tárolási célú helyiségek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r>
              <w:tab/>
            </w:r>
            <w:r>
              <w:rPr>
                <w:rFonts w:ascii="Times New Roman" w:hAnsi="Times New Roman"/>
                <w:color w:val="000000" w:themeColor="text1"/>
                <w:sz w:val="20"/>
                <w:szCs w:val="20"/>
              </w:rPr>
              <w:t>belső létesítménykezelés</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r>
              <w:tab/>
            </w:r>
            <w:r>
              <w:rPr>
                <w:rFonts w:ascii="Times New Roman" w:hAnsi="Times New Roman"/>
                <w:color w:val="000000" w:themeColor="text1"/>
                <w:sz w:val="20"/>
                <w:szCs w:val="20"/>
              </w:rPr>
              <w:t xml:space="preserve">biztonság és a beléptetés szabályozása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r>
              <w:tab/>
            </w:r>
            <w:r>
              <w:rPr>
                <w:rFonts w:ascii="Times New Roman" w:hAnsi="Times New Roman"/>
                <w:color w:val="000000" w:themeColor="text1"/>
                <w:sz w:val="20"/>
                <w:szCs w:val="20"/>
              </w:rPr>
              <w:t>ingatlanportfólió kezelése</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w:t>
            </w:r>
            <w:r>
              <w:tab/>
            </w:r>
            <w:r>
              <w:rPr>
                <w:rFonts w:ascii="Times New Roman" w:hAnsi="Times New Roman"/>
                <w:color w:val="000000" w:themeColor="text1"/>
                <w:sz w:val="20"/>
                <w:szCs w:val="20"/>
              </w:rPr>
              <w:t xml:space="preserve">egyéb, kérjük nevezze meg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w:t>
            </w:r>
            <w:r>
              <w:tab/>
            </w:r>
            <w:r>
              <w:rPr>
                <w:rFonts w:ascii="Times New Roman" w:hAnsi="Times New Roman"/>
                <w:color w:val="000000" w:themeColor="text1"/>
                <w:sz w:val="20"/>
                <w:szCs w:val="20"/>
              </w:rPr>
              <w:t xml:space="preserve">Jogi szolgáltatások és megfelelési funkciók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r>
              <w:tab/>
            </w:r>
            <w:r>
              <w:rPr>
                <w:rFonts w:ascii="Times New Roman" w:hAnsi="Times New Roman"/>
                <w:color w:val="000000" w:themeColor="text1"/>
                <w:sz w:val="20"/>
                <w:szCs w:val="20"/>
              </w:rPr>
              <w:t xml:space="preserve">vállalati jogi támogatás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r>
              <w:tab/>
            </w:r>
            <w:r>
              <w:rPr>
                <w:rFonts w:ascii="Times New Roman" w:hAnsi="Times New Roman"/>
                <w:color w:val="000000" w:themeColor="text1"/>
                <w:sz w:val="20"/>
                <w:szCs w:val="20"/>
              </w:rPr>
              <w:t>üzleti és ügyleti jogi szolgáltatások</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r>
              <w:tab/>
            </w:r>
            <w:r>
              <w:rPr>
                <w:rFonts w:ascii="Times New Roman" w:hAnsi="Times New Roman"/>
                <w:color w:val="000000" w:themeColor="text1"/>
                <w:sz w:val="20"/>
                <w:szCs w:val="20"/>
              </w:rPr>
              <w:t>megfelelési támogatás</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w:t>
            </w:r>
            <w:r>
              <w:tab/>
            </w:r>
            <w:r>
              <w:rPr>
                <w:rFonts w:ascii="Times New Roman" w:hAnsi="Times New Roman"/>
                <w:color w:val="000000" w:themeColor="text1"/>
                <w:sz w:val="20"/>
                <w:szCs w:val="20"/>
              </w:rPr>
              <w:t xml:space="preserve">Treasury szolgáltatások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6.1.</w:t>
            </w:r>
            <w:r>
              <w:tab/>
            </w:r>
            <w:r>
              <w:rPr>
                <w:rFonts w:ascii="Times New Roman" w:hAnsi="Times New Roman"/>
                <w:color w:val="000000" w:themeColor="text1"/>
                <w:sz w:val="20"/>
                <w:szCs w:val="20"/>
              </w:rPr>
              <w:t>treasury tevékenység összehangolása, irányítása és kezelése</w:t>
            </w:r>
          </w:p>
          <w:p w14:paraId="1DE5C800" w14:textId="56265D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6.2.</w:t>
            </w:r>
            <w:r>
              <w:tab/>
            </w:r>
            <w:r>
              <w:rPr>
                <w:rFonts w:ascii="Times New Roman" w:hAnsi="Times New Roman"/>
                <w:color w:val="000000" w:themeColor="text1"/>
                <w:sz w:val="20"/>
                <w:szCs w:val="20"/>
              </w:rPr>
              <w:t xml:space="preserve">a vállalkozás refinanszírozásának összehangolása, irányítása és kezelése, ideértve a biztosítékok kezelését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6.3.</w:t>
            </w:r>
            <w:r>
              <w:tab/>
            </w:r>
            <w:r>
              <w:rPr>
                <w:rFonts w:ascii="Times New Roman" w:hAnsi="Times New Roman"/>
                <w:color w:val="000000" w:themeColor="text1"/>
                <w:sz w:val="20"/>
                <w:szCs w:val="20"/>
              </w:rPr>
              <w:t xml:space="preserve">adatszolgáltatási funkciók, különösen a hatósági likviditási rátákkal kapcsolatban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6.4.</w:t>
            </w:r>
            <w:r>
              <w:tab/>
            </w:r>
            <w:r>
              <w:rPr>
                <w:rFonts w:ascii="Times New Roman" w:hAnsi="Times New Roman"/>
                <w:color w:val="000000" w:themeColor="text1"/>
                <w:sz w:val="20"/>
                <w:szCs w:val="20"/>
              </w:rPr>
              <w:t xml:space="preserve">közép- és hosszú távú finanszírozási programok, valamint a csoporthoz tartozó vállalkozások refinanszírozásának összehangolása, irányítása és kezelése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6.5.</w:t>
            </w:r>
            <w:r>
              <w:tab/>
            </w:r>
            <w:r>
              <w:rPr>
                <w:rFonts w:ascii="Times New Roman" w:hAnsi="Times New Roman"/>
                <w:color w:val="000000" w:themeColor="text1"/>
                <w:sz w:val="20"/>
                <w:szCs w:val="20"/>
              </w:rPr>
              <w:t>refinanszírozás, különösen a rövid távú kibocsátások összehangolása, irányítása és kezelése</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w:t>
            </w:r>
            <w:r>
              <w:tab/>
            </w:r>
            <w:r>
              <w:rPr>
                <w:rFonts w:ascii="Times New Roman" w:hAnsi="Times New Roman"/>
                <w:color w:val="000000" w:themeColor="text1"/>
                <w:sz w:val="20"/>
                <w:szCs w:val="20"/>
              </w:rPr>
              <w:t>Kereskedés/eszközkezelés</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7.1.</w:t>
            </w:r>
            <w:r>
              <w:tab/>
            </w:r>
            <w:r>
              <w:rPr>
                <w:rFonts w:ascii="Times New Roman" w:hAnsi="Times New Roman"/>
                <w:color w:val="000000" w:themeColor="text1"/>
                <w:sz w:val="20"/>
                <w:szCs w:val="20"/>
              </w:rPr>
              <w:t>működési folyamatok: kereskedés rögzítése, kereskedési termékek kidolgozása, megvalósítása és kezelése</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7.2.</w:t>
            </w:r>
            <w:r>
              <w:tab/>
            </w:r>
            <w:r>
              <w:rPr>
                <w:rFonts w:ascii="Times New Roman" w:hAnsi="Times New Roman"/>
                <w:color w:val="000000" w:themeColor="text1"/>
                <w:sz w:val="20"/>
                <w:szCs w:val="20"/>
              </w:rPr>
              <w:t>visszaigazolás, kiegyenlítés, fizetés</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7.3.</w:t>
            </w:r>
            <w:r>
              <w:tab/>
            </w:r>
            <w:r>
              <w:rPr>
                <w:rFonts w:ascii="Times New Roman" w:hAnsi="Times New Roman"/>
                <w:color w:val="000000" w:themeColor="text1"/>
                <w:sz w:val="20"/>
                <w:szCs w:val="20"/>
              </w:rPr>
              <w:t xml:space="preserve">pozíciók és szerződő partnerek kezelése az adatszolgáltatás és a szerződő partnerekkel fennálló viszony tekintetében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7.4.</w:t>
            </w:r>
            <w:r>
              <w:tab/>
            </w:r>
            <w:r>
              <w:rPr>
                <w:rFonts w:ascii="Times New Roman" w:hAnsi="Times New Roman"/>
                <w:color w:val="000000" w:themeColor="text1"/>
                <w:sz w:val="20"/>
                <w:szCs w:val="20"/>
              </w:rPr>
              <w:t>pozíciók kezelése (kockázat és egyeztetés)</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w:t>
            </w:r>
            <w:r>
              <w:tab/>
            </w:r>
            <w:r>
              <w:rPr>
                <w:rFonts w:ascii="Times New Roman" w:hAnsi="Times New Roman"/>
                <w:color w:val="000000" w:themeColor="text1"/>
                <w:sz w:val="20"/>
                <w:szCs w:val="20"/>
              </w:rPr>
              <w:t xml:space="preserve">Kockázatkezelés és értékelés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8.1.</w:t>
            </w:r>
            <w:r>
              <w:tab/>
            </w:r>
            <w:r>
              <w:rPr>
                <w:rFonts w:ascii="Times New Roman" w:hAnsi="Times New Roman"/>
                <w:color w:val="000000" w:themeColor="text1"/>
                <w:sz w:val="20"/>
                <w:szCs w:val="20"/>
              </w:rPr>
              <w:t>központi, üzletág- vagy kockázattípus-alapú kockázatkezelés</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8.2.</w:t>
            </w:r>
            <w:r>
              <w:tab/>
            </w:r>
            <w:r>
              <w:rPr>
                <w:rFonts w:ascii="Times New Roman" w:hAnsi="Times New Roman"/>
                <w:color w:val="000000" w:themeColor="text1"/>
                <w:sz w:val="20"/>
                <w:szCs w:val="20"/>
              </w:rPr>
              <w:t>kockázati jelentések készítése</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9.</w:t>
            </w:r>
            <w:r>
              <w:tab/>
            </w:r>
            <w:r>
              <w:rPr>
                <w:rFonts w:ascii="Times New Roman" w:hAnsi="Times New Roman"/>
                <w:color w:val="000000" w:themeColor="text1"/>
                <w:sz w:val="20"/>
                <w:szCs w:val="20"/>
              </w:rPr>
              <w:t xml:space="preserve">Számvitel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9.1.</w:t>
            </w:r>
            <w:r>
              <w:tab/>
            </w:r>
            <w:r>
              <w:rPr>
                <w:rFonts w:ascii="Times New Roman" w:hAnsi="Times New Roman"/>
                <w:color w:val="000000" w:themeColor="text1"/>
                <w:sz w:val="20"/>
                <w:szCs w:val="20"/>
              </w:rPr>
              <w:t>jogszabályban előírt és hatósági adatszolgáltatás</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9.2.</w:t>
            </w:r>
            <w:r>
              <w:tab/>
            </w:r>
            <w:r>
              <w:rPr>
                <w:rFonts w:ascii="Times New Roman" w:hAnsi="Times New Roman"/>
                <w:color w:val="000000" w:themeColor="text1"/>
                <w:sz w:val="20"/>
                <w:szCs w:val="20"/>
              </w:rPr>
              <w:t>értékelés, különösen a piaci pozícióké</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9.3.</w:t>
            </w:r>
            <w:r>
              <w:tab/>
            </w:r>
            <w:r>
              <w:rPr>
                <w:rFonts w:ascii="Times New Roman" w:hAnsi="Times New Roman"/>
                <w:color w:val="000000" w:themeColor="text1"/>
                <w:sz w:val="20"/>
                <w:szCs w:val="20"/>
              </w:rPr>
              <w:t>a menedzsment részére készített beszámolók</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10.</w:t>
            </w:r>
            <w:r>
              <w:tab/>
            </w:r>
            <w:r>
              <w:rPr>
                <w:rFonts w:ascii="Times New Roman" w:hAnsi="Times New Roman"/>
                <w:color w:val="000000" w:themeColor="text1"/>
                <w:sz w:val="20"/>
                <w:szCs w:val="20"/>
              </w:rPr>
              <w:t>Készpénzkezelés</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2E6E772D"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A szolgáltatás igénybevevője </w:t>
            </w:r>
          </w:p>
          <w:p w14:paraId="22F27FF5" w14:textId="5E39AA0B"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csoport azon szervezeti egysége, amely a 0040–0050. oszlopban feltüntetett, a csoporthoz tartozó másik vállalkozás vagy külső szolgáltató által nyújtott, a 0010. oszlopban feltüntetett kritikus szolgáltatást igénybe veszi.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Szervezet neve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Nem lehet azonos a 0040. oszlopban megadott névvel.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Kód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0020. oszlopban feltüntetett szervezet Z 01.00 (ORG) tábla szerinti egyedi azonosítója.</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Nem lehet azonos a 0050. oszlopban megadott azonosítóval.</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6D2C414"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A szolgáltatás nyújtója </w:t>
            </w:r>
          </w:p>
          <w:p w14:paraId="3223CEC4" w14:textId="5874EBDC"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(belső vagy külső) szervezet, amely a 0010. oszlopban feltüntetett kritikus szolgáltatást a csoporthoz tartozó vállalkozás számára nyújtja.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Szervezet neve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Nem lehet azonos a 0020. oszlopban megadott névvel.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Kód </w:t>
            </w:r>
          </w:p>
          <w:p w14:paraId="4A4E0476" w14:textId="694A9513"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0040. oszlopban feltüntetett szervezet egyedi azonosítója. Nem lehet azonos a 0030. oszlopban megadott azonosítóval.</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Amennyiben a szolgáltatás nyújtója csoporthoz tartozó vállalkozás, a kódnak meg kell egyeznie a Z 01.00 (ORG) táblában feltüntetett kóddal.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Amennyiben a szolgáltatás nyújtója nem a csoporthoz tartozó vállalkozás, a kód a következő:</w:t>
            </w:r>
          </w:p>
          <w:p w14:paraId="64093F7E" w14:textId="77777777" w:rsidR="00E02367" w:rsidRPr="00D92B3C" w:rsidRDefault="00E02367" w:rsidP="008F43E2">
            <w:pPr>
              <w:pStyle w:val="TableParagraph"/>
              <w:numPr>
                <w:ilvl w:val="0"/>
                <w:numId w:val="18"/>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intézmények esetében a kód a 20 jegyű, alfanumerikus LEI-kód;</w:t>
            </w:r>
          </w:p>
          <w:p w14:paraId="51D5C0A1" w14:textId="7077E9B3" w:rsidR="000725C8" w:rsidRPr="00D92B3C" w:rsidRDefault="00E02367" w:rsidP="008F43E2">
            <w:pPr>
              <w:pStyle w:val="TableParagraph"/>
              <w:numPr>
                <w:ilvl w:val="0"/>
                <w:numId w:val="18"/>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más szervezetek esetében a kód a 20 jegyű, alfanumerikus LEI-kód, vagy ha nem áll rendelkezésre, az Unióban alkalmazandó egységes kódrendszer szerinti kód, vagy ha ez sem áll rendelkezésre, valamely nemzeti kód.</w:t>
            </w:r>
          </w:p>
          <w:p w14:paraId="45AAC981" w14:textId="6D45F0BC"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kódnak egyedinek kell lennie, és azt valamennyi táblán következetesen kell használni.</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Csoporthoz tartozó </w:t>
            </w:r>
          </w:p>
          <w:p w14:paraId="04ECDBB4" w14:textId="653D58FC"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„Igen” – ha a szolgáltatást a csoporthoz tartozó vállalkozás nyújtja („belső”)</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„Nem” – ha a szolgáltatást a csoporton kívüli szervezet nyújtja („külső”)</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6D29BF61"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Kritikus funkció</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kritikus funkció, amelynek ellátását súlyosan akadályozná vagy teljesen meggátolná a kritikus szolgáltatás zavara. A Z 07.01 (FUNC 1) táblában kritikusnak minősített funkciók egyike.</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Ország</w:t>
            </w:r>
          </w:p>
          <w:p w14:paraId="2B58731B" w14:textId="7D8BB873"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Az az uniós tagállam, amelynek tekintetében a Z 07.01 (FUNC 1) táblában megadottak szerint a funkció kritikus.</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Azonosító</w:t>
            </w:r>
          </w:p>
          <w:p w14:paraId="6FB32253" w14:textId="71CDA39A"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lastRenderedPageBreak/>
              <w:t>A fenti II.7.1. pontban meghatározott és a Z 07.01 (FUNC 1) táblában említett kritikus funkciók azonosítója.</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A helyettesítéshez szükséges becsült időtartam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Valamely szolgáltató hasonló tárgyú, minőségű és árú szolgáltatást nyújtó másik szolgáltatóval való helyettesítéséhez szükséges becsült idő.</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következő értékek egyikét kell megadni:</w:t>
            </w:r>
          </w:p>
          <w:p w14:paraId="275C7D22" w14:textId="5B618159"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nap – 1 hét”, ha a helyettesítéshez legfeljebb egy hétre van szükség;</w:t>
            </w:r>
          </w:p>
          <w:p w14:paraId="22395593" w14:textId="2B2ED6BA"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hét – 1 hónap”, ha a helyettesítéshez egy hétnél hosszabb időre, de legfeljebb egy hónapra van szükség;</w:t>
            </w:r>
          </w:p>
          <w:p w14:paraId="0C94A22D" w14:textId="572C3DF2"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 6 hónap”, ha a helyettesítéshez egy hónapnál hosszabb időre, de legfeljebb 6 hónapra van szükség;</w:t>
            </w:r>
          </w:p>
          <w:p w14:paraId="3D1E4D8C" w14:textId="2861E453"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„6 – 12 hónap”, ha a helyettesítéshez 6 hónapnál hosszabb időre, de legfeljebb egy évre van szükség;</w:t>
            </w:r>
          </w:p>
          <w:p w14:paraId="4A596007" w14:textId="57ED76F4" w:rsidR="008E0043" w:rsidRPr="008E0043" w:rsidRDefault="008E0043">
            <w:pPr>
              <w:pStyle w:val="List1"/>
              <w:rPr>
                <w:rFonts w:eastAsia="Cambria"/>
                <w:w w:val="95"/>
              </w:rPr>
            </w:pPr>
            <w:r>
              <w:rPr>
                <w:rFonts w:ascii="Times New Roman" w:hAnsi="Times New Roman"/>
                <w:sz w:val="20"/>
                <w:szCs w:val="20"/>
              </w:rPr>
              <w:t xml:space="preserve">„több mint 1 év”, ha a helyettesítéshez egy évnél hosszabb időre van szükség.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 szerződésekhez való hozzáféréshez szükséges becsült időtartam</w:t>
            </w:r>
          </w:p>
          <w:p w14:paraId="58E0237A" w14:textId="74300C1C"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szanálási hatóság kérését követően a szolgáltatást szabályozó szerződésre vonatkozó következő információk lehívásához szükséges becsült idő:</w:t>
            </w:r>
          </w:p>
          <w:p w14:paraId="29BDEBD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 szerződés időtartama</w:t>
            </w:r>
          </w:p>
          <w:p w14:paraId="760C8B5C"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 szerződés részes felei (igénybevevő és szállító, kapcsolattartó személyek) és joghatóságuk</w:t>
            </w:r>
          </w:p>
          <w:p w14:paraId="5A4B51D7"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 szolgáltatás jellege (azaz a felek közötti ügylet jellegének rövid leírása, beleértve az árakat is)</w:t>
            </w:r>
          </w:p>
          <w:p w14:paraId="168F840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nyújthatja-e a szolgáltatást más belső/külső szolgáltató is (és a potenciális szolgáltatók azonosítása)</w:t>
            </w:r>
          </w:p>
          <w:p w14:paraId="1AC952C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 szerződés joghatósága</w:t>
            </w:r>
          </w:p>
          <w:p w14:paraId="387A0373" w14:textId="5495466F"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 szerződés hatálya alá tartozó fő műveletek kezeléséért felelős szervezeti egység</w:t>
            </w:r>
          </w:p>
          <w:p w14:paraId="3BE3141E"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 szerződésben foglalt fő szankciók a kifizetések felfüggesztése vagy késedelme esetén</w:t>
            </w:r>
          </w:p>
          <w:p w14:paraId="1187855D" w14:textId="7DBBE058"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 szerződés idő előtti megszüntetését lehetővé tevő ok és a megszüntetésre biztosított idő</w:t>
            </w:r>
          </w:p>
          <w:p w14:paraId="1713F8AF"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 megszüntetést követő működési támogatás</w:t>
            </w:r>
          </w:p>
          <w:p w14:paraId="7438186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érintett kritikus funkciók és üzletágak</w:t>
            </w:r>
          </w:p>
          <w:p w14:paraId="270C3408" w14:textId="77777777"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következő értékek egyikét kell megadni:</w:t>
            </w:r>
          </w:p>
          <w:p w14:paraId="1A34D4E0"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nap</w:t>
            </w:r>
          </w:p>
          <w:p w14:paraId="77D7512A"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nap – 1 hét</w:t>
            </w:r>
          </w:p>
          <w:p w14:paraId="1A51B684"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több mint 1 hét</w:t>
            </w:r>
          </w:p>
          <w:p w14:paraId="4BD39BFA" w14:textId="77777777" w:rsidR="000713A0" w:rsidRPr="00D92B3C" w:rsidRDefault="000713A0">
            <w:pPr>
              <w:pStyle w:val="List1"/>
              <w:rPr>
                <w:rFonts w:eastAsia="Cambria"/>
                <w:w w:val="95"/>
              </w:rPr>
            </w:pPr>
            <w:r>
              <w:rPr>
                <w:rFonts w:ascii="Times New Roman" w:hAnsi="Times New Roman"/>
                <w:sz w:val="20"/>
                <w:szCs w:val="20"/>
              </w:rPr>
              <w:t>a szolgáltatást nem szabályozza szerződés</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Irányadó jog</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Annak az országnak az ISO-kódja, amelynek joga a szerződésre irányadó.</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Szanálásbiztos szerződés </w:t>
            </w:r>
          </w:p>
          <w:p w14:paraId="0D2797BC" w14:textId="299C15CB"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táblában annak az értékelésnek az eredményéről kell beszámolni, amelynek keretében azt vizsgálták, hogy a szerződés a szanálás során folytatható és átruházható-e. </w:t>
            </w:r>
          </w:p>
          <w:p w14:paraId="42F4B78D"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értékelésnek figyelembe kell vennie többek között a következőket:</w:t>
            </w:r>
          </w:p>
          <w:p w14:paraId="4132752A"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bármely olyan rendelkezés, amely a partnert feljogosítja arra, hogy a szerződést a lényegi szerződéses kötelezettségek folytatódó teljesítése ellenére pusztán a szanálásra, a korai beavatkozási intézkedésekre vagy más szerződések nemteljesítésére (cross-default) való hivatkozással felmondja;</w:t>
            </w:r>
          </w:p>
          <w:p w14:paraId="47C59709"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bármely olyan rendelkezés, amely a partnert feljogosítja arra, hogy a szerződés feltételeit vagy az árat a lényegi szerződéses kötelezettségek folytatódó teljesítése ellenére pusztán a szanálásra, a korai beavatkozási intézkedésekre vagy más szerződések nemteljesítésére (cross-default) való hivatkozással módosítsa;</w:t>
            </w:r>
          </w:p>
          <w:p w14:paraId="024018C1" w14:textId="77777777" w:rsidR="000713A0" w:rsidRPr="00C050EE" w:rsidRDefault="00796C03">
            <w:pPr>
              <w:pStyle w:val="List1"/>
              <w:rPr>
                <w:rFonts w:ascii="Times New Roman" w:eastAsia="Cambria" w:hAnsi="Times New Roman" w:cs="Times New Roman"/>
                <w:w w:val="95"/>
                <w:sz w:val="20"/>
                <w:szCs w:val="20"/>
              </w:rPr>
            </w:pPr>
            <w:r>
              <w:rPr>
                <w:rFonts w:ascii="Times New Roman" w:hAnsi="Times New Roman"/>
                <w:sz w:val="20"/>
                <w:szCs w:val="20"/>
              </w:rPr>
              <w:t>a szanálási hatóságok felfüggesztési jogainak elismerése a szerződésben.</w:t>
            </w:r>
          </w:p>
          <w:p w14:paraId="7002477A" w14:textId="77777777"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következő értékek egyikét kell megadni:</w:t>
            </w:r>
          </w:p>
          <w:p w14:paraId="227D0956"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„Igen” – ha a szerződés szanálásbiztos az értékelés alapján</w:t>
            </w:r>
          </w:p>
          <w:p w14:paraId="31DBF5F2"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„Nem” – ha a szerződés nem szanálásbiztos az értékelés alapján</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„Nem készült értékelés” – ha nem készült értékelés</w:t>
            </w:r>
          </w:p>
        </w:tc>
      </w:tr>
    </w:tbl>
    <w:p w14:paraId="4E1DED29" w14:textId="77777777" w:rsidR="00276FFB" w:rsidRPr="009B4613" w:rsidRDefault="00276FFB" w:rsidP="00276FFB">
      <w:pPr>
        <w:rPr>
          <w:rFonts w:ascii="Times New Roman" w:hAnsi="Times New Roman" w:cs="Times New Roman"/>
          <w:b/>
          <w:color w:val="000000" w:themeColor="text1"/>
          <w:sz w:val="20"/>
          <w:szCs w:val="20"/>
          <w:u w:val="single"/>
        </w:rPr>
      </w:pPr>
    </w:p>
    <w:p w14:paraId="6D202B10" w14:textId="72DAFE96" w:rsidR="00E13CE3" w:rsidRPr="00D92B3C" w:rsidRDefault="0066458F" w:rsidP="00D829EE">
      <w:pPr>
        <w:pStyle w:val="Instructionsberschrift2"/>
        <w:numPr>
          <w:ilvl w:val="1"/>
          <w:numId w:val="6"/>
        </w:numPr>
        <w:ind w:left="357" w:hanging="357"/>
        <w:rPr>
          <w:rFonts w:ascii="Times New Roman" w:hAnsi="Times New Roman" w:cs="Times New Roman"/>
          <w:szCs w:val="20"/>
        </w:rPr>
      </w:pPr>
      <w:bookmarkStart w:id="25" w:name="_Toc492542329"/>
      <w:bookmarkStart w:id="26" w:name="_Toc96187379"/>
      <w:bookmarkEnd w:id="25"/>
      <w:r>
        <w:rPr>
          <w:rFonts w:ascii="Times New Roman" w:hAnsi="Times New Roman"/>
          <w:color w:val="000000" w:themeColor="text1"/>
          <w:szCs w:val="20"/>
        </w:rPr>
        <w:t>Z 09.00 – Pénzügyi piaci infrastrukturális szolgáltatások – Szolgáltatók és felhasználók – Kritikus funkciókhoz való hozzárendelés</w:t>
      </w:r>
      <w:bookmarkEnd w:id="26"/>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Általános megjegyzések</w:t>
      </w:r>
    </w:p>
    <w:p w14:paraId="39C7B346" w14:textId="3577D4B1" w:rsidR="008F717A" w:rsidRPr="00D92B3C" w:rsidRDefault="008F717A" w:rsidP="00496909">
      <w:pPr>
        <w:pStyle w:val="InstructionsText2"/>
        <w:rPr>
          <w:rFonts w:cs="Times New Roman"/>
        </w:rPr>
      </w:pPr>
      <w:r>
        <w:t>Ez a tábla tartalmazza azon elszámolási, pénzforgalmi, értékpapír-kiegyenlítési és letéti őrzési tevékenységeket, funkciókat vagy szolgáltatásokat, amelyek megszűnése jelentősen hátráltatja vagy teljesen megakadályozza egy vagy több kritikus funkció ellátását.</w:t>
      </w:r>
    </w:p>
    <w:p w14:paraId="3D356696" w14:textId="77777777" w:rsidR="00120519" w:rsidRPr="00D92B3C" w:rsidRDefault="00FE54EF" w:rsidP="00496909">
      <w:pPr>
        <w:pStyle w:val="InstructionsText2"/>
        <w:rPr>
          <w:rFonts w:cs="Times New Roman"/>
        </w:rPr>
      </w:pPr>
      <w:r>
        <w:t>Ezt a táblát a teljes intézményre vagy csoportra vonatkozóan egyszer kell kitölteni.</w:t>
      </w:r>
    </w:p>
    <w:p w14:paraId="44AD6062" w14:textId="350A1600" w:rsidR="000F273B" w:rsidRDefault="00AA6491" w:rsidP="00496909">
      <w:pPr>
        <w:pStyle w:val="InstructionsText2"/>
        <w:rPr>
          <w:rFonts w:cs="Times New Roman"/>
        </w:rPr>
      </w:pPr>
      <w:r>
        <w:t>Csak azokat a pénzügyi piaci infrastruktúrákat kell feltüntetni, amelyek zavara jelentősen hátráltatja vagy megakadályozza egy vagy több kritikus funkció ellátását.</w:t>
      </w:r>
    </w:p>
    <w:p w14:paraId="603C4710" w14:textId="5D3F1CCB" w:rsidR="00400DF4" w:rsidRPr="00D92B3C" w:rsidRDefault="00400DF4" w:rsidP="00496909">
      <w:pPr>
        <w:pStyle w:val="InstructionsText2"/>
        <w:rPr>
          <w:rFonts w:cs="Times New Roman"/>
        </w:rPr>
      </w:pPr>
      <w:r>
        <w:t>Az e tábla 0020., 0030., 0040., 0070. és 0100. oszlopában feltüntetett értékek kombinációja elsődleges kulcsot képez, amely a tábla minden sora tekintetében egyedi.</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A tábla egyes részeire vonatkozó útmutató</w:t>
      </w:r>
    </w:p>
    <w:p w14:paraId="16D3C175" w14:textId="77777777" w:rsidR="00772F88" w:rsidRPr="009B4613"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Oszlopok</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Útmutató</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2FF337E9"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Felhasználó</w:t>
            </w:r>
          </w:p>
          <w:p w14:paraId="6B2AFD23" w14:textId="150ABED3"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A csoporthoz tartozó, a Z 01.00. – Szervezeti felépítés (ORG) tábla szerinti vállalkozás, amely pénzforgalmi, letéti őrzési, kiegyenlítési, elszámolási vagy kereskedési adattári szolgáltatásokat vesz igénybe.</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Szervezet neve</w:t>
            </w:r>
          </w:p>
          <w:p w14:paraId="137DFF07" w14:textId="22BDDD3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pénzforgalmi, letéti őrzési, kiegyenlítési, elszámolási vagy kereskedési adattári szolgáltatásokat igénybe vevő szervezet neve a Z 01.00 – Szervezeti felépítés (ORG) táblában megadottak szerint.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Csak azokat a szervezeteket kell feltüntetni, amelyeket, mint kritikus funkciókat betöltő szervezeteket a Z 07.02 tábla tartalmaz.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Kód</w:t>
            </w:r>
          </w:p>
          <w:p w14:paraId="7283492F" w14:textId="1568300B"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pénzforgalmi, letéti őrzési, kiegyenlítési, elszámolási vagy kereskedési adattári szolgáltatásokat igénybe vevő szervezet kódja a Z 01.00 – Szervezeti felépítés (ORG) táblában megadottak szerint.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Kritikus funkció</w:t>
            </w:r>
          </w:p>
          <w:p w14:paraId="77EFEBD2" w14:textId="4E3D9CF8"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szervezet által ellátott olyan kritikus funkció, amelynek az ellátását a pénzforgalmi, letéti őrzési, kiegyenlítési, elszámolási vagy kereskedési adattári szolgáltatáshoz való hozzáférés zavara hátráltatná vagy megakadályozná.</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Ország</w:t>
            </w:r>
          </w:p>
          <w:p w14:paraId="6A4ACCD6" w14:textId="781EB48C"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Az ország, amelynek tekintetében a funkció kritikus, a Z 07.01 (FUNC 1) táblában megadottak szerint.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Azonosító</w:t>
            </w:r>
          </w:p>
          <w:p w14:paraId="75534734" w14:textId="5907C008"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 fenti II.7.1. pontban meghatározott és a Z 07.01 (FUNC 1) táblában említett kritikus funkciók azonosítója.</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24F67848"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Pénzügyi piaci infrastruktúra (FMI)</w:t>
            </w:r>
          </w:p>
          <w:p w14:paraId="6DD4E1C1" w14:textId="7A24D134"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Hivatkozás: CPMI (Fizetési és Piaci Infrastruktúra Bizottság), </w:t>
            </w:r>
            <w:hyperlink r:id="rId8" w:history="1">
              <w:r>
                <w:rPr>
                  <w:rFonts w:ascii="Times New Roman" w:hAnsi="Times New Roman"/>
                  <w:color w:val="000000" w:themeColor="text1"/>
                  <w:sz w:val="20"/>
                  <w:szCs w:val="20"/>
                </w:rPr>
                <w:t>Principles for financial market infrastructures (Pénzügyi piaci infrastruktúrákra vonatkozó alapelvek)</w:t>
              </w:r>
            </w:hyperlink>
            <w:r>
              <w:rPr>
                <w:rFonts w:ascii="Times New Roman" w:hAnsi="Times New Roman"/>
                <w:color w:val="000000" w:themeColor="text1"/>
                <w:sz w:val="20"/>
                <w:szCs w:val="20"/>
              </w:rPr>
              <w:t xml:space="preserve"> </w:t>
            </w:r>
          </w:p>
          <w:p w14:paraId="1AE59DA1" w14:textId="644EF3A7"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 részt vevő pénzügyi intézmények – többek között a rendszerüzemeltető – között a kifizetések, az értékpapír- és származtatott ügyletek vagy más pénzügyi tranzakciók rögzítése, elszámolása vagy kiegyenlítése céljából használt multilaterális rendszer.</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Rendszer típusa</w:t>
            </w:r>
          </w:p>
          <w:p w14:paraId="60E1F335" w14:textId="0E0704F1"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következő értékek egyikét kell megadni:</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„PS”</w:t>
            </w:r>
            <w:r>
              <w:tab/>
            </w:r>
            <w:r>
              <w:rPr>
                <w:rFonts w:ascii="Times New Roman" w:hAnsi="Times New Roman"/>
                <w:color w:val="000000" w:themeColor="text1"/>
                <w:sz w:val="20"/>
                <w:szCs w:val="20"/>
              </w:rPr>
              <w:t>Fizetési rendszer (Payment System)</w:t>
            </w:r>
          </w:p>
          <w:p w14:paraId="37412C60" w14:textId="30E8F252"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„(I) CSD” – (Nemzetközi) központi értéktár, ideértve a (szervezeten belül vagy kiszervezetten) kiegyenlítési szolgáltatásokat nyújtó (nemzetközi) központi értéktárat</w:t>
            </w:r>
          </w:p>
          <w:p w14:paraId="5A501EF0" w14:textId="1892E033"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„SSS”</w:t>
            </w:r>
            <w:r>
              <w:tab/>
            </w:r>
            <w:r>
              <w:rPr>
                <w:rFonts w:ascii="Times New Roman" w:hAnsi="Times New Roman"/>
                <w:color w:val="000000" w:themeColor="text1"/>
                <w:sz w:val="20"/>
                <w:szCs w:val="20"/>
              </w:rPr>
              <w:t>Értékpapír-kiegyenlítési rendszer (Securities Settlement System) letéti őrzés nélkül</w:t>
            </w:r>
          </w:p>
          <w:p w14:paraId="4EBFC2A4" w14:textId="43E6396A"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„CCP-Securities”</w:t>
            </w:r>
            <w:r>
              <w:tab/>
            </w:r>
            <w:r>
              <w:rPr>
                <w:rFonts w:ascii="Times New Roman" w:hAnsi="Times New Roman"/>
                <w:color w:val="000000" w:themeColor="text1"/>
                <w:sz w:val="20"/>
                <w:szCs w:val="20"/>
              </w:rPr>
              <w:t xml:space="preserve">Értékpapír-elszámolást végző központi szerződő fél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„CCP-Derivatives”</w:t>
            </w:r>
            <w:r>
              <w:tab/>
            </w:r>
            <w:r>
              <w:rPr>
                <w:rFonts w:ascii="Times New Roman" w:hAnsi="Times New Roman"/>
                <w:color w:val="000000" w:themeColor="text1"/>
                <w:sz w:val="20"/>
                <w:szCs w:val="20"/>
              </w:rPr>
              <w:t>Származtatott ügyletek elszámolását végző központi szerződő fél</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w:t>
            </w:r>
            <w:r>
              <w:tab/>
            </w:r>
            <w:r>
              <w:rPr>
                <w:rFonts w:ascii="Times New Roman" w:hAnsi="Times New Roman"/>
                <w:color w:val="000000" w:themeColor="text1"/>
                <w:sz w:val="20"/>
                <w:szCs w:val="20"/>
              </w:rPr>
              <w:t>Kereskedési értéktár (Trade Repository)</w:t>
            </w:r>
          </w:p>
          <w:p w14:paraId="54E2D62A" w14:textId="723578FD"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„Egyéb”</w:t>
            </w:r>
            <w:r>
              <w:tab/>
            </w:r>
            <w:r>
              <w:rPr>
                <w:rFonts w:ascii="Times New Roman" w:hAnsi="Times New Roman"/>
                <w:color w:val="000000" w:themeColor="text1"/>
                <w:sz w:val="20"/>
                <w:szCs w:val="20"/>
              </w:rPr>
              <w:t>amennyiben a pénzügyi piaci infrastruktúra rendszertípusa a fent meghatározott típusok egyikének sem felel meg</w:t>
            </w:r>
          </w:p>
          <w:p w14:paraId="1D3EF29C" w14:textId="622729B6" w:rsidR="00772F88" w:rsidRPr="00D92B3C"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w:t>
            </w:r>
            <w:r>
              <w:tab/>
            </w:r>
            <w:r>
              <w:rPr>
                <w:rFonts w:ascii="Times New Roman" w:hAnsi="Times New Roman"/>
                <w:color w:val="000000" w:themeColor="text1"/>
                <w:sz w:val="20"/>
                <w:szCs w:val="20"/>
              </w:rPr>
              <w:t>ha a kritikus pénzforgalmi, elszámolási, kiegyenlítési vagy letéti őrzési szolgáltatást olyan szervezet, például letétkezelő bank nyújtja, amely nem a fent említett pénzügyi piaci infrastruktúra.</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Név</w:t>
            </w:r>
          </w:p>
          <w:p w14:paraId="71B8EA7D" w14:textId="78A28A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pénzügyi piaci infrastruktúra kereskedelmi megnevezése</w:t>
            </w:r>
          </w:p>
          <w:p w14:paraId="5E08A8C8" w14:textId="75DA93FC"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Ha a 0050. oszlopban „N/A” szerepel, ezt az oszlopot üresen kell hagyni.</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 pénzügyi piaci infrastruktúra kódja</w:t>
            </w:r>
          </w:p>
          <w:p w14:paraId="7483B67E" w14:textId="7B1DA3EB"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FMI-kód Ez a kód a 20 jegyű, alfanumerikus LEI-kód, amennyiben rendelkezésre áll. Ha a LEI-kód nem áll rendelkezésre, az Unióban alkalmazandó egységes kódrendszer szerinti kód, vagy ha ez sem áll rendelkezésre, valamely nemzeti kód.</w:t>
            </w:r>
          </w:p>
          <w:p w14:paraId="3331745D" w14:textId="6D87F8F9"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Ha a 0050. oszlopban „N/A” szerepel, ezt az oszlopot üresen kell hagyni.</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Részvétel módja</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következő értékek egyikét kell megadni:</w:t>
            </w:r>
          </w:p>
          <w:p w14:paraId="29E9376F" w14:textId="4D733BDB"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„Közvetlen”– közvetlen tagság vagy közvetlen részvétel esetén</w:t>
            </w:r>
          </w:p>
          <w:p w14:paraId="73006733" w14:textId="0AAA0FAE"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„Közvetett” – közvetett tagság vagy közvetett részvétel esetén</w:t>
            </w:r>
          </w:p>
          <w:p w14:paraId="71841379" w14:textId="77777777"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 ha a 0050. oszlopban N/A szerepel</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1B0873B6" w14:textId="33F16B57" w:rsidR="00772F88" w:rsidRPr="00D92B3C" w:rsidRDefault="00DC07EB"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Név</w:t>
            </w:r>
          </w:p>
          <w:p w14:paraId="2E4BCD55" w14:textId="1C06D550"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közvetítő kereskedelmi megnevezése, ha a 0080. oszlopban „N/A” szerepel.</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Ha a 0080. oszlopban „Közvetlen” szerepel, „N/A”-t (nem alkalmazandó) kell feltüntetni.</w:t>
            </w:r>
          </w:p>
          <w:p w14:paraId="00A94DA2" w14:textId="4D321D4D"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közvetítő lehet ahhoz a csoporthoz tartozó vállalkozás, amelyhez az adatot szolgáltató szervezet tartozik, vagy a szóban forgó csoporthoz nem kapcsolódó más hitelintézet. </w:t>
            </w:r>
          </w:p>
          <w:p w14:paraId="7A140109" w14:textId="1706E46B" w:rsidR="00772F88" w:rsidRPr="00D92B3C"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közvetítő lehet olyan vállalkozás, amely elszámolási, pénzforgalmi, értékpapír-kiegyenlítési és/vagy letéti őrzési szolgáltatást nyújt más vállalkozásoknak (mindenekelőtt, ha a 0050. oszlopban „N/A” szerepel); lehet egy vagy több FMI közvetlen tagja, és biztosíthat közvetett hozzáférést az FMI által kínált szolgáltatásokhoz (különösen, ha a 0080. oszlopban „Közvetett” szerepel).</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Kód</w:t>
            </w:r>
          </w:p>
          <w:p w14:paraId="47A3B3CD" w14:textId="16023BBF"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A közvetítő kódja. Ez a kód a 20 jegyű, alfanumerikus LEI-kód, amennyiben rendelkezésre áll. Ha a LEI-kód nem áll rendelkezésre, az Unióban alkalmazandó egységes kódrendszer szerinti kód, vagy ha ez sem áll rendelkezésre, valamely nemzeti kód.</w:t>
            </w: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rPr>
            </w:pPr>
            <w:r>
              <w:rPr>
                <w:rFonts w:ascii="Times New Roman" w:hAnsi="Times New Roman"/>
                <w:color w:val="000000" w:themeColor="text1"/>
                <w:sz w:val="20"/>
                <w:szCs w:val="20"/>
              </w:rPr>
              <w:t>Ha a 0090. oszlopban „Közvetlen” szerepel, „N/A”-t (nem alkalmazandó) kell feltüntetni.</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 szolgáltatás leírása</w:t>
            </w:r>
          </w:p>
          <w:p w14:paraId="740F545B" w14:textId="2EE846C7"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szolgáltatás leírása, ha a rendszertípusra vonatkozóan a 050. oszlopban „Egyéb” vagy „N/A” szerepel.</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Irányadó jog</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Annak az országnak az ISO 3166-1 alpha-2 azonosítója, amelynek joga irányadó a pénzügyi piaci infrastruktúrához való hozzáférésre. </w:t>
            </w:r>
          </w:p>
          <w:p w14:paraId="36B0F073" w14:textId="355397C3"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Közvetlen tagság vagy közvetlen részvétel esetén a pénzügyi piaci infrastruktúra és a felhasználó közötti szerződésre irányadó jogot kell feltüntetni. Közvetett tagság vagy közvetett részvétel esetén a képviseletet ellátó intézmény és a felhasználó közötti szerződésre irányadó jogot kell feltüntetni.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7" w:name="_Toc492542330"/>
      <w:bookmarkStart w:id="28" w:name="_Toc96187380"/>
      <w:r>
        <w:rPr>
          <w:rFonts w:ascii="Times New Roman" w:hAnsi="Times New Roman"/>
          <w:color w:val="000000" w:themeColor="text1"/>
          <w:szCs w:val="20"/>
        </w:rPr>
        <w:t>Kritikus információs rendszerek</w:t>
      </w:r>
      <w:bookmarkEnd w:id="27"/>
      <w:bookmarkEnd w:id="28"/>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29" w:name="_Toc368311813"/>
      <w:bookmarkStart w:id="30" w:name="_Toc322687864"/>
      <w:bookmarkStart w:id="31" w:name="_Toc368311822"/>
      <w:r>
        <w:rPr>
          <w:rFonts w:ascii="Times New Roman" w:hAnsi="Times New Roman"/>
          <w:b w:val="0"/>
          <w:color w:val="000000" w:themeColor="text1"/>
          <w:sz w:val="20"/>
          <w:szCs w:val="20"/>
          <w:u w:val="single"/>
        </w:rPr>
        <w:t>Általános megjegyzések</w:t>
      </w:r>
    </w:p>
    <w:p w14:paraId="219E2A8C" w14:textId="77777777" w:rsidR="004507BB" w:rsidRPr="00D92B3C" w:rsidRDefault="004507BB" w:rsidP="00496909">
      <w:pPr>
        <w:pStyle w:val="InstructionsText2"/>
        <w:rPr>
          <w:rFonts w:cs="Times New Roman"/>
        </w:rPr>
      </w:pPr>
      <w:r>
        <w:t>Ez a szakasz a következő táblákból áll:</w:t>
      </w:r>
    </w:p>
    <w:p w14:paraId="4BD2F402" w14:textId="7F74091F" w:rsidR="004507BB" w:rsidRPr="0002300D" w:rsidRDefault="0018376A" w:rsidP="008F43E2">
      <w:pPr>
        <w:pStyle w:val="numberedparagraph"/>
        <w:numPr>
          <w:ilvl w:val="0"/>
          <w:numId w:val="34"/>
        </w:numPr>
        <w:rPr>
          <w:rFonts w:ascii="Times New Roman" w:hAnsi="Times New Roman" w:cs="Times New Roman"/>
          <w:sz w:val="20"/>
        </w:rPr>
      </w:pPr>
      <w:r>
        <w:rPr>
          <w:rFonts w:ascii="Times New Roman" w:hAnsi="Times New Roman"/>
          <w:sz w:val="20"/>
        </w:rPr>
        <w:t>Z 10.01 – Kritikus információs rendszerek (általános információk) (CIS 1), amely felsorolja a csoporton belüli összes kritikus információs rendszert;</w:t>
      </w:r>
    </w:p>
    <w:p w14:paraId="76E7BE93" w14:textId="436A7087" w:rsidR="004507BB" w:rsidRPr="0002300D" w:rsidRDefault="0018376A" w:rsidP="008F43E2">
      <w:pPr>
        <w:pStyle w:val="numberedparagraph"/>
        <w:numPr>
          <w:ilvl w:val="0"/>
          <w:numId w:val="34"/>
        </w:numPr>
        <w:rPr>
          <w:rFonts w:ascii="Times New Roman" w:hAnsi="Times New Roman" w:cs="Times New Roman"/>
          <w:sz w:val="20"/>
        </w:rPr>
      </w:pPr>
      <w:r>
        <w:rPr>
          <w:rFonts w:ascii="Times New Roman" w:hAnsi="Times New Roman"/>
          <w:sz w:val="20"/>
        </w:rPr>
        <w:t>Z 10.02 – Információs rendszerek hozzárendelése (CIS 2), amely felvázolja a kritikus információs rendszereket a csoporthoz tartozó rendszerhasználó vállalkozások és a kritikus funkciók szerint.</w:t>
      </w:r>
    </w:p>
    <w:p w14:paraId="3387030A" w14:textId="512C7D46" w:rsidR="00277550" w:rsidRPr="0002300D" w:rsidRDefault="00AD4B22" w:rsidP="00496909">
      <w:pPr>
        <w:pStyle w:val="InstructionsText2"/>
        <w:rPr>
          <w:rFonts w:cs="Times New Roman"/>
        </w:rPr>
      </w:pPr>
      <w:r>
        <w:t>Kritikus információs rendszer egy kritikus szolgáltatást támogató olyan informatikai alkalmazás vagy szoftver, amelynek a zavara jelentősen hátráltatná vagy megakadályozná a kritikus funkció ellátását.</w:t>
      </w:r>
      <w:bookmarkEnd w:id="29"/>
      <w:bookmarkEnd w:id="30"/>
    </w:p>
    <w:p w14:paraId="5D8C775D" w14:textId="77777777" w:rsidR="00ED08D2" w:rsidRPr="0002300D" w:rsidRDefault="00262051" w:rsidP="00496909">
      <w:pPr>
        <w:pStyle w:val="InstructionsText2"/>
        <w:rPr>
          <w:rFonts w:cs="Times New Roman"/>
        </w:rPr>
      </w:pPr>
      <w:r>
        <w:t>Ezeket a táblákat a csoport egészére vonatkozóan kell kitölteni.</w:t>
      </w:r>
    </w:p>
    <w:p w14:paraId="70CC17BA" w14:textId="77777777"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lang w:val="en-GB"/>
        </w:rPr>
      </w:pPr>
    </w:p>
    <w:p w14:paraId="60B73ED1" w14:textId="606C6A5E"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10.01 – Kritikus információs rendszerek (általános információk) (CIS 1) A tábla egyes részeire vonatkozó útmutató</w:t>
      </w:r>
    </w:p>
    <w:p w14:paraId="70F1C8B1" w14:textId="77777777" w:rsidR="000B75A6" w:rsidRPr="00D92B3C" w:rsidRDefault="000B75A6" w:rsidP="00496909">
      <w:pPr>
        <w:pStyle w:val="InstructionsText2"/>
        <w:rPr>
          <w:rFonts w:cs="Times New Roman"/>
        </w:rPr>
      </w:pPr>
      <w:r>
        <w:t xml:space="preserve">Az e tábla 0010. oszlopában feltüntetett érték elsődleges kulcsot képez, amelynek a tábla minden sorát egyedileg kell azonosítania. </w:t>
      </w:r>
    </w:p>
    <w:p w14:paraId="06AD164E" w14:textId="77777777" w:rsidR="000B75A6" w:rsidRPr="009B4613"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Oszlopok</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Útmutató</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0010–0040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Kritikus információs rendszerek</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 rendszer azonosító kódja</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rendszerazonosító kód az intézmény által meghatározott rövidítés, amely egyértelműen azonosítja a kritikus információs rendszert.</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Ez egy sorazonosító, amely a tábla minden egyes sorát egyedileg azonosítja.</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 rendszer neve</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A rendszer kereskedelmi vagy belső megnevezése.</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Rendszer típusa</w:t>
            </w:r>
          </w:p>
          <w:p w14:paraId="4E52EE6B" w14:textId="77777777"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következő értékek egyikét kell megadni:</w:t>
            </w:r>
          </w:p>
          <w:p w14:paraId="5E916F1D" w14:textId="77777777" w:rsidR="00AD4B22" w:rsidRPr="00CF3B41" w:rsidRDefault="00AD4B22" w:rsidP="00C050EE">
            <w:pPr>
              <w:pStyle w:val="List1"/>
              <w:spacing w:before="240"/>
              <w:rPr>
                <w:rFonts w:ascii="Times New Roman" w:eastAsia="Cambria" w:hAnsi="Times New Roman" w:cs="Times New Roman"/>
                <w:w w:val="95"/>
                <w:sz w:val="20"/>
                <w:szCs w:val="20"/>
              </w:rPr>
            </w:pPr>
            <w:r>
              <w:rPr>
                <w:rFonts w:ascii="Times New Roman" w:hAnsi="Times New Roman"/>
                <w:sz w:val="20"/>
                <w:szCs w:val="20"/>
              </w:rPr>
              <w:t>„Üzletmenetet támogató egyedi szoftver” (Custom-Built Software For Business Support)</w:t>
            </w:r>
          </w:p>
          <w:p w14:paraId="0C608920" w14:textId="65AB1E7A"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Részletes üzletmenet-leírás alapján kifejlesztett alkalmazás. Szervezeten belül vagy külső vállalkozók bevonásával, de minden esetben az üzletmenet támogatásának céljával kifejlesztett alkalmazás.</w:t>
            </w:r>
          </w:p>
          <w:p w14:paraId="6E793F14" w14:textId="77777777" w:rsidR="00AD4B22" w:rsidRPr="00CF3B41" w:rsidRDefault="00AD4B22" w:rsidP="00CF3B41">
            <w:pPr>
              <w:pStyle w:val="List1"/>
              <w:rPr>
                <w:rFonts w:ascii="Times New Roman" w:eastAsia="Cambria" w:hAnsi="Times New Roman" w:cs="Times New Roman"/>
                <w:w w:val="95"/>
                <w:sz w:val="20"/>
                <w:szCs w:val="20"/>
              </w:rPr>
            </w:pPr>
            <w:r>
              <w:rPr>
                <w:rFonts w:ascii="Times New Roman" w:hAnsi="Times New Roman"/>
                <w:sz w:val="20"/>
                <w:szCs w:val="20"/>
              </w:rPr>
              <w:t>„Készen vásárolt szoftver” (Software Purchased As-Is)</w:t>
            </w:r>
          </w:p>
          <w:p w14:paraId="3C75D3C8" w14:textId="7777777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piacon megvásárolt, jellemzően értékesítő által értékesített vagy engedélyezett alkalmazás, amelynél nem került sor a szervezet üzletmenetének megfelelő testreszabásra. Ebbe a kategóriába a szokásos konfigurációs mechanizmusokkal készült alkalmazások tartoznak.</w:t>
            </w:r>
          </w:p>
          <w:p w14:paraId="0F4A80B1"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„Egyedi módosításokkal vásárolt szoftver” (Software Purchased With Custom Modifications)</w:t>
            </w:r>
          </w:p>
          <w:p w14:paraId="3837C265" w14:textId="43EF9CE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piacon megvásárolt alkalmazás, amelynek az értékesítő (vagy képviselője) elkészíti az üzletmenetnek megfelelő egyedi verzióját. Az egyedi verzióra jellemző az alkalmazás viselkedésének változása, új jellemzők megjelenése vagy a szervezet üzletmenetének megfelelően kifejlesztett nem standard modulok beillesztése.</w:t>
            </w:r>
          </w:p>
          <w:p w14:paraId="4E296A17"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„Alkalmazás / Külső portál”</w:t>
            </w:r>
          </w:p>
          <w:p w14:paraId="25D7E68C" w14:textId="055BD381"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Harmadik fél – általában partner – által biztosított külső portál vagy alkalmazás az általa kínált szolgáltatáshoz való hozzáféréshez. Ezek általában nem tartoznak a szervezet információs rendszereinek irányítása alá, és ezeket maga a partner installálja, tartja karban és kezeli. Ezek az alkalmazások gyakran interneten vagy magánhálózaton keresztül elérhető portálok, amelyek – annak ellenére, hogy nem tartoznak a szervezet információs rendszereinek irányítása alá – egyes üzleti funkciók szempontjából fontosak (vagy kritikusak).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Leírás</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Az információs rendszer fő céljának ismertetése az üzletmenet összefüggésében.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 csoport rendszerért felelős tagja</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Szervezet neve</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csoporton belül a rendszerért felelős szervezet neve.</w:t>
            </w:r>
          </w:p>
          <w:p w14:paraId="7FC1685D" w14:textId="086F67D1"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Ez a szervezet felelős átfogóan az információs rendszer beszerzéséért, kifejlesztéséért, integrációjáért, módosításáért, működtetéséért, karbantartásáért és megszüntetéséért, továbbá a rendszerjellemzők kialakítása során elsősorban ő felel azért, hogy biztosított legyen a biztonsági követelmények és a felhasználók operatív szükségleteinek dokumentálása, tesztelése és teljesítése.</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Kód</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csoporton belül a rendszerért felelős szervezet kódja, a Z 01.00 – Szervezeti felépítés (ORG) táblában megadottak szerint.</w:t>
            </w:r>
          </w:p>
        </w:tc>
      </w:tr>
    </w:tbl>
    <w:p w14:paraId="70CC4DE4" w14:textId="77777777" w:rsidR="00AD4B22" w:rsidRPr="009B4613" w:rsidRDefault="00AD4B22" w:rsidP="00AD4B22">
      <w:pPr>
        <w:pStyle w:val="body"/>
        <w:rPr>
          <w:rFonts w:ascii="Times New Roman" w:hAnsi="Times New Roman" w:cs="Times New Roman"/>
          <w:color w:val="000000" w:themeColor="text1"/>
          <w:sz w:val="20"/>
          <w:szCs w:val="20"/>
        </w:rPr>
      </w:pPr>
    </w:p>
    <w:bookmarkEnd w:id="31"/>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10.02 – Információs rendszerek hozzárendelése (CIS 2) A tábla egyes részeire vonatkozó útmutató</w:t>
      </w:r>
    </w:p>
    <w:p w14:paraId="4FA9A88F" w14:textId="03FA494D" w:rsidR="00720344" w:rsidRPr="00D92B3C" w:rsidRDefault="00720344" w:rsidP="00496909">
      <w:pPr>
        <w:pStyle w:val="InstructionsText2"/>
        <w:rPr>
          <w:rFonts w:cs="Times New Roman"/>
        </w:rPr>
      </w:pPr>
      <w:r>
        <w:t xml:space="preserve">Az e tábla 0010., 0030., 0040., 0050. és 0060. oszlopában feltüntetett értékek kombinációja elsődleges kulcsot képez, amely a tábla minden sora tekintetében egyedi. </w:t>
      </w:r>
    </w:p>
    <w:p w14:paraId="3AB449B8" w14:textId="77777777" w:rsidR="00720344" w:rsidRPr="009B4613"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Oszlopok</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Útmutató</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 rendszer azonosító kódja</w:t>
            </w:r>
          </w:p>
          <w:p w14:paraId="62A42676" w14:textId="5FF7BC51"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információs rendszer azonosító kódja a Z 10.01 (CIS 1) tábla 010. oszlopában megadottak szerint.</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19A9F4BA"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0020–0030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 csoporthoz tartozó, rendszerhasználó vállalkozás</w:t>
            </w:r>
          </w:p>
          <w:p w14:paraId="77059943" w14:textId="326D0FE3"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csoporton belül a rendszert használó szervezet („felhasználó”). Több felhasználó esetén ugyanazon információs rendszer minden egyes felhasználójára vonatkozóan külön sort kell jelenteni.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Szervezet neve</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felhasználó szervezet neve a Z 01.00 (ORG) táblában megadottak szerint.</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Kód</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felhasználó szervezet kódja a Z 01.00 (ORG) táblában megadottak szerint.</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Kritikus szolgáltatás</w:t>
            </w:r>
          </w:p>
          <w:p w14:paraId="51A69527" w14:textId="533954AE"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A rendszer által támogatott kritikus szolgáltatás azonosítója, a Z 08.00 tábla (0005. oszlopában) megadottak szerint. A kritikus szolgáltatás lehet önmagában informatikai szolgáltatás vagy más olyan szolgáltatástípus, amelyet az információs rendszer támogat (például ügyletfeldolgozás).</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2FD6C4A"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0050–0060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Kritikus funkció</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Az információs rendszer által támogatott olyan kritikus funkció, amelynek ellátását az információs rendszer által támogatott szolgáltatás zavara jelentősen hátráltatná vagy teljesen megakadályozná. Több kritikus funkció esetén ugyanazon információs rendszerhez több sort kell kitölteni.</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Ország</w:t>
            </w:r>
          </w:p>
          <w:p w14:paraId="0379C1F2" w14:textId="7A962F9F"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Az ország, amelynek tekintetében a funkció kritikus, a Z 07.01 (FUNC 1) táblában megadottak szerint.</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Azonosító</w:t>
            </w:r>
          </w:p>
          <w:p w14:paraId="325DE98E" w14:textId="597278D7"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 fenti II.7.1. pontban meghatározott és a Z 07.01 (FUNC 1) táblában említett kritikus funkciók azonosítója.</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rPr>
      </w:pPr>
      <w:r>
        <w:rPr>
          <w:rFonts w:ascii="Times New Roman" w:hAnsi="Times New Roman"/>
          <w:color w:val="000000" w:themeColor="text1"/>
          <w:sz w:val="20"/>
          <w:szCs w:val="20"/>
        </w:rPr>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FFA45" w14:textId="77777777" w:rsidR="0087577B" w:rsidRDefault="0087577B" w:rsidP="001E5EDF">
      <w:r>
        <w:separator/>
      </w:r>
    </w:p>
  </w:endnote>
  <w:endnote w:type="continuationSeparator" w:id="0">
    <w:p w14:paraId="72D96081" w14:textId="77777777" w:rsidR="0087577B" w:rsidRDefault="0087577B"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50D42F37" w:rsidR="00496909" w:rsidRDefault="00496909" w:rsidP="000E60D6">
        <w:pPr>
          <w:pStyle w:val="Footer"/>
          <w:jc w:val="center"/>
        </w:pPr>
        <w:r>
          <w:fldChar w:fldCharType="begin"/>
        </w:r>
        <w:r>
          <w:instrText xml:space="preserve"> PAGE   \* MERGEFORMAT </w:instrText>
        </w:r>
        <w:r>
          <w:fldChar w:fldCharType="separate"/>
        </w:r>
        <w:r w:rsidR="00D1789A">
          <w:rPr>
            <w:noProof/>
          </w:rPr>
          <w:t>1</w:t>
        </w:r>
        <w:r>
          <w:fldChar w:fldCharType="end"/>
        </w:r>
      </w:p>
    </w:sdtContent>
  </w:sdt>
  <w:p w14:paraId="2B922E4C" w14:textId="77777777" w:rsidR="00496909" w:rsidRDefault="004969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77E77C" w14:textId="77777777" w:rsidR="0087577B" w:rsidRDefault="0087577B" w:rsidP="001E5EDF">
      <w:r>
        <w:separator/>
      </w:r>
    </w:p>
  </w:footnote>
  <w:footnote w:type="continuationSeparator" w:id="0">
    <w:p w14:paraId="0821BC36" w14:textId="77777777" w:rsidR="0087577B" w:rsidRDefault="0087577B" w:rsidP="001E5EDF">
      <w:r>
        <w:continuationSeparator/>
      </w:r>
    </w:p>
  </w:footnote>
  <w:footnote w:id="1">
    <w:p w14:paraId="56760551" w14:textId="08561B46" w:rsidR="00496909" w:rsidRPr="008E5458" w:rsidRDefault="00496909" w:rsidP="0090323D">
      <w:pPr>
        <w:pStyle w:val="FootnoteText"/>
      </w:pPr>
      <w:r>
        <w:rPr>
          <w:rStyle w:val="FootnoteReference"/>
          <w:rFonts w:ascii="Times New Roman" w:hAnsi="Times New Roman"/>
        </w:rPr>
        <w:footnoteRef/>
      </w:r>
      <w:r>
        <w:t xml:space="preserve"> A Bizottság (EU) 2021/451 végrehajtási rendelete (2020. december 17.) az 575/2013/EU európai parlamenti és tanácsi rendeletnek az intézmények felügyeleti adatszolgáltatása tekintetében történő alkalmazására vonatkozó végrehajtás-technikai standardok megállapításáról és a 680/2014/EU végrehajtási rendelet hatályon kívül helyezéséről (HL L 97., 2021.3.19., 1. o.).</w:t>
      </w:r>
    </w:p>
  </w:footnote>
  <w:footnote w:id="2">
    <w:p w14:paraId="733D3558" w14:textId="77777777" w:rsidR="00496909" w:rsidRPr="00E17940" w:rsidRDefault="00496909">
      <w:pPr>
        <w:pStyle w:val="FootnoteText"/>
      </w:pPr>
      <w:r>
        <w:rPr>
          <w:rStyle w:val="FootnoteReference"/>
          <w:rFonts w:ascii="Times New Roman" w:hAnsi="Times New Roman"/>
        </w:rPr>
        <w:footnoteRef/>
      </w:r>
      <w:r>
        <w:t xml:space="preserve"> Az Európai Parlament és a Tanács 1606/2002/EK rendelete (2002. július 19.) a nemzetközi számviteli standardok alkalmazásáról (HL L 243., 2002.9.11., 1. o.).</w:t>
      </w:r>
    </w:p>
  </w:footnote>
  <w:footnote w:id="3">
    <w:p w14:paraId="3BD45C59" w14:textId="6A60F93C" w:rsidR="00496909" w:rsidRPr="0090323D" w:rsidRDefault="00496909">
      <w:pPr>
        <w:pStyle w:val="FootnoteText"/>
      </w:pPr>
      <w:r>
        <w:rPr>
          <w:rStyle w:val="FootnoteReference"/>
        </w:rPr>
        <w:footnoteRef/>
      </w:r>
      <w:r>
        <w:t xml:space="preserve"> Részletes információk a következő weboldalon találhatók: </w:t>
      </w:r>
      <w:hyperlink r:id="rId1" w:history="1">
        <w:r>
          <w:t>www.leiroc.org</w:t>
        </w:r>
      </w:hyperlink>
      <w:r>
        <w:t>.</w:t>
      </w:r>
    </w:p>
  </w:footnote>
  <w:footnote w:id="4">
    <w:p w14:paraId="0A6B3364" w14:textId="77777777" w:rsidR="00496909" w:rsidRPr="00BB34DC" w:rsidRDefault="00496909">
      <w:pPr>
        <w:pStyle w:val="FootnoteText"/>
      </w:pPr>
      <w:r>
        <w:rPr>
          <w:rStyle w:val="FootnoteReference"/>
          <w:rFonts w:ascii="Times New Roman" w:hAnsi="Times New Roman"/>
        </w:rPr>
        <w:footnoteRef/>
      </w:r>
      <w:r>
        <w:t xml:space="preserve"> A Tanács 86/635/EGK irányelve (1986. december 8.) a bankok és más pénzügyi intézmények éves beszámolójáról és konszolidált éves beszámolójáról (HL L 372., 1986.12.31., 1. o.).</w:t>
      </w:r>
    </w:p>
  </w:footnote>
  <w:footnote w:id="5">
    <w:p w14:paraId="4D9F3A53" w14:textId="77777777" w:rsidR="00496909" w:rsidRPr="00E17940" w:rsidRDefault="00496909">
      <w:pPr>
        <w:pStyle w:val="FootnoteText"/>
      </w:pPr>
      <w:r>
        <w:rPr>
          <w:rStyle w:val="FootnoteReference"/>
          <w:rFonts w:ascii="Times New Roman" w:hAnsi="Times New Roman"/>
        </w:rPr>
        <w:footnoteRef/>
      </w:r>
      <w:r>
        <w:t xml:space="preserve"> Az Európai Parlament és a Tanács 575/2013/EU rendelete (2013. június 26.) a hitelintézetekre és befektetési vállalkozásokra vonatkozó prudenciális követelményekről és a 648/2012/EU rendelet módosításáról (HL L 176., 2013.6.27., 1. o.)</w:t>
      </w:r>
    </w:p>
  </w:footnote>
  <w:footnote w:id="6">
    <w:p w14:paraId="708D686D" w14:textId="77777777" w:rsidR="00496909" w:rsidRPr="00E17940" w:rsidRDefault="00496909">
      <w:pPr>
        <w:pStyle w:val="FootnoteText"/>
      </w:pPr>
      <w:r>
        <w:rPr>
          <w:rStyle w:val="FootnoteReference"/>
        </w:rPr>
        <w:footnoteRef/>
      </w:r>
      <w:r>
        <w:t xml:space="preserve"> Az Európai Parlament és a Tanács 2013/36/EU irányelve (2013. június 26.) a hitelintézetek tevékenységéhez való hozzáférésről és a hitelintézetek és befektetési vállalkozások prudenciális felügyeletéről, a 2002/87/EK irányelv módosításáról, a 2006/48/EK és a 2006/49/EK irányelv hatályon kívül helyezéséről (HL L 176., 2013.6.27., 338. o.).</w:t>
      </w:r>
    </w:p>
  </w:footnote>
  <w:footnote w:id="7">
    <w:p w14:paraId="7BEC1B79" w14:textId="49B4DD17" w:rsidR="00496909" w:rsidRPr="00CF3EBF" w:rsidRDefault="00496909">
      <w:pPr>
        <w:pStyle w:val="FootnoteText"/>
      </w:pPr>
      <w:r>
        <w:rPr>
          <w:rStyle w:val="FootnoteReference"/>
          <w:rFonts w:ascii="Times New Roman" w:hAnsi="Times New Roman"/>
        </w:rPr>
        <w:footnoteRef/>
      </w:r>
      <w:r>
        <w:t xml:space="preserve"> Az Európai Parlament és a Tanács 2009/138/EK irányelve (2009. november 25.) a biztosítási és viszontbiztosítási üzleti tevékenység megkezdéséről és gyakorlásáról (Szolvencia II) (HL L 335., 2009.12.17., 1. o.).</w:t>
      </w:r>
    </w:p>
  </w:footnote>
  <w:footnote w:id="8">
    <w:p w14:paraId="2BE6F728" w14:textId="3AB24581" w:rsidR="00496909" w:rsidRPr="00113543" w:rsidRDefault="00496909">
      <w:pPr>
        <w:pStyle w:val="FootnoteText"/>
      </w:pPr>
      <w:r>
        <w:rPr>
          <w:rStyle w:val="FootnoteReference"/>
          <w:rFonts w:ascii="Times New Roman" w:hAnsi="Times New Roman"/>
        </w:rPr>
        <w:footnoteRef/>
      </w:r>
      <w:r>
        <w:t xml:space="preserve"> A Bizottság ajánlása (2003. május 6.) a mikro-, kis- és középvállalkozások meghatározásáról (HL L 124., 2003.5.20., 36. o.).</w:t>
      </w:r>
    </w:p>
  </w:footnote>
  <w:footnote w:id="9">
    <w:p w14:paraId="56A4794B" w14:textId="1D36E5BD" w:rsidR="00496909" w:rsidRDefault="00496909">
      <w:pPr>
        <w:pStyle w:val="FootnoteText"/>
      </w:pPr>
      <w:r>
        <w:rPr>
          <w:rStyle w:val="FootnoteReference"/>
          <w:rFonts w:ascii="Times New Roman" w:hAnsi="Times New Roman"/>
        </w:rPr>
        <w:footnoteRef/>
      </w:r>
      <w:r>
        <w:t xml:space="preserve"> Az Európai Központi Bank (EU) 2021/379 rendelete a hitelintézetek és a monetáris pénzügyi intézmények ágazati mérlegének mérlegtételeiről (átdolgozás) (HL L 73., 2021.3.3., 16. o.).</w:t>
      </w:r>
    </w:p>
  </w:footnote>
  <w:footnote w:id="10">
    <w:p w14:paraId="33320726" w14:textId="397F1E31" w:rsidR="00496909" w:rsidRPr="00433423" w:rsidRDefault="00496909">
      <w:pPr>
        <w:pStyle w:val="FootnoteText"/>
      </w:pPr>
      <w:r>
        <w:rPr>
          <w:rStyle w:val="FootnoteReference"/>
        </w:rPr>
        <w:footnoteRef/>
      </w:r>
      <w:r>
        <w:t xml:space="preserve"> Az Európai Parlament és a Tanács 2014/65/EU irányelve (2014. május 15.) a pénzügyi eszközök piacairól, valamint a 2002/92/EK irányelv és a 2011/61/EU irányelv módosításáról (HL L 173., 2014.6.12., 349. o.).</w:t>
      </w:r>
    </w:p>
  </w:footnote>
  <w:footnote w:id="11">
    <w:p w14:paraId="7ECE222F" w14:textId="77777777" w:rsidR="00496909" w:rsidRPr="00B77FC7" w:rsidRDefault="00496909">
      <w:pPr>
        <w:pStyle w:val="FootnoteText"/>
      </w:pPr>
      <w:r>
        <w:rPr>
          <w:rStyle w:val="FootnoteReference"/>
        </w:rPr>
        <w:footnoteRef/>
      </w:r>
      <w:r>
        <w:t xml:space="preserve"> Az Európai Parlament és a Tanács 2014/59/EU irányelve (2014. május 15.) a hitelintézetek és befektetési vállalkozások helyreállítását és szanálását célzó keretrendszer létrehozásáról és a 82/891/EGK tanácsi irányelv, a 2001/24/EK, 2002/47/EK, 2004/25/EK, 2005/56/EK, 2007/36/EK, 2011/35/EU, 2012/30/EU és 2013/36/EU irányelv, valamint az 1093/2010/EU és a 648/2012/EU európai parlamenti és tanácsi rendelet módosításáról (HL L 173., 2014.6.12., 190. o.).</w:t>
      </w:r>
    </w:p>
  </w:footnote>
  <w:footnote w:id="12">
    <w:p w14:paraId="45027383" w14:textId="7473EDB5" w:rsidR="00496909" w:rsidRPr="001D3665" w:rsidRDefault="00496909">
      <w:pPr>
        <w:pStyle w:val="FootnoteText"/>
      </w:pPr>
      <w:r>
        <w:rPr>
          <w:rStyle w:val="FootnoteReference"/>
        </w:rPr>
        <w:footnoteRef/>
      </w:r>
      <w:r>
        <w:t xml:space="preserve"> Az Európai Parlament és a Tanács 2014/49/EU irányelve (2014. április 16.) a betétbiztosítási rendszerekről (HL L 173., 2014.6.12., 149. o.).</w:t>
      </w:r>
    </w:p>
  </w:footnote>
  <w:footnote w:id="13">
    <w:p w14:paraId="0A164DF9" w14:textId="77777777" w:rsidR="00496909" w:rsidRPr="00EB1AD3" w:rsidRDefault="00496909">
      <w:pPr>
        <w:pStyle w:val="FootnoteText"/>
      </w:pPr>
      <w:r>
        <w:rPr>
          <w:rStyle w:val="FootnoteReference"/>
        </w:rPr>
        <w:footnoteRef/>
      </w:r>
      <w:r>
        <w:t xml:space="preserve"> Az Európai Parlament és a Tanács 2009/65/EK irányelve (2009. július 13.) az átruházható értékpapírokkal foglalkozó kollektív befektetési vállalkozásokra (ÁÉKBV) vonatkozó törvényi, rendeleti és közigazgatási rendelkezések összehangolásáról (HL L 302., 2009.11.17., 32. o.).</w:t>
      </w:r>
    </w:p>
  </w:footnote>
  <w:footnote w:id="14">
    <w:p w14:paraId="14B9F3B8" w14:textId="59942C0A" w:rsidR="00496909" w:rsidRPr="00EB1AD3" w:rsidRDefault="00496909">
      <w:pPr>
        <w:pStyle w:val="FootnoteText"/>
      </w:pPr>
      <w:r>
        <w:rPr>
          <w:rStyle w:val="FootnoteReference"/>
        </w:rPr>
        <w:footnoteRef/>
      </w:r>
      <w:r>
        <w:t xml:space="preserve"> Az Európai Parlament és a Tanács 2011/61/EU irányelve (2011. június 8.) az alternatívbefektetésialap-kezelőkről, valamint a 2003/41/EK és a 2009/65/EK irányelv, továbbá az 1060/2009/EK és az 1095/2010/EU rendelet módosításáról (HL L 174., 2011.7.1., 1. o.).</w:t>
      </w:r>
    </w:p>
  </w:footnote>
  <w:footnote w:id="15">
    <w:p w14:paraId="7EA8BC4D" w14:textId="4A625A59" w:rsidR="00496909" w:rsidRPr="002B0D5A" w:rsidRDefault="00496909">
      <w:pPr>
        <w:pStyle w:val="FootnoteText"/>
      </w:pPr>
      <w:r>
        <w:rPr>
          <w:rStyle w:val="FootnoteReference"/>
        </w:rPr>
        <w:footnoteRef/>
      </w:r>
      <w:r>
        <w:t xml:space="preserve"> Az Európai Parlament és a Tanács 98/26/EK irányelve (1998. május 19.) a fizetési és értékpapír-elszámolási rendszerekben az elszámolások véglegességéről (HL L 166., 1998.6.11., 45. o.).</w:t>
      </w:r>
    </w:p>
  </w:footnote>
  <w:footnote w:id="16">
    <w:p w14:paraId="55D8C4D7" w14:textId="234F6046" w:rsidR="00496909" w:rsidRPr="00D90DF8" w:rsidRDefault="00496909">
      <w:pPr>
        <w:pStyle w:val="FootnoteText"/>
      </w:pPr>
      <w:r>
        <w:rPr>
          <w:rStyle w:val="FootnoteReference"/>
        </w:rPr>
        <w:footnoteRef/>
      </w:r>
      <w:r>
        <w:t xml:space="preserve"> Az Európai Parlament és a Tanács 648/2012/EU rendelete (2012. július 4.) a tőzsdén kívüli származtatott ügyletekről, a központi szerződő felekről és a kereskedési adattárakról (HL L 201., 2012.7.27., 1. o.).</w:t>
      </w:r>
    </w:p>
  </w:footnote>
  <w:footnote w:id="17">
    <w:p w14:paraId="5114B6F9" w14:textId="77777777" w:rsidR="00496909" w:rsidRPr="00CD04C7" w:rsidRDefault="00496909">
      <w:pPr>
        <w:pStyle w:val="FootnoteText"/>
      </w:pPr>
      <w:r>
        <w:rPr>
          <w:rStyle w:val="FootnoteReference"/>
          <w:rFonts w:ascii="Times New Roman" w:hAnsi="Times New Roman"/>
        </w:rPr>
        <w:footnoteRef/>
      </w:r>
      <w:r>
        <w:t xml:space="preserve"> A Bizottság (EU) 2016/1401 felhatalmazáson alapuló rendelete (2016. május 23.) a hitelintézetek és befektetési vállalkozások helyreállítását és szanálását célzó keretrendszer létrehozásáról szóló 2014/59/EU európai parlamenti és tanácsi irányelvnek a származtatott ügyletekből eredő kötelezettségek értékelésének módszereire és alapelveire vonatkozó szabályozástechnikai standardok tekintetében történő kiegészítéséről (HL L 228., 2016.8.23., 7. o.).</w:t>
      </w:r>
    </w:p>
  </w:footnote>
  <w:footnote w:id="18">
    <w:p w14:paraId="22BC5B54" w14:textId="77777777" w:rsidR="00496909" w:rsidRPr="00CF2751" w:rsidRDefault="00496909">
      <w:pPr>
        <w:pStyle w:val="FootnoteText"/>
      </w:pPr>
      <w:r>
        <w:rPr>
          <w:rStyle w:val="FootnoteReference"/>
          <w:rFonts w:ascii="Times New Roman" w:hAnsi="Times New Roman"/>
          <w:sz w:val="18"/>
        </w:rPr>
        <w:footnoteRef/>
      </w:r>
      <w:r>
        <w:rPr>
          <w:sz w:val="14"/>
        </w:rPr>
        <w:t xml:space="preserve"> </w:t>
      </w:r>
      <w:r>
        <w:t>A Bizottság (EU) 2016/778 felhatalmazáson alapuló rendelete (2016. február 2.) a 2014/59/EU európai parlamenti és tanácsi irányelvnek a rendkívüli utólagos hozzájárulás teljes összege vagy annak egy része befizetésének elhalasztásához szükséges körülmények és feltételek, a kritikus funkciót megalapozó tevékenységek, szolgáltatások és működési folyamatok meghatározásának, valamint a fő üzletágakat megalapozó üzletágak és a hozzájuk kapcsolódó szolgáltatások meghatározásának kritériumai tekintetében történő kiegészítéséről (HL L 131., 2016.5.20., 41. o.).</w:t>
      </w:r>
    </w:p>
  </w:footnote>
  <w:footnote w:id="19">
    <w:p w14:paraId="2F087C6F" w14:textId="77777777" w:rsidR="00496909" w:rsidRPr="00D66550" w:rsidRDefault="00496909">
      <w:pPr>
        <w:pStyle w:val="FootnoteText"/>
      </w:pPr>
      <w:r>
        <w:rPr>
          <w:rStyle w:val="FootnoteReference"/>
          <w:rFonts w:ascii="Times New Roman" w:hAnsi="Times New Roman"/>
          <w:sz w:val="18"/>
        </w:rPr>
        <w:footnoteRef/>
      </w:r>
      <w:r>
        <w:rPr>
          <w:sz w:val="14"/>
        </w:rPr>
        <w:t xml:space="preserve"> </w:t>
      </w:r>
      <w:r>
        <w:t>Az Európai Parlament és a Tanács (EU) 2015/2366 irányelve (2015. november 25.) a belső piaci pénzforgalmi szolgáltatásokról és a 2002/65/EK, a 2009/110/EK és a 2013/36/EU irányelv és az 1093/2010/EU rendelet módosításáról, valamint a 2007/64/EK irányelv hatályon kívül helyezéséről (HL L 337., 2015.12.23., 35. o.).</w:t>
      </w:r>
    </w:p>
  </w:footnote>
  <w:footnote w:id="20">
    <w:p w14:paraId="17404B79" w14:textId="34E49F40" w:rsidR="00496909" w:rsidRPr="00CF3B41" w:rsidRDefault="00496909">
      <w:pPr>
        <w:pStyle w:val="FootnoteText"/>
      </w:pPr>
      <w:r>
        <w:rPr>
          <w:rStyle w:val="FootnoteReference"/>
        </w:rPr>
        <w:footnoteRef/>
      </w:r>
      <w:r>
        <w:t xml:space="preserve"> A Bizottság 1287/2006/EK rendelete (2006. augusztus 10.) a 2004/39/EK európai parlamenti és tanácsi irányelvnek a befektetési vállalkozások nyilvántartás-vezetési kötelezettségei, az ügyletek bejelentése, a piac átláthatósága, a pénzügyi eszközök piaci bevezetése, valamint az irányelv alkalmazásában meghatározott kifejezések tekintetében történő végrehajtásáról (HL L 241., 2006.9.2., 1. o.)</w:t>
      </w:r>
    </w:p>
  </w:footnote>
  <w:footnote w:id="21">
    <w:p w14:paraId="1556A3CF" w14:textId="00EE3CBB" w:rsidR="00496909" w:rsidRPr="00264CA3" w:rsidRDefault="00496909">
      <w:pPr>
        <w:pStyle w:val="FootnoteText"/>
      </w:pPr>
      <w:r>
        <w:rPr>
          <w:rStyle w:val="FootnoteReference"/>
        </w:rPr>
        <w:footnoteRef/>
      </w:r>
      <w:r>
        <w:t xml:space="preserve"> Az Európai Központi Bank 1409/2013/EU rendelete (2013. november 28.) a pénzforgalmi statisztikákról (HL L 352., 2013.12.24., 18. o.).</w:t>
      </w:r>
    </w:p>
  </w:footnote>
  <w:footnote w:id="22">
    <w:p w14:paraId="19BD785A" w14:textId="266D260C" w:rsidR="00496909" w:rsidRPr="00264CA3" w:rsidRDefault="00496909" w:rsidP="00575F7D">
      <w:pPr>
        <w:pStyle w:val="FootnoteText"/>
      </w:pPr>
      <w:r>
        <w:rPr>
          <w:rStyle w:val="FootnoteReference"/>
        </w:rPr>
        <w:footnoteRef/>
      </w:r>
      <w:r>
        <w:t xml:space="preserve"> Az Európai Központi Bank iránymutatása (2014. április 4.) a monetáris és pénzügyi statisztikákról (EKB/2014/15) (HL L 340., 2014.11.26., 1. o.)</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496909" w:rsidRPr="000E60D6" w:rsidRDefault="00496909" w:rsidP="000E60D6">
    <w:pPr>
      <w:pStyle w:val="Header"/>
      <w:jc w:val="center"/>
      <w:rPr>
        <w:rFonts w:ascii="Times New Roman" w:hAnsi="Times New Roman" w:cs="Times New Roman"/>
      </w:rPr>
    </w:pPr>
    <w:r>
      <w:rPr>
        <w:rFonts w:ascii="Times New Roman" w:hAnsi="Times New Roman"/>
      </w:rPr>
      <w:t>HU</w:t>
    </w:r>
  </w:p>
  <w:p w14:paraId="0BBD0984" w14:textId="77777777" w:rsidR="00496909" w:rsidRPr="000E60D6" w:rsidRDefault="00496909" w:rsidP="000E60D6">
    <w:pPr>
      <w:pStyle w:val="Header"/>
      <w:jc w:val="center"/>
      <w:rPr>
        <w:rFonts w:ascii="Times New Roman" w:hAnsi="Times New Roman" w:cs="Times New Roman"/>
      </w:rPr>
    </w:pPr>
    <w:r>
      <w:rPr>
        <w:rFonts w:ascii="Times New Roman" w:hAnsi="Times New Roman"/>
      </w:rPr>
      <w:t>II. MELLÉKLET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7FF5149"/>
    <w:multiLevelType w:val="hybridMultilevel"/>
    <w:tmpl w:val="2CB0B3A2"/>
    <w:lvl w:ilvl="0" w:tplc="CBF6355C">
      <w:start w:val="1"/>
      <w:numFmt w:val="lowerLetter"/>
      <w:lvlText w:val="%1)"/>
      <w:lvlJc w:val="left"/>
      <w:pPr>
        <w:ind w:left="1113" w:hanging="360"/>
      </w:pPr>
      <w:rPr>
        <w:rFonts w:cs="Arial" w:hint="default"/>
        <w:i w:val="0"/>
      </w:rPr>
    </w:lvl>
    <w:lvl w:ilvl="1" w:tplc="040E0019" w:tentative="1">
      <w:start w:val="1"/>
      <w:numFmt w:val="lowerLetter"/>
      <w:lvlText w:val="%2."/>
      <w:lvlJc w:val="left"/>
      <w:pPr>
        <w:ind w:left="1833" w:hanging="360"/>
      </w:pPr>
    </w:lvl>
    <w:lvl w:ilvl="2" w:tplc="040E001B" w:tentative="1">
      <w:start w:val="1"/>
      <w:numFmt w:val="lowerRoman"/>
      <w:lvlText w:val="%3."/>
      <w:lvlJc w:val="right"/>
      <w:pPr>
        <w:ind w:left="2553" w:hanging="180"/>
      </w:pPr>
    </w:lvl>
    <w:lvl w:ilvl="3" w:tplc="040E000F" w:tentative="1">
      <w:start w:val="1"/>
      <w:numFmt w:val="decimal"/>
      <w:lvlText w:val="%4."/>
      <w:lvlJc w:val="left"/>
      <w:pPr>
        <w:ind w:left="3273" w:hanging="360"/>
      </w:pPr>
    </w:lvl>
    <w:lvl w:ilvl="4" w:tplc="040E0019" w:tentative="1">
      <w:start w:val="1"/>
      <w:numFmt w:val="lowerLetter"/>
      <w:lvlText w:val="%5."/>
      <w:lvlJc w:val="left"/>
      <w:pPr>
        <w:ind w:left="3993" w:hanging="360"/>
      </w:pPr>
    </w:lvl>
    <w:lvl w:ilvl="5" w:tplc="040E001B" w:tentative="1">
      <w:start w:val="1"/>
      <w:numFmt w:val="lowerRoman"/>
      <w:lvlText w:val="%6."/>
      <w:lvlJc w:val="right"/>
      <w:pPr>
        <w:ind w:left="4713" w:hanging="180"/>
      </w:pPr>
    </w:lvl>
    <w:lvl w:ilvl="6" w:tplc="040E000F" w:tentative="1">
      <w:start w:val="1"/>
      <w:numFmt w:val="decimal"/>
      <w:lvlText w:val="%7."/>
      <w:lvlJc w:val="left"/>
      <w:pPr>
        <w:ind w:left="5433" w:hanging="360"/>
      </w:pPr>
    </w:lvl>
    <w:lvl w:ilvl="7" w:tplc="040E0019" w:tentative="1">
      <w:start w:val="1"/>
      <w:numFmt w:val="lowerLetter"/>
      <w:lvlText w:val="%8."/>
      <w:lvlJc w:val="left"/>
      <w:pPr>
        <w:ind w:left="6153" w:hanging="360"/>
      </w:pPr>
    </w:lvl>
    <w:lvl w:ilvl="8" w:tplc="040E001B" w:tentative="1">
      <w:start w:val="1"/>
      <w:numFmt w:val="lowerRoman"/>
      <w:lvlText w:val="%9."/>
      <w:lvlJc w:val="right"/>
      <w:pPr>
        <w:ind w:left="6873" w:hanging="180"/>
      </w:pPr>
    </w:lvl>
  </w:abstractNum>
  <w:abstractNum w:abstractNumId="10" w15:restartNumberingAfterBreak="0">
    <w:nsid w:val="1AF56781"/>
    <w:multiLevelType w:val="hybridMultilevel"/>
    <w:tmpl w:val="3074427A"/>
    <w:lvl w:ilvl="0" w:tplc="A03459A8">
      <w:start w:val="1"/>
      <w:numFmt w:val="decimal"/>
      <w:pStyle w:val="InstructionsText2"/>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D503FA"/>
    <w:multiLevelType w:val="hybridMultilevel"/>
    <w:tmpl w:val="D77E82D4"/>
    <w:lvl w:ilvl="0" w:tplc="040E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26084AF9"/>
    <w:multiLevelType w:val="hybridMultilevel"/>
    <w:tmpl w:val="A55EB88C"/>
    <w:lvl w:ilvl="0" w:tplc="040E0011">
      <w:start w:val="1"/>
      <w:numFmt w:val="decimal"/>
      <w:lvlText w:val="%1)"/>
      <w:lvlJc w:val="lef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8"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9"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0" w15:restartNumberingAfterBreak="0">
    <w:nsid w:val="34EC077E"/>
    <w:multiLevelType w:val="hybridMultilevel"/>
    <w:tmpl w:val="638A3234"/>
    <w:lvl w:ilvl="0" w:tplc="040E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6F32E4A"/>
    <w:multiLevelType w:val="hybridMultilevel"/>
    <w:tmpl w:val="35962D5C"/>
    <w:lvl w:ilvl="0" w:tplc="75FE0E2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8"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9"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15:restartNumberingAfterBreak="0">
    <w:nsid w:val="5A10544D"/>
    <w:multiLevelType w:val="hybridMultilevel"/>
    <w:tmpl w:val="EF7CFBAE"/>
    <w:lvl w:ilvl="0" w:tplc="040E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3"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6BCD57BB"/>
    <w:multiLevelType w:val="multilevel"/>
    <w:tmpl w:val="B99AD05E"/>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sz w:val="20"/>
      </w:rPr>
    </w:lvl>
    <w:lvl w:ilvl="3">
      <w:start w:val="1"/>
      <w:numFmt w:val="lowerRoman"/>
      <w:pStyle w:val="InstructionsText"/>
      <w:lvlText w:val="(%4)"/>
      <w:lvlJc w:val="right"/>
      <w:pPr>
        <w:ind w:left="864" w:hanging="144"/>
      </w:pPr>
      <w:rPr>
        <w:rFonts w:hint="default"/>
        <w:sz w:val="20"/>
        <w:szCs w:val="20"/>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i w:val="0"/>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754" w:firstLine="0"/>
      </w:pPr>
      <w:rPr>
        <w:rFonts w:hint="default"/>
      </w:rPr>
    </w:lvl>
  </w:abstractNum>
  <w:abstractNum w:abstractNumId="36"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4"/>
  </w:num>
  <w:num w:numId="2">
    <w:abstractNumId w:val="2"/>
  </w:num>
  <w:num w:numId="3">
    <w:abstractNumId w:val="18"/>
  </w:num>
  <w:num w:numId="4">
    <w:abstractNumId w:val="22"/>
  </w:num>
  <w:num w:numId="5">
    <w:abstractNumId w:val="1"/>
  </w:num>
  <w:num w:numId="6">
    <w:abstractNumId w:val="35"/>
  </w:num>
  <w:num w:numId="7">
    <w:abstractNumId w:val="0"/>
  </w:num>
  <w:num w:numId="8">
    <w:abstractNumId w:val="17"/>
  </w:num>
  <w:num w:numId="9">
    <w:abstractNumId w:val="8"/>
  </w:num>
  <w:num w:numId="10">
    <w:abstractNumId w:val="11"/>
  </w:num>
  <w:num w:numId="11">
    <w:abstractNumId w:val="36"/>
  </w:num>
  <w:num w:numId="12">
    <w:abstractNumId w:val="21"/>
  </w:num>
  <w:num w:numId="13">
    <w:abstractNumId w:val="6"/>
  </w:num>
  <w:num w:numId="14">
    <w:abstractNumId w:val="33"/>
  </w:num>
  <w:num w:numId="15">
    <w:abstractNumId w:val="16"/>
  </w:num>
  <w:num w:numId="16">
    <w:abstractNumId w:val="30"/>
  </w:num>
  <w:num w:numId="17">
    <w:abstractNumId w:val="4"/>
  </w:num>
  <w:num w:numId="18">
    <w:abstractNumId w:val="28"/>
  </w:num>
  <w:num w:numId="19">
    <w:abstractNumId w:val="32"/>
  </w:num>
  <w:num w:numId="20">
    <w:abstractNumId w:val="13"/>
  </w:num>
  <w:num w:numId="21">
    <w:abstractNumId w:val="37"/>
  </w:num>
  <w:num w:numId="22">
    <w:abstractNumId w:val="3"/>
  </w:num>
  <w:num w:numId="23">
    <w:abstractNumId w:val="27"/>
  </w:num>
  <w:num w:numId="24">
    <w:abstractNumId w:val="19"/>
  </w:num>
  <w:num w:numId="25">
    <w:abstractNumId w:val="26"/>
  </w:num>
  <w:num w:numId="26">
    <w:abstractNumId w:val="10"/>
  </w:num>
  <w:num w:numId="27">
    <w:abstractNumId w:val="25"/>
  </w:num>
  <w:num w:numId="28">
    <w:abstractNumId w:val="31"/>
  </w:num>
  <w:num w:numId="29">
    <w:abstractNumId w:val="34"/>
  </w:num>
  <w:num w:numId="30">
    <w:abstractNumId w:val="12"/>
  </w:num>
  <w:num w:numId="31">
    <w:abstractNumId w:val="23"/>
  </w:num>
  <w:num w:numId="32">
    <w:abstractNumId w:val="29"/>
  </w:num>
  <w:num w:numId="33">
    <w:abstractNumId w:val="7"/>
  </w:num>
  <w:num w:numId="34">
    <w:abstractNumId w:val="14"/>
  </w:num>
  <w:num w:numId="35">
    <w:abstractNumId w:val="20"/>
  </w:num>
  <w:num w:numId="36">
    <w:abstractNumId w:val="15"/>
  </w:num>
  <w:num w:numId="37">
    <w:abstractNumId w:val="5"/>
  </w:num>
  <w:num w:numId="38">
    <w:abstractNumId w:val="9"/>
  </w:num>
  <w:num w:numId="39">
    <w:abstractNumId w:val="35"/>
  </w:num>
  <w:num w:numId="40">
    <w:abstractNumId w:val="3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01A"/>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96909"/>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77B"/>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43E2"/>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1349"/>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55C"/>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613"/>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822"/>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478"/>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8B3"/>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89A"/>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07EB"/>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hu-HU"/>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hu-HU"/>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hu-HU"/>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rPr>
  </w:style>
  <w:style w:type="paragraph" w:customStyle="1" w:styleId="Numberedtilelevel1">
    <w:name w:val="Numbered tile level 1"/>
    <w:basedOn w:val="Titlelevel1"/>
    <w:qFormat/>
    <w:rsid w:val="00E05BE6"/>
    <w:pPr>
      <w:numPr>
        <w:numId w:val="17"/>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hu-HU"/>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8"/>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hu-HU"/>
    </w:rPr>
  </w:style>
  <w:style w:type="table" w:styleId="TableGrid">
    <w:name w:val="Table Grid"/>
    <w:basedOn w:val="TableProfessional"/>
    <w:uiPriority w:val="59"/>
    <w:rsid w:val="00E13CE3"/>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hu-HU"/>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hu-HU"/>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hu-HU"/>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5"/>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hu-HU"/>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hu-HU"/>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hu-HU"/>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496909"/>
    <w:pPr>
      <w:numPr>
        <w:ilvl w:val="3"/>
        <w:numId w:val="6"/>
      </w:numPr>
      <w:spacing w:before="108"/>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496909"/>
    <w:rPr>
      <w:rFonts w:asciiTheme="majorHAnsi" w:eastAsia="Times New Roman" w:hAnsiTheme="majorHAnsi" w:cs="Arial"/>
      <w:lang w:eastAsia="de-DE"/>
    </w:rPr>
  </w:style>
  <w:style w:type="paragraph" w:customStyle="1" w:styleId="InstructionsText2">
    <w:name w:val="Instructions Text 2"/>
    <w:basedOn w:val="InstructionsText"/>
    <w:qFormat/>
    <w:rsid w:val="0013301A"/>
    <w:pPr>
      <w:numPr>
        <w:ilvl w:val="0"/>
        <w:numId w:val="26"/>
      </w:numPr>
      <w:spacing w:after="240"/>
    </w:pPr>
    <w:rPr>
      <w:rFonts w:ascii="Times New Roman" w:hAnsi="Times New Roman"/>
      <w:sz w:val="20"/>
    </w:r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3"/>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AE629A-8C4D-4184-A1E9-C21EAF66C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44</Pages>
  <Words>13884</Words>
  <Characters>96638</Characters>
  <Application>Microsoft Office Word</Application>
  <DocSecurity>0</DocSecurity>
  <Lines>2100</Lines>
  <Paragraphs>1493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2022-03-08T15:42:00Z</dcterms:created>
  <dcterms:modified xsi:type="dcterms:W3CDTF">2022-03-08T15:42:00Z</dcterms:modified>
</cp:coreProperties>
</file>