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4399E" w14:textId="6355DB9C" w:rsidR="001C2816" w:rsidRPr="00420CA0" w:rsidRDefault="00C16E16" w:rsidP="002266B7">
      <w:pPr>
        <w:pStyle w:val="Pagedecouverture"/>
        <w:rPr>
          <w:noProof/>
        </w:rPr>
      </w:pPr>
      <w:bookmarkStart w:id="0" w:name="_GoBack"/>
      <w:bookmarkEnd w:id="0"/>
      <w:r>
        <w:rPr>
          <w:noProof/>
        </w:rPr>
        <w:pict w14:anchorId="4A49EF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91C6279-6D06-4F35-9EDE-ABBA4DEFEE33" style="width:455.35pt;height:440.65pt">
            <v:imagedata r:id="rId7" o:title=""/>
          </v:shape>
        </w:pict>
      </w:r>
    </w:p>
    <w:p w14:paraId="66835F60" w14:textId="77777777" w:rsidR="00745799" w:rsidRPr="00420CA0" w:rsidRDefault="00745799">
      <w:pPr>
        <w:rPr>
          <w:noProof/>
        </w:rPr>
        <w:sectPr w:rsidR="00745799" w:rsidRPr="00420CA0" w:rsidSect="002266B7">
          <w:footerReference w:type="default" r:id="rId8"/>
          <w:pgSz w:w="11907" w:h="16839"/>
          <w:pgMar w:top="1134" w:right="1417" w:bottom="1134" w:left="1417" w:header="709" w:footer="709" w:gutter="0"/>
          <w:pgNumType w:start="0"/>
          <w:cols w:space="720"/>
          <w:docGrid w:linePitch="360"/>
        </w:sectPr>
      </w:pPr>
    </w:p>
    <w:p w14:paraId="58EEE52D" w14:textId="2D5DAABC" w:rsidR="00745799" w:rsidRPr="00420CA0" w:rsidRDefault="00420CA0" w:rsidP="00420CA0">
      <w:pPr>
        <w:pStyle w:val="Typedudocument"/>
        <w:rPr>
          <w:noProof/>
        </w:rPr>
      </w:pPr>
      <w:r w:rsidRPr="00420CA0">
        <w:rPr>
          <w:noProof/>
        </w:rPr>
        <w:lastRenderedPageBreak/>
        <w:t>REGULAMENTUL DE PUNERE ÎN APLICARE (UE) …/… AL COMISIEI</w:t>
      </w:r>
    </w:p>
    <w:p w14:paraId="5FDAE07D" w14:textId="3B0DDC5D" w:rsidR="00745799" w:rsidRPr="00420CA0" w:rsidRDefault="0072626D" w:rsidP="00420CA0">
      <w:pPr>
        <w:pStyle w:val="Datedadoption"/>
        <w:rPr>
          <w:noProof/>
        </w:rPr>
      </w:pPr>
      <w:r>
        <w:t>din 3.3.2022</w:t>
      </w:r>
    </w:p>
    <w:p w14:paraId="6AE2FFE3" w14:textId="5864F85B" w:rsidR="00745799" w:rsidRPr="00420CA0" w:rsidRDefault="00420CA0" w:rsidP="00420CA0">
      <w:pPr>
        <w:pStyle w:val="Titreobjet"/>
        <w:rPr>
          <w:noProof/>
        </w:rPr>
      </w:pPr>
      <w:r w:rsidRPr="00420CA0">
        <w:rPr>
          <w:noProof/>
        </w:rPr>
        <w:t xml:space="preserve">de modificare a Regulamentului de punere în aplicare (UE) 2018/1624 de stabilire a unor standarde tehnice de punere în aplicare cu privire la procedurile, formularele și machetele standard care trebuie utilizate pentru furnizarea informațiilor necesare în scopul planurilor de rezoluție pentru instituțiile de credit și firmele de investiții în temeiul Directivei 2014/59/UE a Parlamentului European și a Consiliului </w:t>
      </w:r>
      <w:r w:rsidRPr="00420CA0">
        <w:rPr>
          <w:noProof/>
        </w:rPr>
        <w:br/>
      </w:r>
    </w:p>
    <w:p w14:paraId="217F978F" w14:textId="32ADD951" w:rsidR="00745799" w:rsidRPr="00420CA0" w:rsidRDefault="00420CA0" w:rsidP="00420CA0">
      <w:pPr>
        <w:pStyle w:val="IntrtEEE"/>
        <w:rPr>
          <w:noProof/>
        </w:rPr>
      </w:pPr>
      <w:r w:rsidRPr="00420CA0">
        <w:rPr>
          <w:noProof/>
        </w:rPr>
        <w:t>(Text cu relevanță pentru SEE)</w:t>
      </w:r>
    </w:p>
    <w:p w14:paraId="36E61899" w14:textId="77777777" w:rsidR="00745799" w:rsidRPr="00420CA0" w:rsidRDefault="00745799" w:rsidP="004E1EF9">
      <w:pPr>
        <w:pStyle w:val="Institutionquiagit"/>
        <w:rPr>
          <w:noProof/>
        </w:rPr>
      </w:pPr>
      <w:r w:rsidRPr="00420CA0">
        <w:rPr>
          <w:noProof/>
        </w:rPr>
        <w:t>COMISIA EUROPEANĂ,</w:t>
      </w:r>
    </w:p>
    <w:p w14:paraId="344A82A5" w14:textId="77777777" w:rsidR="00745799" w:rsidRPr="00420CA0" w:rsidRDefault="00745799" w:rsidP="004E1EF9">
      <w:pPr>
        <w:rPr>
          <w:noProof/>
        </w:rPr>
      </w:pPr>
      <w:r w:rsidRPr="00420CA0">
        <w:rPr>
          <w:noProof/>
          <w:color w:val="000000"/>
        </w:rPr>
        <w:t>având în vedere Tratatul privind funcționarea Uniunii Europene</w:t>
      </w:r>
      <w:r w:rsidRPr="00420CA0">
        <w:rPr>
          <w:noProof/>
        </w:rPr>
        <w:t>,</w:t>
      </w:r>
    </w:p>
    <w:p w14:paraId="2982BE59" w14:textId="5250076C" w:rsidR="00745799" w:rsidRPr="00420CA0" w:rsidRDefault="00745799" w:rsidP="004E1EF9">
      <w:pPr>
        <w:rPr>
          <w:noProof/>
        </w:rPr>
      </w:pPr>
      <w:r w:rsidRPr="00420CA0">
        <w:rPr>
          <w:noProof/>
        </w:rPr>
        <w:t>având în vedere Directiva 2014/59/UE a Parlamentului European și a Consiliului de instituire a unui cadru pentru redresarea și rezoluția instituțiilor de credit și a firmelor de investiții și de modificare a Directivei 82/891/CEE a Consiliului și a Directivelor 2001/24/CE, 2002/47/CE, 2004/25/CE, 2005/56/CE, 2007/36/CE, 2011/35/UE, 2012/30/UE și 2013/36/UE ale Parlamentului European și ale Consiliului, precum și a Regulamentelor (UE) nr. 1093/2010 și (UE) nr. 648/2012 ale Parlamentului European și ale Consiliului</w:t>
      </w:r>
      <w:r w:rsidRPr="00420CA0">
        <w:rPr>
          <w:rStyle w:val="FootnoteReference"/>
          <w:noProof/>
        </w:rPr>
        <w:footnoteReference w:id="1"/>
      </w:r>
      <w:r w:rsidRPr="00420CA0">
        <w:rPr>
          <w:noProof/>
        </w:rPr>
        <w:t>, în special articolul 11 alineatul (3),</w:t>
      </w:r>
    </w:p>
    <w:p w14:paraId="3303916E" w14:textId="77777777" w:rsidR="00745799" w:rsidRPr="00420CA0" w:rsidRDefault="00745799" w:rsidP="004E1EF9">
      <w:pPr>
        <w:rPr>
          <w:noProof/>
        </w:rPr>
      </w:pPr>
      <w:r w:rsidRPr="00420CA0">
        <w:rPr>
          <w:noProof/>
        </w:rPr>
        <w:t>întrucât:</w:t>
      </w:r>
    </w:p>
    <w:p w14:paraId="2AEEF6BD" w14:textId="659A47C8" w:rsidR="00745799" w:rsidRPr="00420CA0" w:rsidRDefault="008275B7" w:rsidP="008275B7">
      <w:pPr>
        <w:pStyle w:val="ManualConsidrant"/>
        <w:rPr>
          <w:noProof/>
        </w:rPr>
      </w:pPr>
      <w:r w:rsidRPr="008275B7">
        <w:t>(1)</w:t>
      </w:r>
      <w:r w:rsidRPr="008275B7">
        <w:tab/>
      </w:r>
      <w:r w:rsidR="00745799" w:rsidRPr="00420CA0">
        <w:rPr>
          <w:noProof/>
        </w:rPr>
        <w:t>Directiva (UE) 2019/879 a Parlamentului European și a Consiliului</w:t>
      </w:r>
      <w:r w:rsidR="00745799" w:rsidRPr="00420CA0">
        <w:rPr>
          <w:rStyle w:val="FootnoteReference"/>
          <w:noProof/>
        </w:rPr>
        <w:footnoteReference w:id="2"/>
      </w:r>
      <w:r w:rsidR="00745799" w:rsidRPr="00420CA0">
        <w:rPr>
          <w:noProof/>
        </w:rPr>
        <w:t xml:space="preserve"> a introdus anumite modificări ale cerinței minime privind fondurile proprii și pasivele eligibile prevăzute în Directiva 2014/59/UE. Informațiile privind capacitatea instituțiilor de a îndeplini această cerință sunt, într-o măsură limitată, luate în considerare și în contextul planificării rezoluției.</w:t>
      </w:r>
    </w:p>
    <w:p w14:paraId="4C198264" w14:textId="3D36424D" w:rsidR="00745799" w:rsidRPr="00420CA0" w:rsidRDefault="008275B7" w:rsidP="008275B7">
      <w:pPr>
        <w:pStyle w:val="ManualConsidrant"/>
        <w:rPr>
          <w:noProof/>
        </w:rPr>
      </w:pPr>
      <w:r w:rsidRPr="008275B7">
        <w:t>(2)</w:t>
      </w:r>
      <w:r w:rsidRPr="008275B7">
        <w:tab/>
      </w:r>
      <w:r w:rsidR="005F79AB" w:rsidRPr="00420CA0">
        <w:rPr>
          <w:noProof/>
        </w:rPr>
        <w:t>Prin urmare, Regulamentul de punere în aplicare (UE) 2018/1624 al Comisiei</w:t>
      </w:r>
      <w:r w:rsidR="005F79AB" w:rsidRPr="00420CA0">
        <w:rPr>
          <w:rStyle w:val="FootnoteReference"/>
          <w:noProof/>
        </w:rPr>
        <w:footnoteReference w:id="3"/>
      </w:r>
      <w:r w:rsidR="005F79AB" w:rsidRPr="00420CA0">
        <w:rPr>
          <w:noProof/>
        </w:rPr>
        <w:t xml:space="preserve"> ar trebui modificat în consecință.</w:t>
      </w:r>
    </w:p>
    <w:p w14:paraId="2F996AE9" w14:textId="1935BA3C" w:rsidR="00745799" w:rsidRPr="00420CA0" w:rsidRDefault="008275B7" w:rsidP="008275B7">
      <w:pPr>
        <w:pStyle w:val="ManualConsidrant"/>
        <w:rPr>
          <w:noProof/>
        </w:rPr>
      </w:pPr>
      <w:r w:rsidRPr="008275B7">
        <w:t>(3)</w:t>
      </w:r>
      <w:r w:rsidRPr="008275B7">
        <w:tab/>
      </w:r>
      <w:r w:rsidR="00745799" w:rsidRPr="00420CA0">
        <w:rPr>
          <w:noProof/>
        </w:rPr>
        <w:t xml:space="preserve">Prezentul regulament se bazează pe proiectul de standarde tehnice de punere în aplicare prezentat Comisiei de către Autoritatea Bancară Europeană (ABE). </w:t>
      </w:r>
    </w:p>
    <w:p w14:paraId="505703BE" w14:textId="5A736D52" w:rsidR="00745799" w:rsidRPr="00420CA0" w:rsidRDefault="008275B7" w:rsidP="008275B7">
      <w:pPr>
        <w:pStyle w:val="ManualConsidrant"/>
        <w:rPr>
          <w:noProof/>
        </w:rPr>
      </w:pPr>
      <w:r w:rsidRPr="008275B7">
        <w:t>(4)</w:t>
      </w:r>
      <w:r w:rsidRPr="008275B7">
        <w:tab/>
      </w:r>
      <w:r w:rsidR="00745799" w:rsidRPr="00420CA0">
        <w:rPr>
          <w:noProof/>
        </w:rPr>
        <w:t>ABE nu a efectuat consultări publice deschise cu privire la proiectele de standarde tehnice de punere în aplicare pe care se bazează prezentul regulament și nici nu a analizat costurile și beneficiile potențiale aferente, deoarece a considerat că acest lucru ar fi fost extrem de disproporționat în raport cu domeniul de aplicare foarte limitat, cu numărul redus și cu impactul scăzut al modificărilor, ținând seama de faptul că modificările respective includ doar actualizări ale trimiterilor la Directiva 2014/59/UE, două noi elemente care trebuie raportate și modificări minore pentru a elimina obstacolele tehnice din calea raportării. ABE a solicitat avizul Grupului părților interesate din domeniul bancar, instituit în conformitate cu articolul 37 din Regulamentul (UE) nr. 1093/2010 al Parlamentului European și al Consiliului</w:t>
      </w:r>
      <w:r w:rsidR="00745799" w:rsidRPr="00420CA0">
        <w:rPr>
          <w:rStyle w:val="FootnoteReference"/>
          <w:noProof/>
        </w:rPr>
        <w:footnoteReference w:id="4"/>
      </w:r>
      <w:r w:rsidR="00745799" w:rsidRPr="00420CA0">
        <w:rPr>
          <w:noProof/>
        </w:rPr>
        <w:t>,</w:t>
      </w:r>
    </w:p>
    <w:p w14:paraId="3F0100F6" w14:textId="77777777" w:rsidR="00745799" w:rsidRPr="00420CA0" w:rsidRDefault="00745799" w:rsidP="004E1EF9">
      <w:pPr>
        <w:pStyle w:val="Formuledadoption"/>
        <w:rPr>
          <w:noProof/>
        </w:rPr>
      </w:pPr>
      <w:r w:rsidRPr="00420CA0">
        <w:rPr>
          <w:noProof/>
        </w:rPr>
        <w:t>ADOPTĂ PREZENTUL REGULAMENT:</w:t>
      </w:r>
    </w:p>
    <w:p w14:paraId="248EA0A8" w14:textId="77777777" w:rsidR="00745799" w:rsidRPr="00420CA0" w:rsidRDefault="00745799" w:rsidP="004E1EF9">
      <w:pPr>
        <w:pStyle w:val="Titrearticle"/>
        <w:rPr>
          <w:noProof/>
        </w:rPr>
      </w:pPr>
      <w:r w:rsidRPr="00420CA0">
        <w:rPr>
          <w:noProof/>
        </w:rPr>
        <w:t>Articolul 1</w:t>
      </w:r>
    </w:p>
    <w:p w14:paraId="0EB604DB" w14:textId="07D2792D" w:rsidR="00745799" w:rsidRPr="00420CA0" w:rsidRDefault="00745799" w:rsidP="004E1EF9">
      <w:pPr>
        <w:rPr>
          <w:noProof/>
        </w:rPr>
      </w:pPr>
      <w:r w:rsidRPr="00420CA0">
        <w:rPr>
          <w:noProof/>
        </w:rPr>
        <w:t>Regulamentului de punere în aplicare (UE) 2018/1624 se modifică după cum urmează:</w:t>
      </w:r>
    </w:p>
    <w:p w14:paraId="6C2E9789" w14:textId="4E34CB98" w:rsidR="002E04D0" w:rsidRPr="00420CA0" w:rsidRDefault="008275B7" w:rsidP="008275B7">
      <w:pPr>
        <w:pStyle w:val="Point0"/>
        <w:rPr>
          <w:noProof/>
        </w:rPr>
      </w:pPr>
      <w:r w:rsidRPr="008275B7">
        <w:t>(1)</w:t>
      </w:r>
      <w:r w:rsidRPr="008275B7">
        <w:tab/>
      </w:r>
      <w:r w:rsidR="00745799" w:rsidRPr="00420CA0">
        <w:rPr>
          <w:noProof/>
        </w:rPr>
        <w:t>Anexa I se modifică după cum urmează:</w:t>
      </w:r>
    </w:p>
    <w:p w14:paraId="307F7177" w14:textId="476A25B1" w:rsidR="00745799" w:rsidRPr="00420CA0" w:rsidRDefault="008275B7" w:rsidP="008275B7">
      <w:pPr>
        <w:pStyle w:val="Point0"/>
        <w:rPr>
          <w:noProof/>
        </w:rPr>
      </w:pPr>
      <w:r w:rsidRPr="008275B7">
        <w:t>(a)</w:t>
      </w:r>
      <w:r w:rsidRPr="008275B7">
        <w:tab/>
      </w:r>
      <w:r w:rsidR="002E04D0" w:rsidRPr="00420CA0">
        <w:rPr>
          <w:noProof/>
        </w:rPr>
        <w:t>Macheta Z 02.00 se înlocuiește cu macheta Z 02.00 din anexa I la prezentul regulament.</w:t>
      </w:r>
    </w:p>
    <w:p w14:paraId="2AC11875" w14:textId="271ABA4F" w:rsidR="002E04D0" w:rsidRPr="00420CA0" w:rsidRDefault="008275B7" w:rsidP="008275B7">
      <w:pPr>
        <w:pStyle w:val="Point0"/>
        <w:rPr>
          <w:noProof/>
        </w:rPr>
      </w:pPr>
      <w:r w:rsidRPr="008275B7">
        <w:t>(b)</w:t>
      </w:r>
      <w:r w:rsidRPr="008275B7">
        <w:tab/>
      </w:r>
      <w:r w:rsidR="002E04D0" w:rsidRPr="00420CA0">
        <w:rPr>
          <w:noProof/>
        </w:rPr>
        <w:t>Macheta Z 03.00 se înlocuiește cu macheta Z 03.00 din anexa I la prezentul regulament.</w:t>
      </w:r>
    </w:p>
    <w:p w14:paraId="60F6BC37" w14:textId="4C4FA932" w:rsidR="00745799" w:rsidRPr="00420CA0" w:rsidRDefault="008275B7" w:rsidP="008275B7">
      <w:pPr>
        <w:pStyle w:val="Point0"/>
        <w:rPr>
          <w:noProof/>
        </w:rPr>
      </w:pPr>
      <w:r w:rsidRPr="008275B7">
        <w:t>(2)</w:t>
      </w:r>
      <w:r w:rsidRPr="008275B7">
        <w:tab/>
      </w:r>
      <w:r w:rsidR="00090F84" w:rsidRPr="00420CA0">
        <w:rPr>
          <w:noProof/>
        </w:rPr>
        <w:t xml:space="preserve">Anexa II se înlocuiește cu textul din anexa II la prezentul regulament. </w:t>
      </w:r>
    </w:p>
    <w:p w14:paraId="77E50565" w14:textId="37F839DE" w:rsidR="00745799" w:rsidRPr="00420CA0" w:rsidRDefault="00745799" w:rsidP="004E1EF9">
      <w:pPr>
        <w:pStyle w:val="Titrearticle"/>
        <w:rPr>
          <w:noProof/>
          <w:color w:val="000000" w:themeColor="text1"/>
        </w:rPr>
      </w:pPr>
      <w:r w:rsidRPr="00420CA0">
        <w:rPr>
          <w:noProof/>
        </w:rPr>
        <w:t>Articolul 2</w:t>
      </w:r>
    </w:p>
    <w:p w14:paraId="280CEA9B" w14:textId="7A8CC263" w:rsidR="00745799" w:rsidRPr="00420CA0" w:rsidRDefault="00745799" w:rsidP="004E1EF9">
      <w:pPr>
        <w:rPr>
          <w:noProof/>
        </w:rPr>
      </w:pPr>
      <w:r w:rsidRPr="00420CA0">
        <w:rPr>
          <w:noProof/>
        </w:rPr>
        <w:t xml:space="preserve">Prezentul regulament intră în vigoare în a douăzecea zi de la data publicării în </w:t>
      </w:r>
      <w:r w:rsidRPr="00420CA0">
        <w:rPr>
          <w:i/>
          <w:iCs/>
          <w:noProof/>
        </w:rPr>
        <w:t>Jurnalul</w:t>
      </w:r>
      <w:r w:rsidR="00D46B1E">
        <w:rPr>
          <w:i/>
          <w:iCs/>
          <w:noProof/>
        </w:rPr>
        <w:t> </w:t>
      </w:r>
      <w:r w:rsidRPr="00420CA0">
        <w:rPr>
          <w:i/>
          <w:iCs/>
          <w:noProof/>
        </w:rPr>
        <w:t>Oficial al Uniunii Europene</w:t>
      </w:r>
      <w:r w:rsidRPr="00420CA0">
        <w:rPr>
          <w:noProof/>
        </w:rPr>
        <w:t>.</w:t>
      </w:r>
    </w:p>
    <w:p w14:paraId="5ED2B21A" w14:textId="34B428FA" w:rsidR="00745799" w:rsidRPr="00420CA0" w:rsidRDefault="00745799" w:rsidP="004E1EF9">
      <w:pPr>
        <w:pStyle w:val="Applicationdirecte"/>
        <w:rPr>
          <w:noProof/>
        </w:rPr>
      </w:pPr>
      <w:r w:rsidRPr="00420CA0">
        <w:rPr>
          <w:noProof/>
        </w:rPr>
        <w:t>Prezentul regulament este obligatoriu în toate elementele sale și se aplică direct în toate statele</w:t>
      </w:r>
      <w:r w:rsidR="00D46B1E">
        <w:rPr>
          <w:noProof/>
        </w:rPr>
        <w:t> </w:t>
      </w:r>
      <w:r w:rsidRPr="00420CA0">
        <w:rPr>
          <w:noProof/>
        </w:rPr>
        <w:t>membre.</w:t>
      </w:r>
    </w:p>
    <w:p w14:paraId="3D8C8E1A" w14:textId="2E74927D" w:rsidR="00745799" w:rsidRPr="00420CA0" w:rsidRDefault="006F1B4E" w:rsidP="006F19B5">
      <w:pPr>
        <w:pStyle w:val="Fait"/>
        <w:rPr>
          <w:noProof/>
        </w:rPr>
      </w:pPr>
      <w:r w:rsidRPr="006F1B4E">
        <w:t>Adoptat la Bruxelles, 3.3.2022</w:t>
      </w:r>
    </w:p>
    <w:p w14:paraId="54345AFA" w14:textId="77777777" w:rsidR="00745799" w:rsidRPr="00420CA0" w:rsidRDefault="00745799" w:rsidP="006F19B5">
      <w:pPr>
        <w:pStyle w:val="Institutionquisigne"/>
        <w:rPr>
          <w:noProof/>
        </w:rPr>
      </w:pPr>
      <w:r w:rsidRPr="00420CA0">
        <w:rPr>
          <w:noProof/>
        </w:rPr>
        <w:tab/>
        <w:t>Pentru Comisie,</w:t>
      </w:r>
    </w:p>
    <w:p w14:paraId="77E16C5B" w14:textId="1CFDC52D" w:rsidR="008A5816" w:rsidRPr="00420CA0" w:rsidRDefault="00202973" w:rsidP="006F19B5">
      <w:pPr>
        <w:pStyle w:val="Personnequisigne"/>
        <w:keepNext/>
        <w:rPr>
          <w:noProof/>
        </w:rPr>
      </w:pPr>
      <w:r>
        <w:tab/>
        <w:t>Președinta</w:t>
      </w:r>
      <w:r>
        <w:br/>
      </w:r>
      <w:r>
        <w:tab/>
        <w:t>Ursula VON DER LEYEN</w:t>
      </w:r>
    </w:p>
    <w:p w14:paraId="7793195C" w14:textId="5F98413A" w:rsidR="00745799" w:rsidRPr="00420CA0" w:rsidRDefault="00745799" w:rsidP="00745799">
      <w:pPr>
        <w:pStyle w:val="Personnequisigne"/>
        <w:rPr>
          <w:noProof/>
        </w:rPr>
      </w:pPr>
    </w:p>
    <w:sectPr w:rsidR="00745799" w:rsidRPr="00420CA0" w:rsidSect="002266B7">
      <w:footerReference w:type="default" r:id="rId9"/>
      <w:footerReference w:type="first" r:id="rId10"/>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7EA" w16cex:dateUtc="2021-12-01T07:59:00Z"/>
  <w16cex:commentExtensible w16cex:durableId="2551B819" w16cex:dateUtc="2021-12-01T0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4D896F" w16cid:durableId="2551B77F"/>
  <w16cid:commentId w16cid:paraId="1D538397" w16cid:durableId="2551B7EA"/>
  <w16cid:commentId w16cid:paraId="70775A79" w16cid:durableId="2551B780"/>
  <w16cid:commentId w16cid:paraId="639A1800" w16cid:durableId="2551B8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C5EFD" w14:textId="77777777" w:rsidR="00745799" w:rsidRDefault="00745799" w:rsidP="00745799">
      <w:pPr>
        <w:spacing w:before="0" w:after="0"/>
      </w:pPr>
      <w:r>
        <w:separator/>
      </w:r>
    </w:p>
  </w:endnote>
  <w:endnote w:type="continuationSeparator" w:id="0">
    <w:p w14:paraId="675C0AA5" w14:textId="77777777" w:rsidR="00745799" w:rsidRDefault="00745799" w:rsidP="007457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C5DA2" w14:textId="11CE5B07" w:rsidR="00420CA0" w:rsidRPr="002266B7" w:rsidRDefault="002266B7" w:rsidP="002266B7">
    <w:pPr>
      <w:pStyle w:val="Footer"/>
      <w:rPr>
        <w:rFonts w:ascii="Arial" w:hAnsi="Arial" w:cs="Arial"/>
        <w:b/>
        <w:sz w:val="48"/>
      </w:rPr>
    </w:pPr>
    <w:r w:rsidRPr="002266B7">
      <w:rPr>
        <w:rFonts w:ascii="Arial" w:hAnsi="Arial" w:cs="Arial"/>
        <w:b/>
        <w:sz w:val="48"/>
      </w:rPr>
      <w:t>RO</w:t>
    </w:r>
    <w:r w:rsidRPr="002266B7">
      <w:rPr>
        <w:rFonts w:ascii="Arial" w:hAnsi="Arial" w:cs="Arial"/>
        <w:b/>
        <w:sz w:val="48"/>
      </w:rPr>
      <w:tab/>
    </w:r>
    <w:r w:rsidRPr="002266B7">
      <w:rPr>
        <w:rFonts w:ascii="Arial" w:hAnsi="Arial" w:cs="Arial"/>
        <w:b/>
        <w:sz w:val="48"/>
      </w:rPr>
      <w:tab/>
    </w:r>
    <w:r w:rsidRPr="002266B7">
      <w:tab/>
    </w:r>
    <w:r w:rsidRPr="002266B7">
      <w:rPr>
        <w:rFonts w:ascii="Arial" w:hAnsi="Arial" w:cs="Arial"/>
        <w:b/>
        <w:sz w:val="48"/>
      </w:rPr>
      <w:t>RO</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1D3C0" w14:textId="618B1FDD" w:rsidR="002266B7" w:rsidRPr="002266B7" w:rsidRDefault="002266B7" w:rsidP="002266B7">
    <w:pPr>
      <w:pStyle w:val="Footer"/>
      <w:rPr>
        <w:rFonts w:ascii="Arial" w:hAnsi="Arial" w:cs="Arial"/>
        <w:b/>
        <w:sz w:val="48"/>
      </w:rPr>
    </w:pPr>
    <w:r w:rsidRPr="002266B7">
      <w:rPr>
        <w:rFonts w:ascii="Arial" w:hAnsi="Arial" w:cs="Arial"/>
        <w:b/>
        <w:sz w:val="48"/>
      </w:rPr>
      <w:t>RO</w:t>
    </w:r>
    <w:r w:rsidRPr="002266B7">
      <w:rPr>
        <w:rFonts w:ascii="Arial" w:hAnsi="Arial" w:cs="Arial"/>
        <w:b/>
        <w:sz w:val="48"/>
      </w:rPr>
      <w:tab/>
    </w:r>
    <w:r>
      <w:fldChar w:fldCharType="begin"/>
    </w:r>
    <w:r>
      <w:instrText xml:space="preserve"> PAGE  \* MERGEFORMAT </w:instrText>
    </w:r>
    <w:r>
      <w:fldChar w:fldCharType="separate"/>
    </w:r>
    <w:r w:rsidR="00C16E16">
      <w:rPr>
        <w:noProof/>
      </w:rPr>
      <w:t>2</w:t>
    </w:r>
    <w:r>
      <w:fldChar w:fldCharType="end"/>
    </w:r>
    <w:r>
      <w:tab/>
    </w:r>
    <w:r w:rsidRPr="002266B7">
      <w:tab/>
    </w:r>
    <w:r w:rsidRPr="002266B7">
      <w:rPr>
        <w:rFonts w:ascii="Arial" w:hAnsi="Arial" w:cs="Arial"/>
        <w:b/>
        <w:sz w:val="48"/>
      </w:rPr>
      <w:t>RO</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B704F" w14:textId="77777777" w:rsidR="002266B7" w:rsidRPr="002266B7" w:rsidRDefault="002266B7" w:rsidP="002266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6848F" w14:textId="77777777" w:rsidR="00745799" w:rsidRDefault="00745799" w:rsidP="00745799">
      <w:pPr>
        <w:spacing w:before="0" w:after="0"/>
      </w:pPr>
      <w:r>
        <w:separator/>
      </w:r>
    </w:p>
  </w:footnote>
  <w:footnote w:type="continuationSeparator" w:id="0">
    <w:p w14:paraId="3876E97E" w14:textId="77777777" w:rsidR="00745799" w:rsidRDefault="00745799" w:rsidP="00745799">
      <w:pPr>
        <w:spacing w:before="0" w:after="0"/>
      </w:pPr>
      <w:r>
        <w:continuationSeparator/>
      </w:r>
    </w:p>
  </w:footnote>
  <w:footnote w:id="1">
    <w:p w14:paraId="052E750F" w14:textId="77777777" w:rsidR="00745799" w:rsidRPr="009F6EAF" w:rsidRDefault="00745799" w:rsidP="00745799">
      <w:pPr>
        <w:pStyle w:val="FootnoteText"/>
      </w:pPr>
      <w:r w:rsidRPr="009F6EAF">
        <w:rPr>
          <w:rStyle w:val="FootnoteReference"/>
        </w:rPr>
        <w:footnoteRef/>
      </w:r>
      <w:r w:rsidRPr="009F6EAF">
        <w:tab/>
        <w:t>JO L 173, 12.6.2014, p. 190.</w:t>
      </w:r>
    </w:p>
  </w:footnote>
  <w:footnote w:id="2">
    <w:p w14:paraId="7F45B5AC" w14:textId="6DC04D10" w:rsidR="005F79AB" w:rsidRPr="009F6EAF" w:rsidRDefault="005F79AB" w:rsidP="005F79AB">
      <w:pPr>
        <w:pStyle w:val="FootnoteText"/>
      </w:pPr>
      <w:r w:rsidRPr="009F6EAF">
        <w:rPr>
          <w:rStyle w:val="FootnoteReference"/>
        </w:rPr>
        <w:footnoteRef/>
      </w:r>
      <w:r w:rsidRPr="009F6EAF">
        <w:tab/>
        <w:t>Directiva (UE) 2019/879 a Parlamentului European și a Consiliului din 20 mai 2019 de modificare a Directivei 2014/59/UE în ceea ce privește capacitatea de absorbție a pierderilor și de recapitalizare a instituțiilor de credit și a firmelor de investiții și a Directivei 98/26/CE (JO L 150, 7.6.2019, p. 296).</w:t>
      </w:r>
    </w:p>
  </w:footnote>
  <w:footnote w:id="3">
    <w:p w14:paraId="509F65CC" w14:textId="350D1A43" w:rsidR="005F79AB" w:rsidRPr="009F6EAF" w:rsidRDefault="005F79AB">
      <w:pPr>
        <w:pStyle w:val="FootnoteText"/>
      </w:pPr>
      <w:r w:rsidRPr="009F6EAF">
        <w:rPr>
          <w:rStyle w:val="FootnoteReference"/>
        </w:rPr>
        <w:footnoteRef/>
      </w:r>
      <w:r w:rsidRPr="009F6EAF">
        <w:tab/>
        <w:t>Regulamentul de punere în aplicare (UE) 2018/1624 al Comisiei din 23 octombrie 2018 de stabilire a unor standarde tehnice de punere în aplicare cu privire la procedurile și formularele și machetele standard care trebuie utilizate pentru furnizarea informațiilor necesare în scopul planurilor de rezoluție pentru instituțiile de credit și firmele de investiții în temeiul Directivei 2014/59/UE a Parlamentului</w:t>
      </w:r>
      <w:r w:rsidR="00D46B1E">
        <w:t> </w:t>
      </w:r>
      <w:r w:rsidRPr="009F6EAF">
        <w:t>European și a Consiliului și de abrogare a Regulamentului de punere în aplicare (UE) 2016/1066 al Comisiei (JO L 277, 7.11.2018, p. 1).</w:t>
      </w:r>
    </w:p>
  </w:footnote>
  <w:footnote w:id="4">
    <w:p w14:paraId="3537746E" w14:textId="50571182" w:rsidR="00745799" w:rsidRPr="009F6EAF" w:rsidRDefault="00745799" w:rsidP="00745799">
      <w:pPr>
        <w:pStyle w:val="FootnoteText"/>
      </w:pPr>
      <w:r w:rsidRPr="009F6EAF">
        <w:rPr>
          <w:rStyle w:val="FootnoteReference"/>
        </w:rPr>
        <w:footnoteRef/>
      </w:r>
      <w:r w:rsidRPr="009F6EAF">
        <w:tab/>
        <w:t>Regulamentul (UE) nr. 1093/2010 al Parlamentului European și al Consiliului din 24 noiembrie 2010 de instituire a Autorității europene de supraveghere (Autoritatea bancară europeană), de modificare a Deciziei nr. 716/2009/CE și de abrogare a Deciziei 2009/78/CE a Comisiei (JO L 331, 15.12.2010, p.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93EC60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37E926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9F841BE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5D4AE1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E67FB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99E095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77C7BF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698DA0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2"/>
    <w:lvlOverride w:ilvl="0">
      <w:startOverride w:val="1"/>
    </w:lvlOverride>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9"/>
  </w:num>
  <w:num w:numId="12">
    <w:abstractNumId w:val="12"/>
  </w:num>
  <w:num w:numId="13">
    <w:abstractNumId w:val="21"/>
  </w:num>
  <w:num w:numId="14">
    <w:abstractNumId w:val="11"/>
  </w:num>
  <w:num w:numId="15">
    <w:abstractNumId w:val="13"/>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19"/>
  </w:num>
  <w:num w:numId="26">
    <w:abstractNumId w:val="12"/>
  </w:num>
  <w:num w:numId="27">
    <w:abstractNumId w:val="21"/>
  </w:num>
  <w:num w:numId="28">
    <w:abstractNumId w:val="11"/>
  </w:num>
  <w:num w:numId="29">
    <w:abstractNumId w:val="13"/>
  </w:num>
  <w:num w:numId="30">
    <w:abstractNumId w:val="9"/>
  </w:num>
  <w:num w:numId="31">
    <w:abstractNumId w:val="20"/>
  </w:num>
  <w:num w:numId="32">
    <w:abstractNumId w:val="8"/>
  </w:num>
  <w:num w:numId="33">
    <w:abstractNumId w:val="15"/>
  </w:num>
  <w:num w:numId="34">
    <w:abstractNumId w:val="17"/>
  </w:num>
  <w:num w:numId="35">
    <w:abstractNumId w:val="18"/>
  </w:num>
  <w:num w:numId="36">
    <w:abstractNumId w:val="10"/>
  </w:num>
  <w:num w:numId="37">
    <w:abstractNumId w:val="16"/>
  </w:num>
  <w:num w:numId="38">
    <w:abstractNumId w:val="22"/>
  </w:num>
  <w:num w:numId="39">
    <w:abstractNumId w:val="20"/>
  </w:num>
  <w:num w:numId="40">
    <w:abstractNumId w:val="20"/>
  </w:num>
  <w:num w:numId="41">
    <w:abstractNumId w:val="20"/>
  </w:num>
  <w:num w:numId="42">
    <w:abstractNumId w:val="14"/>
  </w:num>
  <w:num w:numId="43">
    <w:abstractNumId w:val="9"/>
  </w:num>
  <w:num w:numId="44">
    <w:abstractNumId w:val="9"/>
  </w:num>
  <w:num w:numId="45">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fr-BE" w:vendorID="64" w:dllVersion="131078" w:nlCheck="1" w:checkStyle="0"/>
  <w:attachedTemplate r:id="rId1"/>
  <w:defaultTabStop w:val="720"/>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02-22 12:47:0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E91C6279-6D06-4F35-9EDE-ABBA4DEFEE33"/>
    <w:docVar w:name="LW_COVERPAGE_TYPE" w:val="1"/>
    <w:docVar w:name="LW_CROSSREFERENCE" w:val="&lt;UNUSED&gt;"/>
    <w:docVar w:name="LW_DATE.ADOPT.CP" w:val="din 3.3.2022"/>
    <w:docVar w:name="LW_DATE.ADOPT.CP_DATEFORMAT" w:val="din %DATE%"/>
    <w:docVar w:name="LW_DATE.ADOPT.CP_ISODATE" w:val="2022-03-03"/>
    <w:docVar w:name="LW_DocType" w:val="COM"/>
    <w:docVar w:name="LW_EMISSION" w:val="3.3.2022"/>
    <w:docVar w:name="LW_EMISSION_ISODATE" w:val="2022-03-03"/>
    <w:docVar w:name="LW_EMISSION_LOCATION" w:val="BRX"/>
    <w:docVar w:name="LW_EMISSION_PREFIX" w:val="Bruxelles, "/>
    <w:docVar w:name="LW_EMISSION_SUFFIX" w:val=" "/>
    <w:docVar w:name="LW_ID_DOCMODEL" w:val="SJ-004"/>
    <w:docVar w:name="LW_ID_DOCSIGNATURE" w:val="SJ-004"/>
    <w:docVar w:name="LW_ID_DOCSTRUCTURE" w:val="COM/AA"/>
    <w:docVar w:name="LW_ID_DOCTYPE" w:val="SJ-004"/>
    <w:docVar w:name="LW_INTERETEEE.CP" w:val="(Text cu relevanță pentru SEE)"/>
    <w:docVar w:name="LW_LANGUE" w:val="RO"/>
    <w:docVar w:name="LW_LANGUESFAISANTFOI.CP" w:val="&lt;UNUSED&gt;"/>
    <w:docVar w:name="LW_LEVEL_OF_SENSITIVITY" w:val="Standard treatment"/>
    <w:docVar w:name="LW_NOM.INST" w:val="COMISIA EUROPEAN\u258?"/>
    <w:docVar w:name="LW_NOM.INST_JOINTDOC" w:val="&lt;EMPTY&gt;"/>
    <w:docVar w:name="LW_PART_NBR" w:val="1"/>
    <w:docVar w:name="LW_PART_NBR_TOTAL" w:val="1"/>
    <w:docVar w:name="LW_REF.INST.NEW" w:val="C"/>
    <w:docVar w:name="LW_REF.INST.NEW_ADOPTED" w:val="final"/>
    <w:docVar w:name="LW_REF.INST.NEW_TEXT" w:val="(2022) 1227"/>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de modificare a Regulamentului de punere în aplicare (UE) 2018/1624 de stabilire a unor standarde tehnice de punere în aplicare cu privire la procedurile, formularele și machetele standard care trebuie utilizate pentru furnizarea informațiilor necesare în scopul planurilor de rezoluție pentru instituțiile de credit și firmele de investiții în temeiul Directivei 2014/59/UE a Parlamentului European și a Consiliului _x000b_"/>
    <w:docVar w:name="LW_TYPE.DOC.CP" w:val="REGULAMENTUL DE PUNERE ÎN APLICARE (UE) …/… AL COMISIEI"/>
    <w:docVar w:name="LwApiVersions" w:val="LW4CoDe 1.23.2.0; LW 8.0, Build 20211117"/>
  </w:docVars>
  <w:rsids>
    <w:rsidRoot w:val="00745799"/>
    <w:rsid w:val="00030008"/>
    <w:rsid w:val="00077B5D"/>
    <w:rsid w:val="00090F84"/>
    <w:rsid w:val="00096F1E"/>
    <w:rsid w:val="000A5309"/>
    <w:rsid w:val="000A7517"/>
    <w:rsid w:val="000E198E"/>
    <w:rsid w:val="000E5A8D"/>
    <w:rsid w:val="000F0ADA"/>
    <w:rsid w:val="00123B47"/>
    <w:rsid w:val="001838A3"/>
    <w:rsid w:val="001A2BD7"/>
    <w:rsid w:val="001A4CD3"/>
    <w:rsid w:val="001C2816"/>
    <w:rsid w:val="001D72C1"/>
    <w:rsid w:val="00202973"/>
    <w:rsid w:val="00213F5B"/>
    <w:rsid w:val="002266B7"/>
    <w:rsid w:val="00232E98"/>
    <w:rsid w:val="002529F8"/>
    <w:rsid w:val="00283253"/>
    <w:rsid w:val="002E04D0"/>
    <w:rsid w:val="003053DC"/>
    <w:rsid w:val="003151E2"/>
    <w:rsid w:val="00333B7B"/>
    <w:rsid w:val="00376813"/>
    <w:rsid w:val="003D725F"/>
    <w:rsid w:val="003E38EA"/>
    <w:rsid w:val="00420CA0"/>
    <w:rsid w:val="00426704"/>
    <w:rsid w:val="004B08D1"/>
    <w:rsid w:val="004F579B"/>
    <w:rsid w:val="00511345"/>
    <w:rsid w:val="005B03B6"/>
    <w:rsid w:val="005B1217"/>
    <w:rsid w:val="005F79AB"/>
    <w:rsid w:val="00603FDC"/>
    <w:rsid w:val="00686A0F"/>
    <w:rsid w:val="006944A9"/>
    <w:rsid w:val="006B3BDB"/>
    <w:rsid w:val="006D5B8E"/>
    <w:rsid w:val="006F19B5"/>
    <w:rsid w:val="006F1B4E"/>
    <w:rsid w:val="0070128F"/>
    <w:rsid w:val="007170E9"/>
    <w:rsid w:val="0072626D"/>
    <w:rsid w:val="00745799"/>
    <w:rsid w:val="00753C08"/>
    <w:rsid w:val="0076684E"/>
    <w:rsid w:val="007C06F6"/>
    <w:rsid w:val="007E3268"/>
    <w:rsid w:val="007F3383"/>
    <w:rsid w:val="00813DCB"/>
    <w:rsid w:val="008275B7"/>
    <w:rsid w:val="008A5816"/>
    <w:rsid w:val="008B152E"/>
    <w:rsid w:val="008F621A"/>
    <w:rsid w:val="00911DBE"/>
    <w:rsid w:val="009202AA"/>
    <w:rsid w:val="00945758"/>
    <w:rsid w:val="00986B33"/>
    <w:rsid w:val="00987AD5"/>
    <w:rsid w:val="009B7138"/>
    <w:rsid w:val="009C3971"/>
    <w:rsid w:val="009F6EAF"/>
    <w:rsid w:val="00A76265"/>
    <w:rsid w:val="00AB3682"/>
    <w:rsid w:val="00B63485"/>
    <w:rsid w:val="00B727A1"/>
    <w:rsid w:val="00B85498"/>
    <w:rsid w:val="00BD52D9"/>
    <w:rsid w:val="00BE246D"/>
    <w:rsid w:val="00BF17AA"/>
    <w:rsid w:val="00BF5167"/>
    <w:rsid w:val="00C16E16"/>
    <w:rsid w:val="00C24556"/>
    <w:rsid w:val="00C52AC5"/>
    <w:rsid w:val="00CA6AAF"/>
    <w:rsid w:val="00D4394C"/>
    <w:rsid w:val="00D46B1E"/>
    <w:rsid w:val="00DF7421"/>
    <w:rsid w:val="00E029CA"/>
    <w:rsid w:val="00E578DB"/>
    <w:rsid w:val="00EE395E"/>
    <w:rsid w:val="00F20062"/>
    <w:rsid w:val="00FF2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6832BA40"/>
  <w15:docId w15:val="{AB47458E-1441-4473-9270-EF532192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ro-RO"/>
    </w:rPr>
  </w:style>
  <w:style w:type="paragraph" w:styleId="Heading1">
    <w:name w:val="heading 1"/>
    <w:basedOn w:val="Normal"/>
    <w:next w:val="Text1"/>
    <w:link w:val="Heading1Char"/>
    <w:uiPriority w:val="9"/>
    <w:qFormat/>
    <w:rsid w:val="009B7138"/>
    <w:pPr>
      <w:keepNext/>
      <w:numPr>
        <w:numId w:val="4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4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41"/>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41"/>
      </w:numPr>
      <w:outlineLvl w:val="3"/>
    </w:pPr>
    <w:rPr>
      <w:rFonts w:eastAsiaTheme="majorEastAsia"/>
      <w:bCs/>
      <w:iCs/>
    </w:rPr>
  </w:style>
  <w:style w:type="paragraph" w:styleId="Heading5">
    <w:name w:val="heading 5"/>
    <w:basedOn w:val="Normal"/>
    <w:next w:val="Text2"/>
    <w:link w:val="Heading5Char"/>
    <w:uiPriority w:val="9"/>
    <w:semiHidden/>
    <w:unhideWhenUsed/>
    <w:qFormat/>
    <w:rsid w:val="00686A0F"/>
    <w:pPr>
      <w:keepNext/>
      <w:numPr>
        <w:ilvl w:val="4"/>
        <w:numId w:val="41"/>
      </w:numPr>
      <w:outlineLvl w:val="4"/>
    </w:pPr>
    <w:rPr>
      <w:rFonts w:eastAsiaTheme="majorEastAsia"/>
    </w:rPr>
  </w:style>
  <w:style w:type="paragraph" w:styleId="Heading6">
    <w:name w:val="heading 6"/>
    <w:basedOn w:val="Normal"/>
    <w:next w:val="Text2"/>
    <w:link w:val="Heading6Char"/>
    <w:uiPriority w:val="9"/>
    <w:semiHidden/>
    <w:unhideWhenUsed/>
    <w:qFormat/>
    <w:rsid w:val="00686A0F"/>
    <w:pPr>
      <w:keepNext/>
      <w:numPr>
        <w:ilvl w:val="5"/>
        <w:numId w:val="41"/>
      </w:numPr>
      <w:outlineLvl w:val="5"/>
    </w:pPr>
    <w:rPr>
      <w:rFonts w:eastAsiaTheme="majorEastAsia"/>
      <w:iCs/>
    </w:rPr>
  </w:style>
  <w:style w:type="paragraph" w:styleId="Heading7">
    <w:name w:val="heading 7"/>
    <w:basedOn w:val="Normal"/>
    <w:next w:val="Text2"/>
    <w:link w:val="Heading7Char"/>
    <w:uiPriority w:val="9"/>
    <w:semiHidden/>
    <w:unhideWhenUsed/>
    <w:qFormat/>
    <w:rsid w:val="00686A0F"/>
    <w:pPr>
      <w:keepNext/>
      <w:numPr>
        <w:ilvl w:val="6"/>
        <w:numId w:val="41"/>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3151E2"/>
    <w:pPr>
      <w:numPr>
        <w:numId w:val="2"/>
      </w:numPr>
      <w:contextualSpacing/>
    </w:pPr>
  </w:style>
  <w:style w:type="paragraph" w:styleId="ListBullet2">
    <w:name w:val="List Bullet 2"/>
    <w:basedOn w:val="Normal"/>
    <w:uiPriority w:val="99"/>
    <w:semiHidden/>
    <w:unhideWhenUsed/>
    <w:rsid w:val="003151E2"/>
    <w:pPr>
      <w:numPr>
        <w:numId w:val="3"/>
      </w:numPr>
      <w:contextualSpacing/>
    </w:pPr>
  </w:style>
  <w:style w:type="paragraph" w:styleId="ListBullet3">
    <w:name w:val="List Bullet 3"/>
    <w:basedOn w:val="Normal"/>
    <w:uiPriority w:val="99"/>
    <w:semiHidden/>
    <w:unhideWhenUsed/>
    <w:rsid w:val="003151E2"/>
    <w:pPr>
      <w:numPr>
        <w:numId w:val="4"/>
      </w:numPr>
      <w:contextualSpacing/>
    </w:pPr>
  </w:style>
  <w:style w:type="paragraph" w:styleId="ListBullet4">
    <w:name w:val="List Bullet 4"/>
    <w:basedOn w:val="Normal"/>
    <w:uiPriority w:val="99"/>
    <w:semiHidden/>
    <w:unhideWhenUsed/>
    <w:rsid w:val="003151E2"/>
    <w:pPr>
      <w:numPr>
        <w:numId w:val="5"/>
      </w:numPr>
      <w:contextualSpacing/>
    </w:pPr>
  </w:style>
  <w:style w:type="paragraph" w:styleId="Caption">
    <w:name w:val="caption"/>
    <w:basedOn w:val="Normal"/>
    <w:next w:val="Normal"/>
    <w:uiPriority w:val="35"/>
    <w:semiHidden/>
    <w:unhideWhenUsed/>
    <w:qFormat/>
    <w:rsid w:val="00283253"/>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83253"/>
    <w:pPr>
      <w:spacing w:after="0"/>
    </w:pPr>
  </w:style>
  <w:style w:type="paragraph" w:styleId="ListNumber">
    <w:name w:val="List Number"/>
    <w:basedOn w:val="Normal"/>
    <w:uiPriority w:val="99"/>
    <w:semiHidden/>
    <w:unhideWhenUsed/>
    <w:rsid w:val="00283253"/>
    <w:pPr>
      <w:numPr>
        <w:numId w:val="7"/>
      </w:numPr>
      <w:contextualSpacing/>
    </w:pPr>
  </w:style>
  <w:style w:type="paragraph" w:styleId="ListNumber2">
    <w:name w:val="List Number 2"/>
    <w:basedOn w:val="Normal"/>
    <w:uiPriority w:val="99"/>
    <w:semiHidden/>
    <w:unhideWhenUsed/>
    <w:rsid w:val="00283253"/>
    <w:pPr>
      <w:numPr>
        <w:numId w:val="8"/>
      </w:numPr>
      <w:contextualSpacing/>
    </w:pPr>
  </w:style>
  <w:style w:type="paragraph" w:styleId="ListNumber3">
    <w:name w:val="List Number 3"/>
    <w:basedOn w:val="Normal"/>
    <w:uiPriority w:val="99"/>
    <w:semiHidden/>
    <w:unhideWhenUsed/>
    <w:rsid w:val="00283253"/>
    <w:pPr>
      <w:numPr>
        <w:numId w:val="9"/>
      </w:numPr>
      <w:contextualSpacing/>
    </w:pPr>
  </w:style>
  <w:style w:type="paragraph" w:styleId="ListNumber4">
    <w:name w:val="List Number 4"/>
    <w:basedOn w:val="Normal"/>
    <w:uiPriority w:val="99"/>
    <w:semiHidden/>
    <w:unhideWhenUsed/>
    <w:rsid w:val="00283253"/>
    <w:pPr>
      <w:numPr>
        <w:numId w:val="10"/>
      </w:numPr>
      <w:contextualSpacing/>
    </w:pPr>
  </w:style>
  <w:style w:type="character" w:styleId="CommentReference">
    <w:name w:val="annotation reference"/>
    <w:basedOn w:val="DefaultParagraphFont"/>
    <w:uiPriority w:val="99"/>
    <w:semiHidden/>
    <w:unhideWhenUsed/>
    <w:rsid w:val="009C3971"/>
    <w:rPr>
      <w:sz w:val="16"/>
      <w:szCs w:val="16"/>
    </w:rPr>
  </w:style>
  <w:style w:type="paragraph" w:styleId="CommentText">
    <w:name w:val="annotation text"/>
    <w:basedOn w:val="Normal"/>
    <w:link w:val="CommentTextChar"/>
    <w:uiPriority w:val="99"/>
    <w:unhideWhenUsed/>
    <w:rsid w:val="009C3971"/>
    <w:rPr>
      <w:sz w:val="20"/>
      <w:szCs w:val="20"/>
    </w:rPr>
  </w:style>
  <w:style w:type="character" w:customStyle="1" w:styleId="CommentTextChar">
    <w:name w:val="Comment Text Char"/>
    <w:basedOn w:val="DefaultParagraphFont"/>
    <w:link w:val="CommentText"/>
    <w:uiPriority w:val="99"/>
    <w:rsid w:val="009C3971"/>
    <w:rPr>
      <w:rFonts w:ascii="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9C3971"/>
    <w:rPr>
      <w:b/>
      <w:bCs/>
    </w:rPr>
  </w:style>
  <w:style w:type="character" w:customStyle="1" w:styleId="CommentSubjectChar">
    <w:name w:val="Comment Subject Char"/>
    <w:basedOn w:val="CommentTextChar"/>
    <w:link w:val="CommentSubject"/>
    <w:uiPriority w:val="99"/>
    <w:semiHidden/>
    <w:rsid w:val="009C3971"/>
    <w:rPr>
      <w:rFonts w:ascii="Times New Roman" w:hAnsi="Times New Roman" w:cs="Times New Roman"/>
      <w:b/>
      <w:bCs/>
      <w:sz w:val="20"/>
      <w:szCs w:val="20"/>
      <w:lang w:val="ro-RO"/>
    </w:rPr>
  </w:style>
  <w:style w:type="character" w:styleId="Hyperlink">
    <w:name w:val="Hyperlink"/>
    <w:basedOn w:val="DefaultParagraphFont"/>
    <w:uiPriority w:val="99"/>
    <w:unhideWhenUsed/>
    <w:rsid w:val="009C3971"/>
    <w:rPr>
      <w:color w:val="0000FF" w:themeColor="hyperlink"/>
      <w:u w:val="single"/>
    </w:rPr>
  </w:style>
  <w:style w:type="character" w:customStyle="1" w:styleId="UnresolvedMention1">
    <w:name w:val="Unresolved Mention1"/>
    <w:basedOn w:val="DefaultParagraphFont"/>
    <w:uiPriority w:val="99"/>
    <w:semiHidden/>
    <w:unhideWhenUsed/>
    <w:rsid w:val="009C3971"/>
    <w:rPr>
      <w:color w:val="605E5C"/>
      <w:shd w:val="clear" w:color="auto" w:fill="E1DFDD"/>
    </w:rPr>
  </w:style>
  <w:style w:type="paragraph" w:styleId="BalloonText">
    <w:name w:val="Balloon Text"/>
    <w:basedOn w:val="Normal"/>
    <w:link w:val="BalloonTextChar"/>
    <w:uiPriority w:val="99"/>
    <w:semiHidden/>
    <w:unhideWhenUsed/>
    <w:rsid w:val="005F79A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9AB"/>
    <w:rPr>
      <w:rFonts w:ascii="Segoe UI" w:hAnsi="Segoe UI" w:cs="Segoe UI"/>
      <w:sz w:val="18"/>
      <w:szCs w:val="18"/>
      <w:lang w:val="ro-RO"/>
    </w:rPr>
  </w:style>
  <w:style w:type="paragraph" w:styleId="Revision">
    <w:name w:val="Revision"/>
    <w:hidden/>
    <w:uiPriority w:val="99"/>
    <w:semiHidden/>
    <w:rsid w:val="00090F84"/>
    <w:pPr>
      <w:spacing w:after="0" w:line="240" w:lineRule="auto"/>
    </w:pPr>
    <w:rPr>
      <w:rFonts w:ascii="Times New Roman" w:hAnsi="Times New Roman" w:cs="Times New Roman"/>
      <w:sz w:val="24"/>
    </w:rPr>
  </w:style>
  <w:style w:type="character" w:styleId="FollowedHyperlink">
    <w:name w:val="FollowedHyperlink"/>
    <w:basedOn w:val="DefaultParagraphFont"/>
    <w:uiPriority w:val="99"/>
    <w:semiHidden/>
    <w:unhideWhenUsed/>
    <w:rsid w:val="00426704"/>
    <w:rPr>
      <w:color w:val="800080" w:themeColor="followedHyperlink"/>
      <w:u w:val="single"/>
    </w:rPr>
  </w:style>
  <w:style w:type="paragraph" w:styleId="Header">
    <w:name w:val="header"/>
    <w:basedOn w:val="Normal"/>
    <w:link w:val="HeaderChar"/>
    <w:uiPriority w:val="99"/>
    <w:unhideWhenUsed/>
    <w:rsid w:val="002266B7"/>
    <w:pPr>
      <w:tabs>
        <w:tab w:val="center" w:pos="4535"/>
        <w:tab w:val="right" w:pos="9071"/>
      </w:tabs>
      <w:spacing w:before="0"/>
    </w:pPr>
  </w:style>
  <w:style w:type="character" w:customStyle="1" w:styleId="HeaderChar">
    <w:name w:val="Header Char"/>
    <w:basedOn w:val="DefaultParagraphFont"/>
    <w:link w:val="Header"/>
    <w:uiPriority w:val="99"/>
    <w:rsid w:val="002266B7"/>
    <w:rPr>
      <w:rFonts w:ascii="Times New Roman" w:hAnsi="Times New Roman" w:cs="Times New Roman"/>
      <w:sz w:val="24"/>
      <w:lang w:val="ro-RO"/>
    </w:rPr>
  </w:style>
  <w:style w:type="paragraph" w:styleId="Footer">
    <w:name w:val="footer"/>
    <w:basedOn w:val="Normal"/>
    <w:link w:val="FooterChar"/>
    <w:uiPriority w:val="99"/>
    <w:unhideWhenUsed/>
    <w:rsid w:val="002266B7"/>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2266B7"/>
    <w:rPr>
      <w:rFonts w:ascii="Times New Roman" w:hAnsi="Times New Roman" w:cs="Times New Roman"/>
      <w:sz w:val="24"/>
      <w:lang w:val="ro-RO"/>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2266B7"/>
    <w:pPr>
      <w:tabs>
        <w:tab w:val="center" w:pos="7285"/>
        <w:tab w:val="right" w:pos="14003"/>
      </w:tabs>
      <w:spacing w:before="0"/>
    </w:pPr>
  </w:style>
  <w:style w:type="paragraph" w:customStyle="1" w:styleId="FooterLandscape">
    <w:name w:val="FooterLandscape"/>
    <w:basedOn w:val="Normal"/>
    <w:rsid w:val="002266B7"/>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2266B7"/>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2266B7"/>
    <w:pPr>
      <w:spacing w:before="0"/>
      <w:jc w:val="right"/>
    </w:pPr>
    <w:rPr>
      <w:sz w:val="28"/>
    </w:rPr>
  </w:style>
  <w:style w:type="paragraph" w:customStyle="1" w:styleId="FooterSensitivity">
    <w:name w:val="Footer Sensitivity"/>
    <w:basedOn w:val="Normal"/>
    <w:rsid w:val="002266B7"/>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5"/>
      </w:numPr>
    </w:pPr>
  </w:style>
  <w:style w:type="paragraph" w:customStyle="1" w:styleId="Tiret1">
    <w:name w:val="Tiret 1"/>
    <w:basedOn w:val="Point1"/>
    <w:rsid w:val="009B7138"/>
    <w:pPr>
      <w:numPr>
        <w:numId w:val="26"/>
      </w:numPr>
    </w:pPr>
  </w:style>
  <w:style w:type="paragraph" w:customStyle="1" w:styleId="Tiret2">
    <w:name w:val="Tiret 2"/>
    <w:basedOn w:val="Point2"/>
    <w:rsid w:val="009B7138"/>
    <w:pPr>
      <w:numPr>
        <w:numId w:val="27"/>
      </w:numPr>
    </w:pPr>
  </w:style>
  <w:style w:type="paragraph" w:customStyle="1" w:styleId="Tiret3">
    <w:name w:val="Tiret 3"/>
    <w:basedOn w:val="Point3"/>
    <w:rsid w:val="009B7138"/>
    <w:pPr>
      <w:numPr>
        <w:numId w:val="28"/>
      </w:numPr>
    </w:pPr>
  </w:style>
  <w:style w:type="paragraph" w:customStyle="1" w:styleId="Tiret4">
    <w:name w:val="Tiret 4"/>
    <w:basedOn w:val="Point4"/>
    <w:rsid w:val="009B7138"/>
    <w:pPr>
      <w:numPr>
        <w:numId w:val="29"/>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45"/>
      </w:numPr>
    </w:pPr>
  </w:style>
  <w:style w:type="paragraph" w:customStyle="1" w:styleId="NumPar2">
    <w:name w:val="NumPar 2"/>
    <w:basedOn w:val="Normal"/>
    <w:next w:val="Text1"/>
    <w:rsid w:val="009B7138"/>
    <w:pPr>
      <w:numPr>
        <w:ilvl w:val="1"/>
        <w:numId w:val="45"/>
      </w:numPr>
    </w:pPr>
  </w:style>
  <w:style w:type="paragraph" w:customStyle="1" w:styleId="NumPar3">
    <w:name w:val="NumPar 3"/>
    <w:basedOn w:val="Normal"/>
    <w:next w:val="Text1"/>
    <w:rsid w:val="009B7138"/>
    <w:pPr>
      <w:numPr>
        <w:ilvl w:val="2"/>
        <w:numId w:val="45"/>
      </w:numPr>
    </w:pPr>
  </w:style>
  <w:style w:type="paragraph" w:customStyle="1" w:styleId="NumPar4">
    <w:name w:val="NumPar 4"/>
    <w:basedOn w:val="Normal"/>
    <w:next w:val="Text1"/>
    <w:rsid w:val="009B7138"/>
    <w:pPr>
      <w:numPr>
        <w:ilvl w:val="3"/>
        <w:numId w:val="4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2"/>
      </w:numPr>
    </w:pPr>
  </w:style>
  <w:style w:type="paragraph" w:customStyle="1" w:styleId="Point1number">
    <w:name w:val="Point 1 (number)"/>
    <w:basedOn w:val="Normal"/>
    <w:rsid w:val="009B7138"/>
    <w:pPr>
      <w:numPr>
        <w:ilvl w:val="2"/>
        <w:numId w:val="32"/>
      </w:numPr>
    </w:pPr>
  </w:style>
  <w:style w:type="paragraph" w:customStyle="1" w:styleId="Point2number">
    <w:name w:val="Point 2 (number)"/>
    <w:basedOn w:val="Normal"/>
    <w:rsid w:val="009B7138"/>
    <w:pPr>
      <w:numPr>
        <w:ilvl w:val="4"/>
        <w:numId w:val="32"/>
      </w:numPr>
    </w:pPr>
  </w:style>
  <w:style w:type="paragraph" w:customStyle="1" w:styleId="Point3number">
    <w:name w:val="Point 3 (number)"/>
    <w:basedOn w:val="Normal"/>
    <w:rsid w:val="009B7138"/>
    <w:pPr>
      <w:numPr>
        <w:ilvl w:val="6"/>
        <w:numId w:val="32"/>
      </w:numPr>
    </w:pPr>
  </w:style>
  <w:style w:type="paragraph" w:customStyle="1" w:styleId="Point0letter">
    <w:name w:val="Point 0 (letter)"/>
    <w:basedOn w:val="Normal"/>
    <w:rsid w:val="009B7138"/>
    <w:pPr>
      <w:numPr>
        <w:ilvl w:val="1"/>
        <w:numId w:val="32"/>
      </w:numPr>
    </w:pPr>
  </w:style>
  <w:style w:type="paragraph" w:customStyle="1" w:styleId="Point1letter">
    <w:name w:val="Point 1 (letter)"/>
    <w:basedOn w:val="Normal"/>
    <w:rsid w:val="009B7138"/>
    <w:pPr>
      <w:numPr>
        <w:ilvl w:val="3"/>
        <w:numId w:val="32"/>
      </w:numPr>
    </w:pPr>
  </w:style>
  <w:style w:type="paragraph" w:customStyle="1" w:styleId="Point2letter">
    <w:name w:val="Point 2 (letter)"/>
    <w:basedOn w:val="Normal"/>
    <w:rsid w:val="009B7138"/>
    <w:pPr>
      <w:numPr>
        <w:ilvl w:val="5"/>
        <w:numId w:val="32"/>
      </w:numPr>
    </w:pPr>
  </w:style>
  <w:style w:type="paragraph" w:customStyle="1" w:styleId="Point3letter">
    <w:name w:val="Point 3 (letter)"/>
    <w:basedOn w:val="Normal"/>
    <w:rsid w:val="009B7138"/>
    <w:pPr>
      <w:numPr>
        <w:ilvl w:val="7"/>
        <w:numId w:val="32"/>
      </w:numPr>
    </w:pPr>
  </w:style>
  <w:style w:type="paragraph" w:customStyle="1" w:styleId="Point4letter">
    <w:name w:val="Point 4 (letter)"/>
    <w:basedOn w:val="Normal"/>
    <w:rsid w:val="009B7138"/>
    <w:pPr>
      <w:numPr>
        <w:ilvl w:val="8"/>
        <w:numId w:val="32"/>
      </w:numPr>
    </w:pPr>
  </w:style>
  <w:style w:type="paragraph" w:customStyle="1" w:styleId="Bullet0">
    <w:name w:val="Bullet 0"/>
    <w:basedOn w:val="Normal"/>
    <w:rsid w:val="009B7138"/>
    <w:pPr>
      <w:numPr>
        <w:numId w:val="33"/>
      </w:numPr>
    </w:pPr>
  </w:style>
  <w:style w:type="paragraph" w:customStyle="1" w:styleId="Bullet1">
    <w:name w:val="Bullet 1"/>
    <w:basedOn w:val="Normal"/>
    <w:rsid w:val="009B7138"/>
    <w:pPr>
      <w:numPr>
        <w:numId w:val="34"/>
      </w:numPr>
    </w:pPr>
  </w:style>
  <w:style w:type="paragraph" w:customStyle="1" w:styleId="Bullet2">
    <w:name w:val="Bullet 2"/>
    <w:basedOn w:val="Normal"/>
    <w:rsid w:val="009B7138"/>
    <w:pPr>
      <w:numPr>
        <w:numId w:val="35"/>
      </w:numPr>
    </w:pPr>
  </w:style>
  <w:style w:type="paragraph" w:customStyle="1" w:styleId="Bullet3">
    <w:name w:val="Bullet 3"/>
    <w:basedOn w:val="Normal"/>
    <w:rsid w:val="009B7138"/>
    <w:pPr>
      <w:numPr>
        <w:numId w:val="36"/>
      </w:numPr>
    </w:pPr>
  </w:style>
  <w:style w:type="paragraph" w:customStyle="1" w:styleId="Bullet4">
    <w:name w:val="Bullet 4"/>
    <w:basedOn w:val="Normal"/>
    <w:rsid w:val="009B7138"/>
    <w:pPr>
      <w:numPr>
        <w:numId w:val="37"/>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8"/>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 w:type="character" w:customStyle="1" w:styleId="Heading5Char">
    <w:name w:val="Heading 5 Char"/>
    <w:basedOn w:val="DefaultParagraphFont"/>
    <w:link w:val="Heading5"/>
    <w:uiPriority w:val="9"/>
    <w:semiHidden/>
    <w:rsid w:val="00686A0F"/>
    <w:rPr>
      <w:rFonts w:ascii="Times New Roman" w:eastAsiaTheme="majorEastAsia" w:hAnsi="Times New Roman" w:cs="Times New Roman"/>
      <w:sz w:val="24"/>
      <w:lang w:val="ro-RO"/>
    </w:rPr>
  </w:style>
  <w:style w:type="character" w:customStyle="1" w:styleId="Heading6Char">
    <w:name w:val="Heading 6 Char"/>
    <w:basedOn w:val="DefaultParagraphFont"/>
    <w:link w:val="Heading6"/>
    <w:uiPriority w:val="9"/>
    <w:semiHidden/>
    <w:rsid w:val="00686A0F"/>
    <w:rPr>
      <w:rFonts w:ascii="Times New Roman" w:eastAsiaTheme="majorEastAsia" w:hAnsi="Times New Roman" w:cs="Times New Roman"/>
      <w:iCs/>
      <w:sz w:val="24"/>
      <w:lang w:val="ro-RO"/>
    </w:rPr>
  </w:style>
  <w:style w:type="character" w:customStyle="1" w:styleId="Heading7Char">
    <w:name w:val="Heading 7 Char"/>
    <w:basedOn w:val="DefaultParagraphFont"/>
    <w:link w:val="Heading7"/>
    <w:uiPriority w:val="9"/>
    <w:semiHidden/>
    <w:rsid w:val="00686A0F"/>
    <w:rPr>
      <w:rFonts w:ascii="Times New Roman" w:eastAsiaTheme="majorEastAsia" w:hAnsi="Times New Roman" w:cs="Times New Roman"/>
      <w:iCs/>
      <w:sz w:val="24"/>
      <w:lang w:val="ro-RO"/>
    </w:rPr>
  </w:style>
  <w:style w:type="paragraph" w:customStyle="1" w:styleId="ManualHeading5">
    <w:name w:val="Manual Heading 5"/>
    <w:basedOn w:val="Normal"/>
    <w:next w:val="Text2"/>
    <w:rsid w:val="00686A0F"/>
    <w:pPr>
      <w:keepNext/>
      <w:tabs>
        <w:tab w:val="left" w:pos="1417"/>
      </w:tabs>
      <w:ind w:left="1417" w:hanging="1417"/>
      <w:outlineLvl w:val="4"/>
    </w:pPr>
  </w:style>
  <w:style w:type="paragraph" w:customStyle="1" w:styleId="ManualHeading6">
    <w:name w:val="Manual Heading 6"/>
    <w:basedOn w:val="Normal"/>
    <w:next w:val="Text2"/>
    <w:rsid w:val="00686A0F"/>
    <w:pPr>
      <w:keepNext/>
      <w:tabs>
        <w:tab w:val="left" w:pos="1417"/>
      </w:tabs>
      <w:ind w:left="1417" w:hanging="1417"/>
      <w:outlineLvl w:val="5"/>
    </w:pPr>
  </w:style>
  <w:style w:type="paragraph" w:customStyle="1" w:styleId="ManualHeading7">
    <w:name w:val="Manual Heading 7"/>
    <w:basedOn w:val="Normal"/>
    <w:next w:val="Text2"/>
    <w:rsid w:val="00686A0F"/>
    <w:pPr>
      <w:keepNext/>
      <w:tabs>
        <w:tab w:val="left" w:pos="1417"/>
      </w:tabs>
      <w:ind w:left="1417" w:hanging="1417"/>
      <w:outlineLvl w:val="6"/>
    </w:pPr>
  </w:style>
  <w:style w:type="paragraph" w:customStyle="1" w:styleId="Text5">
    <w:name w:val="Text 5"/>
    <w:basedOn w:val="Normal"/>
    <w:rsid w:val="00686A0F"/>
    <w:pPr>
      <w:ind w:left="3118"/>
    </w:pPr>
  </w:style>
  <w:style w:type="paragraph" w:customStyle="1" w:styleId="Text6">
    <w:name w:val="Text 6"/>
    <w:basedOn w:val="Normal"/>
    <w:rsid w:val="00686A0F"/>
    <w:pPr>
      <w:ind w:left="3685"/>
    </w:pPr>
  </w:style>
  <w:style w:type="paragraph" w:customStyle="1" w:styleId="Point5">
    <w:name w:val="Point 5"/>
    <w:basedOn w:val="Normal"/>
    <w:rsid w:val="00686A0F"/>
    <w:pPr>
      <w:ind w:left="3685" w:hanging="567"/>
    </w:pPr>
  </w:style>
  <w:style w:type="paragraph" w:customStyle="1" w:styleId="Tiret5">
    <w:name w:val="Tiret 5"/>
    <w:basedOn w:val="Point5"/>
    <w:rsid w:val="00686A0F"/>
    <w:pPr>
      <w:numPr>
        <w:numId w:val="42"/>
      </w:numPr>
    </w:pPr>
  </w:style>
  <w:style w:type="paragraph" w:customStyle="1" w:styleId="NumPar5">
    <w:name w:val="NumPar 5"/>
    <w:basedOn w:val="Normal"/>
    <w:next w:val="Text2"/>
    <w:rsid w:val="00686A0F"/>
    <w:pPr>
      <w:numPr>
        <w:ilvl w:val="4"/>
        <w:numId w:val="45"/>
      </w:numPr>
    </w:pPr>
  </w:style>
  <w:style w:type="paragraph" w:customStyle="1" w:styleId="NumPar6">
    <w:name w:val="NumPar 6"/>
    <w:basedOn w:val="Normal"/>
    <w:next w:val="Text2"/>
    <w:rsid w:val="00686A0F"/>
    <w:pPr>
      <w:numPr>
        <w:ilvl w:val="5"/>
        <w:numId w:val="45"/>
      </w:numPr>
    </w:pPr>
  </w:style>
  <w:style w:type="paragraph" w:customStyle="1" w:styleId="NumPar7">
    <w:name w:val="NumPar 7"/>
    <w:basedOn w:val="Normal"/>
    <w:next w:val="Text2"/>
    <w:rsid w:val="00686A0F"/>
    <w:pPr>
      <w:numPr>
        <w:ilvl w:val="6"/>
        <w:numId w:val="45"/>
      </w:numPr>
    </w:pPr>
  </w:style>
  <w:style w:type="paragraph" w:customStyle="1" w:styleId="ManualNumPar5">
    <w:name w:val="Manual NumPar 5"/>
    <w:basedOn w:val="Normal"/>
    <w:next w:val="Text2"/>
    <w:rsid w:val="00686A0F"/>
    <w:pPr>
      <w:ind w:left="1417" w:hanging="1417"/>
    </w:pPr>
  </w:style>
  <w:style w:type="paragraph" w:customStyle="1" w:styleId="ManualNumPar6">
    <w:name w:val="Manual NumPar 6"/>
    <w:basedOn w:val="Normal"/>
    <w:next w:val="Text2"/>
    <w:rsid w:val="00686A0F"/>
    <w:pPr>
      <w:ind w:left="1417" w:hanging="1417"/>
    </w:pPr>
  </w:style>
  <w:style w:type="paragraph" w:customStyle="1" w:styleId="ManualNumPar7">
    <w:name w:val="Manual NumPar 7"/>
    <w:basedOn w:val="Normal"/>
    <w:next w:val="Text2"/>
    <w:rsid w:val="00686A0F"/>
    <w:pPr>
      <w:ind w:left="1417" w:hanging="141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17256">
      <w:bodyDiv w:val="1"/>
      <w:marLeft w:val="0"/>
      <w:marRight w:val="0"/>
      <w:marTop w:val="0"/>
      <w:marBottom w:val="0"/>
      <w:divBdr>
        <w:top w:val="none" w:sz="0" w:space="0" w:color="auto"/>
        <w:left w:val="none" w:sz="0" w:space="0" w:color="auto"/>
        <w:bottom w:val="none" w:sz="0" w:space="0" w:color="auto"/>
        <w:right w:val="none" w:sz="0" w:space="0" w:color="auto"/>
      </w:divBdr>
    </w:div>
    <w:div w:id="13444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3</Pages>
  <Words>493</Words>
  <Characters>2916</Characters>
  <Application>Microsoft Office Word</Application>
  <DocSecurity>0</DocSecurity>
  <Lines>58</Lines>
  <Paragraphs>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VAPPER Rea (FISMA)</dc:creator>
  <cp:keywords/>
  <dc:description/>
  <cp:lastModifiedBy>VAPPER Rea (FISMA)</cp:lastModifiedBy>
  <cp:revision>2</cp:revision>
  <dcterms:created xsi:type="dcterms:W3CDTF">2022-03-08T14:47:00Z</dcterms:created>
  <dcterms:modified xsi:type="dcterms:W3CDTF">2022-03-08T14:47:00Z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20200226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