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E30D8C" w:rsidRDefault="00450B29" w:rsidP="00AA2583">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6125D5D9-C662-4320-BF14-85909764EE3A" style="width:450.75pt;height:436.5pt">
            <v:imagedata r:id="rId9" o:title=""/>
          </v:shape>
        </w:pict>
      </w:r>
    </w:p>
    <w:p w:rsidR="007E1AE4" w:rsidRPr="00E30D8C" w:rsidRDefault="007E1AE4">
      <w:pPr>
        <w:sectPr w:rsidR="007E1AE4" w:rsidRPr="00E30D8C" w:rsidSect="006F0FD7">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E30D8C" w:rsidRDefault="00AA2583" w:rsidP="00AA2583">
      <w:pPr>
        <w:pStyle w:val="Typedudocument"/>
      </w:pPr>
      <w:r w:rsidRPr="00AA2583">
        <w:t>KOMISIJOS ĮGYVENDINIMO REGLAMENTAS (ES) …/...</w:t>
      </w:r>
    </w:p>
    <w:p w:rsidR="007E1AE4" w:rsidRPr="00E30D8C" w:rsidRDefault="00AA2583" w:rsidP="00AA2583">
      <w:pPr>
        <w:pStyle w:val="Datedadoption"/>
      </w:pPr>
      <w:r w:rsidRPr="00AA2583">
        <w:rPr>
          <w:rStyle w:val="Marker2"/>
        </w:rPr>
        <w:t>XXX</w:t>
      </w:r>
    </w:p>
    <w:p w:rsidR="007E1AE4" w:rsidRPr="00E30D8C" w:rsidRDefault="00AA2583" w:rsidP="00AA2583">
      <w:pPr>
        <w:pStyle w:val="Titreobjet"/>
      </w:pPr>
      <w:r w:rsidRPr="00AA2583">
        <w:t xml:space="preserve">kuriuo nustatomi kredito įstaigų ir investicinių įmonių pertvarkymo planams rengti skirtos informacijos teikimo pagal Europos Parlamento ir Tarybos direktyvą 2014/59/ES tvarkos, standartinių formų ir šablonų techniniai įgyvendinimo standartai ir panaikinamas Komisijos įgyvendinimo reglamentas (ES) 2016/1066 </w:t>
      </w:r>
      <w:r w:rsidRPr="00AA2583">
        <w:br/>
      </w:r>
      <w:r w:rsidRPr="00AA2583">
        <w:br/>
      </w:r>
    </w:p>
    <w:p w:rsidR="007E1AE4" w:rsidRPr="00E30D8C" w:rsidRDefault="00AA2583" w:rsidP="00AA2583">
      <w:pPr>
        <w:pStyle w:val="IntrtEEE"/>
      </w:pPr>
      <w:r w:rsidRPr="00AA2583">
        <w:t>(Tekstas svarbus EEE)</w:t>
      </w:r>
    </w:p>
    <w:p w:rsidR="007E1AE4" w:rsidRPr="00E30D8C" w:rsidRDefault="007E1AE4" w:rsidP="007E1AE4">
      <w:pPr>
        <w:pStyle w:val="Institutionquiagit"/>
        <w:rPr>
          <w:color w:val="000000" w:themeColor="text1"/>
        </w:rPr>
      </w:pPr>
      <w:r w:rsidRPr="00E30D8C">
        <w:rPr>
          <w:color w:val="000000" w:themeColor="text1"/>
        </w:rPr>
        <w:t>EUROPOS KOMISIJA,</w:t>
      </w:r>
    </w:p>
    <w:p w:rsidR="007E1AE4" w:rsidRPr="00E30D8C" w:rsidRDefault="007E1AE4" w:rsidP="007E1AE4">
      <w:pPr>
        <w:rPr>
          <w:color w:val="000000" w:themeColor="text1"/>
        </w:rPr>
      </w:pPr>
      <w:r w:rsidRPr="00E30D8C">
        <w:rPr>
          <w:color w:val="000000" w:themeColor="text1"/>
        </w:rPr>
        <w:t>atsižvelgdama į Sutartį dėl Europos Sąjungos veikimo,</w:t>
      </w:r>
    </w:p>
    <w:p w:rsidR="007E1AE4" w:rsidRPr="00E30D8C" w:rsidRDefault="007E1AE4" w:rsidP="007E1AE4">
      <w:pPr>
        <w:rPr>
          <w:color w:val="000000" w:themeColor="text1"/>
        </w:rPr>
      </w:pPr>
      <w:r w:rsidRPr="00E30D8C">
        <w:t>atsižvelgdama į Europos Parlamento ir Tarybos direktyvą 2014/59/ES, kuria nustatoma kredito įstaigų ir investicinių įmonių gaivinimo ir pertvarkymo sistema ir iš dalies keičiamos Tarybos direktyva 82/891/EEB, direktyvos 2001/24/EB, 2002/47/EB, 2004/25/EB, 2005/56/EB, 2007/36/EB, 2011/35/ES, 2012/30/ES bei 2013/36/ES ir Europos Parlamento ir Tarybos reglamentai (ES) Nr. 1093/2010 bei (ES) Nr. 648/2012</w:t>
      </w:r>
      <w:r w:rsidRPr="00E30D8C">
        <w:rPr>
          <w:rStyle w:val="FootnoteReference"/>
        </w:rPr>
        <w:footnoteReference w:id="2"/>
      </w:r>
      <w:r w:rsidRPr="00E30D8C">
        <w:t>, ypač į jos 11 straipsnio 3 dalį,</w:t>
      </w:r>
    </w:p>
    <w:p w:rsidR="007E1AE4" w:rsidRPr="00E30D8C" w:rsidRDefault="007E1AE4" w:rsidP="007E1AE4">
      <w:pPr>
        <w:rPr>
          <w:color w:val="000000" w:themeColor="text1"/>
        </w:rPr>
      </w:pPr>
      <w:r w:rsidRPr="00E30D8C">
        <w:rPr>
          <w:color w:val="000000" w:themeColor="text1"/>
        </w:rPr>
        <w:t>kadangi:</w:t>
      </w:r>
    </w:p>
    <w:p w:rsidR="007E1AE4" w:rsidRPr="00E30D8C" w:rsidRDefault="007E1AE4" w:rsidP="00440366">
      <w:pPr>
        <w:pStyle w:val="Considrant"/>
        <w:numPr>
          <w:ilvl w:val="0"/>
          <w:numId w:val="7"/>
        </w:numPr>
      </w:pPr>
      <w:r w:rsidRPr="00E30D8C">
        <w:t>Komisijos įgyvendinimo reglamentu (ES) 2016/1066</w:t>
      </w:r>
      <w:r w:rsidRPr="00E30D8C">
        <w:rPr>
          <w:rStyle w:val="FootnoteReference"/>
        </w:rPr>
        <w:footnoteReference w:id="3"/>
      </w:r>
      <w:r w:rsidRPr="00E30D8C">
        <w:t xml:space="preserve"> nustatoma kredito įstaigų ar investicinių įmonių (toliau – įstaigos) pertvarkymo planams parengti ir įgyvendinti skirtos informacijos teikimo pertvarkymo institucijoms tvarka ir minimalus šablonų rinkinys. Nuo tada, kai buvo priimtas Įgyvendinimo reglamentas (ES) 2016/1066, pertvarkymo institucijos įgijo pertvarkymo planavimo srities patirties. Atsižvelgiant į tą patirtį, būtina atnaujinti minimalų pertvarkymui planuoti skirtos informacijos rinkimo šablonų rinkinį;</w:t>
      </w:r>
    </w:p>
    <w:p w:rsidR="007E1AE4" w:rsidRPr="00E30D8C" w:rsidRDefault="007E1AE4" w:rsidP="006E1E68">
      <w:pPr>
        <w:pStyle w:val="Considrant"/>
      </w:pPr>
      <w:r w:rsidRPr="00E30D8C">
        <w:t>Įgyvendinimo reglamentu (ES) 2016/1066 taip pat siekiama įstaigų informacijos teikimo pertvarkymo institucijoms tvarką ir minimalų šablonų rinkinį parengti taip, kad pertvarkymo institucijos galėtų nuosekliai rinkti tą informaciją visoje Sąjungoje, o atitinkamoms institucijoms būtų sudarytos sąlygos keistis informacija paprasčiau. Vis dėlto patirtis parodė, kad vienodą požiūrį į tos informacijos rinkimą pavyko užtikrinti tik iš dalies. Todėl būtina užtikrinti, kad pertvarkymo institucijos visoje Sąjungoje reguliariai rinktų minimalią pagrindinę informaciją, susijusią su įstaiga arba grupe. Tai netrukdo pertvarkymo institucijoms rinkti papildomos informacijos, kuri, jų manymu, yra reikalinga pertvarkymo planams parengti ir įgyvendinti arba Direktyvos 2014/59/ES 4 straipsnyje išdėstytoms supaprastintoms informacijos teikimo pareigoms nustatyti;</w:t>
      </w:r>
    </w:p>
    <w:p w:rsidR="007E1AE4" w:rsidRPr="00E30D8C" w:rsidRDefault="007E1AE4" w:rsidP="007E1AE4">
      <w:pPr>
        <w:pStyle w:val="Considrant"/>
      </w:pPr>
      <w:r w:rsidRPr="00E30D8C">
        <w:t>siekiant užtikrinti, kad pertvarkymo planai būtų grindžiami minimaliu nuolat labai kokybiškų ir tikslių domenų rinkiniu, Įgyvendinimo reglamentu (ES) 2016/1066 nustatytuose informacijos teikimo šablonuose pateikti duomenų straipsniai turėtų būti pakeisti bendru duomenų vienetų modeliu, paprastai naudojamu teikiant informaciją priežiūros institucijoms. Bendrą duomenų vienetų modelį turėtų sudaryti struktūriškai pateikti duomenų straipsniai, jame turėtų būti nustatyti visi pertvarkymo planavimo tikslais teikiamų ataskaitų vienodumui užtikrinti aktualūs veiklos aspektai ir jis turėtų apimti visas atitinkamas specifikacijas, būtinas siekiant toliau plėtoti vienodus ataskaitų teikimo IT sprendimus;</w:t>
      </w:r>
    </w:p>
    <w:p w:rsidR="007E1AE4" w:rsidRPr="00E30D8C" w:rsidRDefault="007E1AE4" w:rsidP="007E1AE4">
      <w:pPr>
        <w:pStyle w:val="Considrant"/>
      </w:pPr>
      <w:r w:rsidRPr="00E30D8C">
        <w:t>siekiant užtikrinti įstaigų teikiamų duomenų straipsnių kokybę, nuoseklumą ir tikslumą, duomenų straipsniams turėtų būti taikomos bendros patvirtinimo taisyklės;</w:t>
      </w:r>
    </w:p>
    <w:p w:rsidR="007E1AE4" w:rsidRPr="00E30D8C" w:rsidRDefault="007E1AE4" w:rsidP="007E1AE4">
      <w:pPr>
        <w:pStyle w:val="Considrant"/>
      </w:pPr>
      <w:r w:rsidRPr="00E30D8C">
        <w:t xml:space="preserve">dėl savo pobūdžio patvirtinimo taisyklės ir duomenų vienetų apibrėžtys yra reguliariai atnaujinamos siekiant užtikrinti, kad jos visuomet atitiktų taikomus reguliavimo, analitinius ir informacinių technologijų reikalavimus. Tačiau, atsižvelgiant į tai, kiek laiko šiuo metu reikia išsamiam bendram duomenų vienetų modeliui ir patvirtinimo taisyklėms priimti ir paskelbti, nėra galimybės pakankamai greitai ir laiku padaryti būtinų pakeitimų, kad būtų užtikrinta, kad Sąjungoje nuolat būtų teikiama vienoda informacija apie pertvarkymo planus. Todėl išsamiam bendram duomenų vienetų modeliui ir išsamioms bendroms patvirtinimo taisyklėms turėtų būti nustatyti griežti kokybiniai kriterijai, kuriuos Europos bankininkystės institucija (EBI) paskelbs elektroniniu būdu savo interneto svetainėje; </w:t>
      </w:r>
    </w:p>
    <w:p w:rsidR="007E1AE4" w:rsidRPr="00E30D8C" w:rsidRDefault="007E1AE4" w:rsidP="007E1AE4">
      <w:pPr>
        <w:pStyle w:val="Considrant"/>
      </w:pPr>
      <w:r w:rsidRPr="00E30D8C">
        <w:t>pagal Direktyvos 2014/59/ES 11 straipsnio 2 dalį kompetentingos institucijos ir pertvarkymo institucijos turėtų bendradarbiauti, kad kuo labiau sumažintų reikalavimus teikti tą pačią informaciją. Tuo tikslu Įgyvendinimo reglamentu (ES) 2016/1066 nustatyta kompetentingų institucijų ir pertvarkymo institucijų bendradarbiavimo tvarka ir ji turėtų būti išlaikyta, kad kompetentingos institucijos ir pertvarkymo institucijos kartu galėtų patikrinti, ar kompetentinga institucija dar nėra gavusi kai kurios ar visos reikiamos informacijos. Jei kompetentinga institucija tą informaciją jau turi, ji turėtų ją tiesiogiai persiųsti pertvarkymo institucijai;</w:t>
      </w:r>
    </w:p>
    <w:p w:rsidR="007E1AE4" w:rsidRPr="00E30D8C" w:rsidRDefault="007E1AE4" w:rsidP="007E1AE4">
      <w:pPr>
        <w:pStyle w:val="Considrant"/>
      </w:pPr>
      <w:r w:rsidRPr="00E30D8C">
        <w:t>atsižvelgiant į būtinų Įgyvendinimo reglamento (ES) 2016/1066 pakeitimų mastą, teisinio tikrumo ir aiškumo sumetimais pageidautina priimti naują įgyvendinimo reglamentą ir dėl to panaikinti Įgyvendinimo reglamentą (ES) 2016/1066;</w:t>
      </w:r>
    </w:p>
    <w:p w:rsidR="007E1AE4" w:rsidRPr="00E30D8C" w:rsidRDefault="007E1AE4" w:rsidP="007E1AE4">
      <w:pPr>
        <w:pStyle w:val="Considrant"/>
      </w:pPr>
      <w:r w:rsidRPr="00E30D8C">
        <w:t>šis reglamentas grindžiamas EBI Komisijai pateiktais techniniais įgyvendinimo standartais;</w:t>
      </w:r>
    </w:p>
    <w:p w:rsidR="007E1AE4" w:rsidRPr="00E30D8C" w:rsidRDefault="007E1AE4" w:rsidP="007E1AE4">
      <w:pPr>
        <w:pStyle w:val="Considrant"/>
      </w:pPr>
      <w:r w:rsidRPr="00E30D8C">
        <w:t>EBI surengė atviras viešas konsultacijas dėl techninių įgyvendinimo standartų, kuriais grindžiamas šis reglamentas, išanalizavo galimas susijusias sąnaudas ir naudą bei paprašė Bankininkystės suinteresuotųjų subjektų grupės, įsteigtos pagal Europos Parlamento ir Tarybos reglamento (ES) Nr. 1093/2010</w:t>
      </w:r>
      <w:r w:rsidRPr="00E30D8C">
        <w:rPr>
          <w:rStyle w:val="FootnoteReference"/>
        </w:rPr>
        <w:footnoteReference w:id="4"/>
      </w:r>
      <w:r w:rsidRPr="00E30D8C">
        <w:t xml:space="preserve"> 37 straipsnį, nuomonės,</w:t>
      </w:r>
    </w:p>
    <w:p w:rsidR="007E1AE4" w:rsidRPr="00E30D8C" w:rsidRDefault="007E1AE4" w:rsidP="007E1AE4">
      <w:pPr>
        <w:pStyle w:val="Formuledadoption"/>
        <w:rPr>
          <w:color w:val="000000" w:themeColor="text1"/>
        </w:rPr>
      </w:pPr>
      <w:r w:rsidRPr="00E30D8C">
        <w:rPr>
          <w:color w:val="000000" w:themeColor="text1"/>
        </w:rPr>
        <w:t>PRIĖMĖ ŠĮ REGLAMENTĄ:</w:t>
      </w:r>
    </w:p>
    <w:p w:rsidR="007E1AE4" w:rsidRPr="00E30D8C" w:rsidRDefault="007E1AE4" w:rsidP="007E1AE4">
      <w:pPr>
        <w:pStyle w:val="Titrearticle"/>
        <w:rPr>
          <w:color w:val="000000" w:themeColor="text1"/>
        </w:rPr>
      </w:pPr>
      <w:r w:rsidRPr="00E30D8C">
        <w:rPr>
          <w:color w:val="000000" w:themeColor="text1"/>
        </w:rPr>
        <w:t xml:space="preserve">1 straipsnis </w:t>
      </w:r>
      <w:r w:rsidRPr="00E30D8C">
        <w:rPr>
          <w:color w:val="000000" w:themeColor="text1"/>
        </w:rPr>
        <w:br/>
        <w:t>Dalykas</w:t>
      </w:r>
    </w:p>
    <w:p w:rsidR="007E1AE4" w:rsidRPr="00E30D8C" w:rsidRDefault="007E1AE4" w:rsidP="007E1AE4">
      <w:r w:rsidRPr="00E30D8C">
        <w:t>Šiuo reglamentu nustatomi techniniai įgyvendinimo standartai, kuriais nustatoma individualiems pertvarkymo planams pagal Direktyvos 2014/59/ES 11 straipsnį ir grupių pertvarkymo planams pagal tos direktyvos 13 straipsnį parengti ir įgyvendinti būtinos informacijos teikimo pertvarkymo institucijoms tvarka ir minimalus standartinių šablonų rinkinys.</w:t>
      </w:r>
    </w:p>
    <w:p w:rsidR="007E1AE4" w:rsidRPr="00E30D8C" w:rsidRDefault="007E1AE4" w:rsidP="007E1AE4">
      <w:pPr>
        <w:pStyle w:val="Titrearticle"/>
        <w:rPr>
          <w:color w:val="000000" w:themeColor="text1"/>
        </w:rPr>
      </w:pPr>
      <w:r w:rsidRPr="00E30D8C">
        <w:rPr>
          <w:color w:val="000000" w:themeColor="text1"/>
        </w:rPr>
        <w:t xml:space="preserve">2 straipsnis </w:t>
      </w:r>
      <w:r w:rsidRPr="00E30D8C">
        <w:rPr>
          <w:color w:val="000000" w:themeColor="text1"/>
        </w:rPr>
        <w:br/>
        <w:t>Apibrėžtys</w:t>
      </w:r>
    </w:p>
    <w:p w:rsidR="007E1AE4" w:rsidRPr="00E30D8C" w:rsidRDefault="007E1AE4" w:rsidP="007E1AE4">
      <w:r w:rsidRPr="00E30D8C">
        <w:t>Šiame reglamente vartojamų terminų apibrėžtys:</w:t>
      </w:r>
    </w:p>
    <w:p w:rsidR="00F14DE3" w:rsidRPr="00E30D8C" w:rsidRDefault="00AD470D" w:rsidP="00440366">
      <w:pPr>
        <w:pStyle w:val="Point0number"/>
        <w:numPr>
          <w:ilvl w:val="0"/>
          <w:numId w:val="8"/>
        </w:numPr>
      </w:pPr>
      <w:r w:rsidRPr="00E30D8C">
        <w:t>pertvarkytinas subjektas – vienas iš šių subjektų:</w:t>
      </w:r>
    </w:p>
    <w:p w:rsidR="00AD470D" w:rsidRPr="00E30D8C" w:rsidRDefault="00AD470D" w:rsidP="0051415A">
      <w:pPr>
        <w:pStyle w:val="Point2letter"/>
      </w:pPr>
      <w:r w:rsidRPr="00E30D8C">
        <w:t>Sąjungoje įsteigtas subjektas, kurį pertvarkymo institucija pagal Direktyvos 2014/59/ES 12 straipsnį nurodė kaip subjektą, dėl kurio pertvarkymo plane numatomi pertvarkymo veiksmai, arba</w:t>
      </w:r>
    </w:p>
    <w:p w:rsidR="00AD470D" w:rsidRPr="00E30D8C" w:rsidRDefault="00AD470D" w:rsidP="00CA51B8">
      <w:pPr>
        <w:pStyle w:val="Point2letter"/>
      </w:pPr>
      <w:r w:rsidRPr="00E30D8C">
        <w:t>grupei, kuriai taikoma konsoliduota priežiūra pagal Direktyvos 2013/36/ES 111 ir 112 straipsnius, nepriklausanti įstaiga, dėl kurios pagal Direktyvos 2014/59/ES 10 straipsnį parengtame pertvarkymo plane numatomi pertvarkymo veiksmai;</w:t>
      </w:r>
    </w:p>
    <w:p w:rsidR="00AD470D" w:rsidRPr="00E30D8C" w:rsidRDefault="00AD470D" w:rsidP="00440366">
      <w:pPr>
        <w:pStyle w:val="Point0number"/>
        <w:numPr>
          <w:ilvl w:val="0"/>
          <w:numId w:val="8"/>
        </w:numPr>
        <w:rPr>
          <w:szCs w:val="24"/>
        </w:rPr>
      </w:pPr>
      <w:r w:rsidRPr="00E30D8C">
        <w:t>pertvarkytina grupė – vienas iš šių subjektų:</w:t>
      </w:r>
    </w:p>
    <w:p w:rsidR="00AD470D" w:rsidRPr="00E30D8C" w:rsidRDefault="00AD470D" w:rsidP="00AE1240">
      <w:pPr>
        <w:pStyle w:val="Point1letter"/>
      </w:pPr>
      <w:r w:rsidRPr="00E30D8C">
        <w:t>pertvarkytinas subjektas ir jo patronuojamosios įmonės, kurios nėra:</w:t>
      </w:r>
    </w:p>
    <w:p w:rsidR="00AD470D" w:rsidRPr="00E30D8C" w:rsidRDefault="00AD470D" w:rsidP="00AE1240">
      <w:pPr>
        <w:pStyle w:val="Point3"/>
      </w:pPr>
      <w:r w:rsidRPr="00E30D8C">
        <w:t>i) pertvarkytini subjektai, arba</w:t>
      </w:r>
    </w:p>
    <w:p w:rsidR="00AD470D" w:rsidRPr="00E30D8C" w:rsidRDefault="00AD470D" w:rsidP="0051415A">
      <w:pPr>
        <w:pStyle w:val="Point3"/>
      </w:pPr>
      <w:r w:rsidRPr="00E30D8C">
        <w:t>ii) kitų pertvarkytinų subjektų patronuojamosios įmonės, arba</w:t>
      </w:r>
    </w:p>
    <w:p w:rsidR="006D0EA9" w:rsidRPr="00E30D8C" w:rsidRDefault="00AD470D" w:rsidP="0051415A">
      <w:pPr>
        <w:pStyle w:val="Point3"/>
      </w:pPr>
      <w:r w:rsidRPr="00E30D8C">
        <w:t>iii) trečiojoje valstybėje įsteigti subjektai, pagal pertvarkymo planą neįtraukti į pertvarkytiną grupę, ir jų patronuojamosios įmonės;</w:t>
      </w:r>
    </w:p>
    <w:p w:rsidR="00AD470D" w:rsidRPr="00E30D8C" w:rsidRDefault="00AD470D" w:rsidP="0051415A">
      <w:pPr>
        <w:pStyle w:val="Point1letter"/>
      </w:pPr>
      <w:r w:rsidRPr="00E30D8C">
        <w:t>centrinės įstaigos nuolat kontroliuojamos kredito įstaigos, centrinė įstaiga ir visos centrinės įstaigos kontroliuojamos įstaigos, kai viena iš tų įstaigų yra pertvarkytinas subjektas;</w:t>
      </w:r>
    </w:p>
    <w:p w:rsidR="007E1AE4" w:rsidRPr="00E30D8C" w:rsidRDefault="007E1AE4" w:rsidP="00AE1240">
      <w:pPr>
        <w:pStyle w:val="Point0number"/>
      </w:pPr>
      <w:r w:rsidRPr="00E30D8C">
        <w:t>grupės įstaiga – grupei priklausantis subjektas, kuris yra kredito įstaiga arba investicinė įmonė;</w:t>
      </w:r>
    </w:p>
    <w:p w:rsidR="00F80209" w:rsidRPr="00E30D8C" w:rsidRDefault="00F80209" w:rsidP="00AE1240">
      <w:pPr>
        <w:pStyle w:val="Point0number"/>
      </w:pPr>
      <w:r w:rsidRPr="00E30D8C">
        <w:t>atitinkamas juridinis asmuo – grupei priklausantis subjektas, kuris arba</w:t>
      </w:r>
    </w:p>
    <w:p w:rsidR="00F80209" w:rsidRPr="00E30D8C" w:rsidRDefault="00F80209" w:rsidP="00AE1240">
      <w:pPr>
        <w:pStyle w:val="Point2letter"/>
      </w:pPr>
      <w:r w:rsidRPr="00E30D8C">
        <w:t>atlieka ypatingos svarbos funkcijas, arba</w:t>
      </w:r>
    </w:p>
    <w:p w:rsidR="00F80209" w:rsidRPr="00E30D8C" w:rsidRDefault="00F80209" w:rsidP="00AE1240">
      <w:pPr>
        <w:pStyle w:val="Point2letter"/>
      </w:pPr>
      <w:r w:rsidRPr="00E30D8C">
        <w:t>atitinka ar teikia daugiau kaip 5 % bet kurio iš šių elementų:</w:t>
      </w:r>
    </w:p>
    <w:p w:rsidR="00F80209" w:rsidRPr="00E30D8C" w:rsidRDefault="00F80209" w:rsidP="00AE1240">
      <w:pPr>
        <w:pStyle w:val="Point3"/>
        <w:ind w:left="2268" w:hanging="284"/>
        <w:rPr>
          <w:rStyle w:val="Strong"/>
          <w:b w:val="0"/>
          <w:color w:val="444444"/>
          <w:szCs w:val="24"/>
        </w:rPr>
      </w:pPr>
      <w:r w:rsidRPr="00E30D8C">
        <w:t xml:space="preserve">i) grupės bendros rizikos pozicijos sumos, nurodytos </w:t>
      </w:r>
      <w:r w:rsidRPr="00E30D8C">
        <w:rPr>
          <w:rStyle w:val="Strong"/>
          <w:b w:val="0"/>
          <w:color w:val="444444"/>
        </w:rPr>
        <w:t>Europos Parlamento ir Tarybos reglamento (ES) Nr. 575/2013</w:t>
      </w:r>
      <w:r w:rsidRPr="00E30D8C">
        <w:rPr>
          <w:rStyle w:val="FootnoteReference"/>
          <w:color w:val="444444"/>
        </w:rPr>
        <w:footnoteReference w:id="5"/>
      </w:r>
      <w:r w:rsidRPr="00E30D8C">
        <w:rPr>
          <w:rStyle w:val="Strong"/>
          <w:b w:val="0"/>
          <w:color w:val="444444"/>
        </w:rPr>
        <w:t xml:space="preserve"> 92 straipsnio 3 dalyje,</w:t>
      </w:r>
    </w:p>
    <w:p w:rsidR="00F80209" w:rsidRPr="00E30D8C" w:rsidRDefault="00F80209" w:rsidP="00AE1240">
      <w:pPr>
        <w:pStyle w:val="Point3"/>
        <w:ind w:left="2410" w:hanging="426"/>
      </w:pPr>
      <w:r w:rsidRPr="00E30D8C">
        <w:rPr>
          <w:rStyle w:val="Strong"/>
          <w:b w:val="0"/>
          <w:color w:val="444444"/>
        </w:rPr>
        <w:t>ii) grupės</w:t>
      </w:r>
      <w:r w:rsidRPr="00E30D8C">
        <w:t xml:space="preserve"> sverto koeficiento bendro pozicijų mato, nurodyto Reglamento (ES) Nr. 575/2013 429 straipsnio 4 dalyje,</w:t>
      </w:r>
    </w:p>
    <w:p w:rsidR="001150B6" w:rsidRPr="00E30D8C" w:rsidRDefault="00F80209" w:rsidP="00AE1240">
      <w:pPr>
        <w:pStyle w:val="Point3"/>
      </w:pPr>
      <w:r w:rsidRPr="00E30D8C">
        <w:t xml:space="preserve">iii) konsoliduotų grupės veiklos pajamų. </w:t>
      </w:r>
    </w:p>
    <w:p w:rsidR="007E1AE4" w:rsidRPr="00E30D8C" w:rsidRDefault="007E1AE4" w:rsidP="007E1AE4">
      <w:pPr>
        <w:pStyle w:val="Titrearticle"/>
        <w:rPr>
          <w:color w:val="000000" w:themeColor="text1"/>
        </w:rPr>
      </w:pPr>
      <w:r w:rsidRPr="00E30D8C">
        <w:rPr>
          <w:color w:val="000000" w:themeColor="text1"/>
        </w:rPr>
        <w:t>3 straipsnis</w:t>
      </w:r>
      <w:r w:rsidRPr="00E30D8C">
        <w:rPr>
          <w:color w:val="000000" w:themeColor="text1"/>
        </w:rPr>
        <w:br/>
        <w:t>Individualiems ir grupės pertvarkymo planams rengti skirtos pagrindinės informacijos teikimas</w:t>
      </w:r>
    </w:p>
    <w:p w:rsidR="007E1AE4" w:rsidRPr="00E30D8C" w:rsidRDefault="005062D8" w:rsidP="00440366">
      <w:pPr>
        <w:pStyle w:val="NumPar1"/>
        <w:numPr>
          <w:ilvl w:val="0"/>
          <w:numId w:val="9"/>
        </w:numPr>
        <w:rPr>
          <w:color w:val="000000" w:themeColor="text1"/>
        </w:rPr>
      </w:pPr>
      <w:r w:rsidRPr="00E30D8C">
        <w:rPr>
          <w:color w:val="000000" w:themeColor="text1"/>
        </w:rPr>
        <w:t>Įstaigos ir, grupių atveju, Sąjungos patronuojančiosios įmonės pertvarkymo institucijoms tiesiogiai arba per kompetentingą instituciją teikia I priede nustatytuose šablonuose nurodytą informaciją laikydamosi informacijos konsolidavimo lygmens, dažnumo ir formato reikalavimų, atitinkamai nustatytų 4, 5 ir 6 straipsniuose, ir II priede išdėstytų nurodymų.</w:t>
      </w:r>
    </w:p>
    <w:p w:rsidR="007E1AE4" w:rsidRPr="00E30D8C" w:rsidRDefault="007E1AE4" w:rsidP="007E1AE4">
      <w:pPr>
        <w:pStyle w:val="NumPar1"/>
        <w:rPr>
          <w:color w:val="000000" w:themeColor="text1"/>
        </w:rPr>
      </w:pPr>
      <w:r w:rsidRPr="00E30D8C">
        <w:rPr>
          <w:color w:val="000000" w:themeColor="text1"/>
        </w:rPr>
        <w:t>Jeigu pertvarkymo institucija arba, grupių atveju, grupės lygmens pertvarkymo institucija pagal Direktyvos 2014/59/ES 4 straipsnį taiko supaprastintas pareigas, ji susijusioms įstaigoms arba Sąjungos patronuojančiajai įmonei praneša, kokios informacijos teikiant šio straipsnio 1 dalyje nurodytą informaciją nereikia įtraukti. Tą informaciją ji įvardija darydama nuorodą į I priede pateiktus šablonus.</w:t>
      </w:r>
    </w:p>
    <w:p w:rsidR="007E1AE4" w:rsidRPr="00E30D8C" w:rsidRDefault="007E1AE4" w:rsidP="007E1AE4">
      <w:pPr>
        <w:pStyle w:val="Titrearticle"/>
        <w:rPr>
          <w:color w:val="000000" w:themeColor="text1"/>
        </w:rPr>
      </w:pPr>
      <w:r w:rsidRPr="00E30D8C">
        <w:rPr>
          <w:color w:val="000000" w:themeColor="text1"/>
        </w:rPr>
        <w:t>4 straipsnis</w:t>
      </w:r>
      <w:r w:rsidRPr="00E30D8C">
        <w:rPr>
          <w:color w:val="000000" w:themeColor="text1"/>
        </w:rPr>
        <w:br/>
        <w:t xml:space="preserve">Informacijos konsolidavimo lygis </w:t>
      </w:r>
    </w:p>
    <w:p w:rsidR="007E1AE4" w:rsidRPr="00E30D8C" w:rsidRDefault="007E1AE4" w:rsidP="00EB1CD0">
      <w:pPr>
        <w:pStyle w:val="NumPar1"/>
        <w:numPr>
          <w:ilvl w:val="0"/>
          <w:numId w:val="1"/>
        </w:numPr>
        <w:rPr>
          <w:color w:val="000000" w:themeColor="text1"/>
        </w:rPr>
      </w:pPr>
      <w:r w:rsidRPr="00E30D8C">
        <w:rPr>
          <w:color w:val="000000" w:themeColor="text1"/>
        </w:rPr>
        <w:t>Grupei nepriklausančios įstaigos individualiai teikia 3 straipsnio 1 dalyje nurodytą informaciją, išskyrus informaciją, nurodytą I priedo Z 07.02 ir Z 04.00 šablonuose.</w:t>
      </w:r>
    </w:p>
    <w:p w:rsidR="007E1AE4" w:rsidRPr="00E30D8C" w:rsidRDefault="007E1AE4" w:rsidP="00EB1CD0">
      <w:pPr>
        <w:pStyle w:val="NumPar1"/>
        <w:numPr>
          <w:ilvl w:val="0"/>
          <w:numId w:val="1"/>
        </w:numPr>
        <w:rPr>
          <w:color w:val="000000" w:themeColor="text1"/>
        </w:rPr>
      </w:pPr>
      <w:r w:rsidRPr="00E30D8C">
        <w:rPr>
          <w:color w:val="000000" w:themeColor="text1"/>
        </w:rPr>
        <w:t xml:space="preserve">Grupių atveju Sąjungos patronuojančiosios įmonės teikia 3 straipsnio 1 dalyje nurodytą informaciją pagal šiuos nurodymus: </w:t>
      </w:r>
    </w:p>
    <w:p w:rsidR="007E1AE4" w:rsidRPr="00E30D8C" w:rsidRDefault="007E1AE4" w:rsidP="00EB1CD0">
      <w:pPr>
        <w:pStyle w:val="Point0letter"/>
        <w:numPr>
          <w:ilvl w:val="1"/>
          <w:numId w:val="2"/>
        </w:numPr>
        <w:rPr>
          <w:color w:val="000000" w:themeColor="text1"/>
        </w:rPr>
      </w:pPr>
      <w:r w:rsidRPr="00E30D8C">
        <w:rPr>
          <w:color w:val="000000" w:themeColor="text1"/>
        </w:rPr>
        <w:t>I priedo Z 01.00 šablone nurodytą informaciją, susijusią su:</w:t>
      </w:r>
    </w:p>
    <w:p w:rsidR="007E1AE4" w:rsidRPr="00E30D8C" w:rsidRDefault="00045775" w:rsidP="0051415A">
      <w:pPr>
        <w:pStyle w:val="Point2"/>
      </w:pPr>
      <w:r w:rsidRPr="00E30D8C">
        <w:t xml:space="preserve">i) </w:t>
      </w:r>
      <w:r w:rsidRPr="00E30D8C">
        <w:tab/>
        <w:t xml:space="preserve">grupės subjektais, įtrauktais į jos konsoliduotąsias finansines ataskaitas, atitinkančiais daugiau nei 0,5 % grupės viso turto arba visų įsipareigojimų; </w:t>
      </w:r>
    </w:p>
    <w:p w:rsidR="007E1AE4" w:rsidRPr="00E30D8C" w:rsidRDefault="00045775" w:rsidP="0051415A">
      <w:pPr>
        <w:pStyle w:val="Point2"/>
      </w:pPr>
      <w:r w:rsidRPr="00E30D8C">
        <w:t>ii)</w:t>
      </w:r>
      <w:r w:rsidRPr="00E30D8C">
        <w:tab/>
        <w:t>grupės įstaigomis, atitinkančiomis daugiau nei 0,5 % grupės bendros rizikos pozicijos sumos arba 0,5 % grupės viso bendro 1 lygio nuosavo kapitalo, remiantis Sąjungos patronuojančiosios įmonės konsoliduota būkle;</w:t>
      </w:r>
    </w:p>
    <w:p w:rsidR="007E1AE4" w:rsidRPr="00E30D8C" w:rsidRDefault="00045775" w:rsidP="0051415A">
      <w:pPr>
        <w:pStyle w:val="Point2"/>
      </w:pPr>
      <w:r w:rsidRPr="00E30D8C">
        <w:t xml:space="preserve">iii) </w:t>
      </w:r>
      <w:r w:rsidRPr="00E30D8C">
        <w:tab/>
        <w:t>grupės subjektais, atliekančiais ypatingos svarbos funkcijas;</w:t>
      </w:r>
    </w:p>
    <w:p w:rsidR="007E1AE4" w:rsidRPr="00E30D8C" w:rsidRDefault="007E1AE4" w:rsidP="00EB1CD0">
      <w:pPr>
        <w:pStyle w:val="Point0letter"/>
        <w:numPr>
          <w:ilvl w:val="1"/>
          <w:numId w:val="2"/>
        </w:numPr>
        <w:rPr>
          <w:color w:val="000000" w:themeColor="text1"/>
        </w:rPr>
      </w:pPr>
      <w:r w:rsidRPr="00E30D8C">
        <w:rPr>
          <w:color w:val="000000" w:themeColor="text1"/>
        </w:rPr>
        <w:t>I priedo Z 02.00 ir Z 03.00 šablonuose nurodytą informaciją:</w:t>
      </w:r>
    </w:p>
    <w:p w:rsidR="007E1AE4" w:rsidRPr="00E30D8C" w:rsidRDefault="00045775" w:rsidP="0051415A">
      <w:pPr>
        <w:pStyle w:val="Point2"/>
      </w:pPr>
      <w:r w:rsidRPr="00E30D8C">
        <w:t xml:space="preserve">i) </w:t>
      </w:r>
      <w:r w:rsidRPr="00E30D8C">
        <w:tab/>
        <w:t xml:space="preserve">Sąjungos patronuojančiosios įmonės lygmeniu arba, kitu atveju, individualiai kiekvieno pertvarkytino subjekto lygmeniu; </w:t>
      </w:r>
    </w:p>
    <w:p w:rsidR="007E1AE4" w:rsidRPr="00E30D8C" w:rsidRDefault="00045775" w:rsidP="0051415A">
      <w:pPr>
        <w:pStyle w:val="Point2"/>
      </w:pPr>
      <w:r w:rsidRPr="00E30D8C">
        <w:t>ii)</w:t>
      </w:r>
      <w:r w:rsidRPr="00E30D8C">
        <w:tab/>
        <w:t>individualiai kiekvienos grupės įstaigos, kuri yra atitinkamas juridinis asmuo ir kuriai netaikomas i papunktis, lygmeniu, išskyrus atvejus, kai pertvarkymo institucija pagal Direktyvos 2014/59/ES 45 straipsnio 11 arba 12 dalį tą įstaigą visiškai atleido nuo individualaus minimalaus nuosavų lėšų ir tinkamų įsipareigojimų reikalavimo taikymo;</w:t>
      </w:r>
    </w:p>
    <w:p w:rsidR="007E1AE4" w:rsidRPr="00E30D8C" w:rsidRDefault="00045775" w:rsidP="0051415A">
      <w:pPr>
        <w:pStyle w:val="Point2"/>
      </w:pPr>
      <w:r w:rsidRPr="00E30D8C">
        <w:t>iii)</w:t>
      </w:r>
      <w:r w:rsidRPr="00E30D8C">
        <w:tab/>
        <w:t>konsoliduotai Sąjungos patronuojančiosios įmonės lygmeniu arba, kitu atveju, kiekvieno pertvarkytino subjekto lygmeniu, remiantis pertvarkytinos grupės konsoliduota būkle;</w:t>
      </w:r>
    </w:p>
    <w:p w:rsidR="007E1AE4" w:rsidRPr="00E30D8C" w:rsidRDefault="007E1AE4" w:rsidP="00EB1CD0">
      <w:pPr>
        <w:pStyle w:val="Point0letter"/>
        <w:numPr>
          <w:ilvl w:val="1"/>
          <w:numId w:val="2"/>
        </w:numPr>
        <w:rPr>
          <w:color w:val="000000" w:themeColor="text1"/>
        </w:rPr>
      </w:pPr>
      <w:r w:rsidRPr="00E30D8C">
        <w:rPr>
          <w:color w:val="000000" w:themeColor="text1"/>
        </w:rPr>
        <w:t>I priedo Z 04.00 šablone nurodytą informaciją, susijusią su visų atitinkamų juridinių asmenų finansiniais tarpusavio ryšiais;</w:t>
      </w:r>
    </w:p>
    <w:p w:rsidR="007E1AE4" w:rsidRPr="00E30D8C" w:rsidRDefault="007E1AE4" w:rsidP="00EB1CD0">
      <w:pPr>
        <w:pStyle w:val="Point0letter"/>
        <w:numPr>
          <w:ilvl w:val="1"/>
          <w:numId w:val="2"/>
        </w:numPr>
        <w:rPr>
          <w:color w:val="000000" w:themeColor="text1"/>
        </w:rPr>
      </w:pPr>
      <w:r w:rsidRPr="00E30D8C">
        <w:rPr>
          <w:color w:val="000000" w:themeColor="text1"/>
        </w:rPr>
        <w:t>I priedo Z 05.01 ir Z 05.02 šablonuose nurodytą informaciją:</w:t>
      </w:r>
    </w:p>
    <w:p w:rsidR="007E1AE4" w:rsidRPr="00E30D8C" w:rsidRDefault="00045775" w:rsidP="0051415A">
      <w:pPr>
        <w:pStyle w:val="Point2"/>
      </w:pPr>
      <w:r w:rsidRPr="00E30D8C">
        <w:t>i)</w:t>
      </w:r>
      <w:r w:rsidRPr="00E30D8C">
        <w:tab/>
        <w:t>Sąjungos patronuojančiosios įmonės lygmeniu arba, kitu atveju, individualiai kiekvieno pertvarkytino subjekto lygmeniu;</w:t>
      </w:r>
    </w:p>
    <w:p w:rsidR="007E1AE4" w:rsidRPr="00E30D8C" w:rsidRDefault="00045775" w:rsidP="0051415A">
      <w:pPr>
        <w:pStyle w:val="Point2"/>
      </w:pPr>
      <w:r w:rsidRPr="00E30D8C">
        <w:t>ii)</w:t>
      </w:r>
      <w:r w:rsidRPr="00E30D8C">
        <w:tab/>
        <w:t>konsoliduotai Sąjungos patronuojančiosios įmonės lygmeniu arba, kitu atveju, kiekvieno pertvarkytino subjekto lygmeniu, remiantis pertvarkytinos grupės konsoliduota būkle;</w:t>
      </w:r>
    </w:p>
    <w:p w:rsidR="007E1AE4" w:rsidRPr="00E30D8C" w:rsidRDefault="007E1AE4" w:rsidP="00EB1CD0">
      <w:pPr>
        <w:pStyle w:val="Point0letter"/>
        <w:numPr>
          <w:ilvl w:val="1"/>
          <w:numId w:val="2"/>
        </w:numPr>
        <w:rPr>
          <w:color w:val="000000" w:themeColor="text1"/>
        </w:rPr>
      </w:pPr>
      <w:r w:rsidRPr="00E30D8C">
        <w:rPr>
          <w:color w:val="000000" w:themeColor="text1"/>
        </w:rPr>
        <w:t xml:space="preserve">I priedo Z 06.00 šablone nurodytą konsoliduotą informaciją Sąjungos patronuojančiosios įmonės lygmeniu, susijusią su visomis kredito įstaigomis, kurios yra atitinkami juridiniai asmenys; </w:t>
      </w:r>
    </w:p>
    <w:p w:rsidR="007E1AE4" w:rsidRPr="00E30D8C" w:rsidRDefault="007E1AE4" w:rsidP="00EB1CD0">
      <w:pPr>
        <w:pStyle w:val="Point0letter"/>
        <w:numPr>
          <w:ilvl w:val="1"/>
          <w:numId w:val="2"/>
        </w:numPr>
        <w:rPr>
          <w:color w:val="000000" w:themeColor="text1"/>
        </w:rPr>
      </w:pPr>
      <w:r w:rsidRPr="00E30D8C">
        <w:rPr>
          <w:color w:val="000000" w:themeColor="text1"/>
        </w:rPr>
        <w:t xml:space="preserve">I priedo Z 07.01 šablone nurodytą informaciją, atskirai pagal kiekvieną valstybę narę, kurioje grupė vykdo veiklą; </w:t>
      </w:r>
    </w:p>
    <w:p w:rsidR="007E1AE4" w:rsidRPr="00E30D8C" w:rsidRDefault="007E1AE4" w:rsidP="00EB1CD0">
      <w:pPr>
        <w:pStyle w:val="Point0letter"/>
        <w:numPr>
          <w:ilvl w:val="1"/>
          <w:numId w:val="2"/>
        </w:numPr>
        <w:rPr>
          <w:color w:val="000000" w:themeColor="text1"/>
        </w:rPr>
      </w:pPr>
      <w:r w:rsidRPr="00E30D8C">
        <w:rPr>
          <w:color w:val="000000" w:themeColor="text1"/>
        </w:rPr>
        <w:t>I priedo Z 07.02, Z 07.03 ir Z 07.04 šablonuose nurodytą informaciją, susijusią su bet kurio grupės subjekto atliekamomis ypatingos svarbos funkcijomis ir pagrindinėmis verslo linijomis;</w:t>
      </w:r>
    </w:p>
    <w:p w:rsidR="007E1AE4" w:rsidRPr="00E30D8C" w:rsidRDefault="007E1AE4" w:rsidP="00EB1CD0">
      <w:pPr>
        <w:pStyle w:val="Point0letter"/>
        <w:numPr>
          <w:ilvl w:val="1"/>
          <w:numId w:val="2"/>
        </w:numPr>
        <w:rPr>
          <w:color w:val="000000" w:themeColor="text1"/>
        </w:rPr>
      </w:pPr>
      <w:r w:rsidRPr="00E30D8C">
        <w:rPr>
          <w:color w:val="000000" w:themeColor="text1"/>
        </w:rPr>
        <w:t>I priedo Z 08.00 šablone nurodytą informaciją, susijusią su bet kuriam į I priedo Z 01.00 šabloną įtrauktam grupės subjektui teikiamomis ypatingos svarbos paslaugomis;</w:t>
      </w:r>
    </w:p>
    <w:p w:rsidR="007E1AE4" w:rsidRPr="00E30D8C" w:rsidRDefault="007E1AE4" w:rsidP="00EB1CD0">
      <w:pPr>
        <w:pStyle w:val="Point0letter"/>
        <w:numPr>
          <w:ilvl w:val="1"/>
          <w:numId w:val="2"/>
        </w:numPr>
        <w:rPr>
          <w:color w:val="000000" w:themeColor="text1"/>
        </w:rPr>
      </w:pPr>
      <w:r w:rsidRPr="00E30D8C">
        <w:rPr>
          <w:color w:val="000000" w:themeColor="text1"/>
        </w:rPr>
        <w:t>I priedo Z 09.00 šablone nurodytą informaciją, susijusią su visomis finansų rinkos infrastruktūromis, kurių veiklai sutrikus būtų labai sukliudytas arba sutrikdytas bet kurios Z 07 02 šablone nurodytos ypatingos svarbos funkcijos atlikimas;</w:t>
      </w:r>
    </w:p>
    <w:p w:rsidR="007E1AE4" w:rsidRPr="00E30D8C" w:rsidRDefault="007E1AE4" w:rsidP="00EB1CD0">
      <w:pPr>
        <w:pStyle w:val="Point0letter"/>
        <w:numPr>
          <w:ilvl w:val="1"/>
          <w:numId w:val="2"/>
        </w:numPr>
        <w:rPr>
          <w:color w:val="000000" w:themeColor="text1"/>
        </w:rPr>
      </w:pPr>
      <w:r w:rsidRPr="00E30D8C">
        <w:rPr>
          <w:color w:val="000000" w:themeColor="text1"/>
        </w:rPr>
        <w:t>I priedo Z 10.01 ir Z 10.02 šablonuose nurodytą informaciją, susijusią su visomis grupės ypatingos svarbos informacinėmis sistemomis.</w:t>
      </w:r>
    </w:p>
    <w:p w:rsidR="007E1AE4" w:rsidRPr="00E30D8C" w:rsidRDefault="007E1AE4" w:rsidP="007E1AE4">
      <w:pPr>
        <w:pStyle w:val="Titrearticle"/>
        <w:rPr>
          <w:color w:val="000000" w:themeColor="text1"/>
        </w:rPr>
      </w:pPr>
      <w:r w:rsidRPr="00E30D8C">
        <w:rPr>
          <w:color w:val="000000" w:themeColor="text1"/>
        </w:rPr>
        <w:t>5 straipsnis</w:t>
      </w:r>
      <w:r w:rsidRPr="00E30D8C">
        <w:rPr>
          <w:color w:val="000000" w:themeColor="text1"/>
        </w:rPr>
        <w:br/>
        <w:t>Informacijos teikimo dažnumas, ataskaitinės datos ir pateikimo datos</w:t>
      </w:r>
    </w:p>
    <w:p w:rsidR="007E1AE4" w:rsidRPr="00E30D8C" w:rsidRDefault="007E1AE4" w:rsidP="00EB1CD0">
      <w:pPr>
        <w:pStyle w:val="NumPar1"/>
        <w:numPr>
          <w:ilvl w:val="0"/>
          <w:numId w:val="3"/>
        </w:numPr>
        <w:rPr>
          <w:color w:val="000000" w:themeColor="text1"/>
        </w:rPr>
      </w:pPr>
      <w:r w:rsidRPr="00E30D8C">
        <w:rPr>
          <w:color w:val="000000" w:themeColor="text1"/>
        </w:rPr>
        <w:t>3 straipsnio 1 dalyje nurodytą praėjusių kalendorinių metų arba atitinkamų finansinių metų paskutinės dienos informaciją įstaigos pateikia vėliausiai iki kiekvienų metų balandžio 30 d. Jeigu balandžio 30 d. yra nedarbo diena, informacija pateikiama kitą darbo dieną.</w:t>
      </w:r>
    </w:p>
    <w:p w:rsidR="007E1AE4" w:rsidRPr="00E30D8C" w:rsidRDefault="007E1AE4" w:rsidP="00EB1CD0">
      <w:pPr>
        <w:pStyle w:val="NumPar1"/>
        <w:numPr>
          <w:ilvl w:val="0"/>
          <w:numId w:val="3"/>
        </w:numPr>
        <w:rPr>
          <w:color w:val="000000" w:themeColor="text1"/>
        </w:rPr>
      </w:pPr>
      <w:r w:rsidRPr="00E30D8C">
        <w:rPr>
          <w:color w:val="000000" w:themeColor="text1"/>
        </w:rPr>
        <w:t>Pertvarkymo institucijos pateikia reikiamus asmenų, kuriems pertvarkymo institucijoje arba atitinkamais atvejais kompetentingoje institucijoje reikia pateikti informaciją, kontaktinius duomenis.</w:t>
      </w:r>
    </w:p>
    <w:p w:rsidR="007E1AE4" w:rsidRPr="00E30D8C" w:rsidRDefault="007E1AE4" w:rsidP="00EB1CD0">
      <w:pPr>
        <w:pStyle w:val="NumPar1"/>
        <w:numPr>
          <w:ilvl w:val="0"/>
          <w:numId w:val="3"/>
        </w:numPr>
        <w:rPr>
          <w:color w:val="000000" w:themeColor="text1"/>
        </w:rPr>
      </w:pPr>
      <w:r w:rsidRPr="00E30D8C">
        <w:rPr>
          <w:color w:val="000000" w:themeColor="text1"/>
        </w:rPr>
        <w:t xml:space="preserve">Įstaigos gali pateikti neaudituotus duomenis. Jeigu audituoti duomenys skiriasi nuo pateiktų neaudituotų duomenų, nedelsiant pateikiami patikslinti audituoti duomenys. Neaudituoti duomenys – duomenys, dėl kurių negauta išorės auditoriaus nuomonės, o audituoti duomenys – duomenys, kuriuos auditavo išorės auditorius ir pareiškė audito nuomonę. </w:t>
      </w:r>
    </w:p>
    <w:p w:rsidR="007E1AE4" w:rsidRPr="00E30D8C" w:rsidRDefault="00754A18" w:rsidP="00EB1CD0">
      <w:pPr>
        <w:pStyle w:val="NumPar1"/>
        <w:numPr>
          <w:ilvl w:val="0"/>
          <w:numId w:val="3"/>
        </w:numPr>
        <w:rPr>
          <w:color w:val="000000" w:themeColor="text1"/>
        </w:rPr>
      </w:pPr>
      <w:r w:rsidRPr="00E30D8C">
        <w:rPr>
          <w:color w:val="000000" w:themeColor="text1"/>
        </w:rPr>
        <w:t>Pateiktų ataskaitų pataisyti duomenys pateikiami nedelsiant.</w:t>
      </w:r>
    </w:p>
    <w:p w:rsidR="007E1AE4" w:rsidRPr="00E30D8C" w:rsidRDefault="007E1AE4" w:rsidP="007E1AE4">
      <w:pPr>
        <w:pStyle w:val="Titrearticle"/>
        <w:rPr>
          <w:color w:val="000000" w:themeColor="text1"/>
        </w:rPr>
      </w:pPr>
      <w:r w:rsidRPr="00E30D8C">
        <w:rPr>
          <w:color w:val="000000" w:themeColor="text1"/>
        </w:rPr>
        <w:t>6 straipsnis</w:t>
      </w:r>
      <w:r w:rsidRPr="00E30D8C">
        <w:rPr>
          <w:color w:val="000000" w:themeColor="text1"/>
        </w:rPr>
        <w:br/>
        <w:t>Informacijos pateikimo formatas</w:t>
      </w:r>
    </w:p>
    <w:p w:rsidR="007E1AE4" w:rsidRPr="00E30D8C" w:rsidRDefault="007E1AE4" w:rsidP="00EB1CD0">
      <w:pPr>
        <w:pStyle w:val="NumPar1"/>
        <w:numPr>
          <w:ilvl w:val="0"/>
          <w:numId w:val="4"/>
        </w:numPr>
        <w:rPr>
          <w:color w:val="000000" w:themeColor="text1"/>
        </w:rPr>
      </w:pPr>
      <w:r w:rsidRPr="00E30D8C">
        <w:rPr>
          <w:color w:val="000000" w:themeColor="text1"/>
        </w:rPr>
        <w:t>Įstaigos arba, grupių atveju, Sąjungos patronuojančiosios įmonės 3 straipsnio 1 dalyje nurodytą informaciją pateikia</w:t>
      </w:r>
      <w:r w:rsidR="001D7D15" w:rsidRPr="00E30D8C">
        <w:rPr>
          <w:color w:val="000000" w:themeColor="text1"/>
        </w:rPr>
        <w:t xml:space="preserve"> </w:t>
      </w:r>
      <w:r w:rsidRPr="00E30D8C">
        <w:rPr>
          <w:color w:val="000000" w:themeColor="text1"/>
        </w:rPr>
        <w:t>pertvarkymo institucijų nustatytas keitimosi duomenimis formatais ir</w:t>
      </w:r>
      <w:r w:rsidR="001D7D15" w:rsidRPr="00E30D8C">
        <w:rPr>
          <w:color w:val="000000" w:themeColor="text1"/>
        </w:rPr>
        <w:t xml:space="preserve"> </w:t>
      </w:r>
      <w:r w:rsidRPr="00E30D8C">
        <w:rPr>
          <w:color w:val="000000" w:themeColor="text1"/>
        </w:rPr>
        <w:t>pateikimo būdais, laikydamosi duomenų vienetų apibrėžčių, įtrauktų į III priede nurodytą bendrą duomenų vienetų modelį, ir IV priede nurodytų patvirtinimo taisyklių, taip pat atsižvelgdamos į šiuos nurodymus:</w:t>
      </w:r>
    </w:p>
    <w:p w:rsidR="007E1AE4" w:rsidRPr="00E30D8C" w:rsidRDefault="00A05B6C" w:rsidP="00AE1240">
      <w:pPr>
        <w:pStyle w:val="Point1letter"/>
      </w:pPr>
      <w:r w:rsidRPr="00E30D8C">
        <w:t xml:space="preserve"> į pateikiamus duomenis nereikalaujama arba neaktuali informacija nėra įtraukiama;</w:t>
      </w:r>
    </w:p>
    <w:p w:rsidR="007E1AE4" w:rsidRPr="00E30D8C" w:rsidRDefault="007E1AE4" w:rsidP="00AE1240">
      <w:pPr>
        <w:pStyle w:val="Point1letter"/>
      </w:pPr>
      <w:r w:rsidRPr="00E30D8C">
        <w:t>skaitinės vertės pateikiamos kaip faktai remiantis šiais nurodymais:</w:t>
      </w:r>
    </w:p>
    <w:p w:rsidR="007E1AE4" w:rsidRPr="00E30D8C" w:rsidRDefault="00045775" w:rsidP="0051415A">
      <w:pPr>
        <w:pStyle w:val="Point2"/>
      </w:pPr>
      <w:r w:rsidRPr="00E30D8C">
        <w:t>i)</w:t>
      </w:r>
      <w:r w:rsidRPr="00E30D8C">
        <w:tab/>
        <w:t>duomenų vienetai, kurių duomenų rūšis yra „pinigų suma“, nurodomi mažiausiai tūkstančių vienetų tikslumu;</w:t>
      </w:r>
    </w:p>
    <w:p w:rsidR="007E1AE4" w:rsidRPr="00E30D8C" w:rsidRDefault="00045775" w:rsidP="0051415A">
      <w:pPr>
        <w:pStyle w:val="Point2"/>
      </w:pPr>
      <w:r w:rsidRPr="00E30D8C">
        <w:t>ii)</w:t>
      </w:r>
      <w:r w:rsidRPr="00E30D8C">
        <w:tab/>
        <w:t>duomenų vienetai, kurių duomenų rūšis yra „procentinė dalis“, nurodomi vienetais mažiausiai dešimttūkstantųjų tikslumu;</w:t>
      </w:r>
    </w:p>
    <w:p w:rsidR="007E1AE4" w:rsidRPr="00E30D8C" w:rsidRDefault="00045775" w:rsidP="0051415A">
      <w:pPr>
        <w:pStyle w:val="Point2"/>
      </w:pPr>
      <w:r w:rsidRPr="00E30D8C">
        <w:t>iii)</w:t>
      </w:r>
      <w:r w:rsidRPr="00E30D8C">
        <w:tab/>
        <w:t>duomenų vienetai, kurių duomenų rūšis yra „sveikasis skaičius“, nurodomi nenaudojant dešimtainių skaičių, vienetų tikslumu.</w:t>
      </w:r>
    </w:p>
    <w:p w:rsidR="007E1AE4" w:rsidRPr="00E30D8C" w:rsidRDefault="007E1AE4" w:rsidP="00EB1CD0">
      <w:pPr>
        <w:pStyle w:val="NumPar1"/>
        <w:numPr>
          <w:ilvl w:val="0"/>
          <w:numId w:val="4"/>
        </w:numPr>
        <w:rPr>
          <w:color w:val="000000" w:themeColor="text1"/>
        </w:rPr>
      </w:pPr>
      <w:r w:rsidRPr="00E30D8C">
        <w:rPr>
          <w:color w:val="000000" w:themeColor="text1"/>
        </w:rPr>
        <w:t>Įstaigų arba, grupių atveju, Sąjungos patronuojančiųjų įmonių pateikti duomenys siejami su šia informacija:</w:t>
      </w:r>
    </w:p>
    <w:p w:rsidR="007E1AE4" w:rsidRPr="00E30D8C" w:rsidRDefault="007E1AE4" w:rsidP="00440366">
      <w:pPr>
        <w:pStyle w:val="Point1letter"/>
        <w:numPr>
          <w:ilvl w:val="3"/>
          <w:numId w:val="18"/>
        </w:numPr>
      </w:pPr>
      <w:r w:rsidRPr="00E30D8C">
        <w:t>teikiamos informacijos ataskaitine data;</w:t>
      </w:r>
    </w:p>
    <w:p w:rsidR="007E1AE4" w:rsidRPr="00E30D8C" w:rsidRDefault="007E1AE4" w:rsidP="00AE1240">
      <w:pPr>
        <w:pStyle w:val="Point1letter"/>
      </w:pPr>
      <w:r w:rsidRPr="00E30D8C">
        <w:t>ataskaitose nurodoma valiuta;</w:t>
      </w:r>
    </w:p>
    <w:p w:rsidR="007E1AE4" w:rsidRPr="00E30D8C" w:rsidRDefault="007E1AE4" w:rsidP="00AE1240">
      <w:pPr>
        <w:pStyle w:val="Point1letter"/>
      </w:pPr>
      <w:r w:rsidRPr="00E30D8C">
        <w:t>taikomais apskaitos standartais;</w:t>
      </w:r>
    </w:p>
    <w:p w:rsidR="007E1AE4" w:rsidRPr="00E30D8C" w:rsidRDefault="007E1AE4" w:rsidP="00AE1240">
      <w:pPr>
        <w:pStyle w:val="Point1letter"/>
      </w:pPr>
      <w:r w:rsidRPr="00E30D8C">
        <w:t>informaciją teikiančio subjekto identifikatoriumi;</w:t>
      </w:r>
    </w:p>
    <w:p w:rsidR="007E1AE4" w:rsidRPr="00E30D8C" w:rsidRDefault="007E1AE4" w:rsidP="00AE1240">
      <w:pPr>
        <w:pStyle w:val="Point1letter"/>
      </w:pPr>
      <w:r w:rsidRPr="00E30D8C">
        <w:t>informacijos konsolidavimo lygmeniu pagal 4 straipsnį.</w:t>
      </w:r>
    </w:p>
    <w:p w:rsidR="007E1AE4" w:rsidRPr="00E30D8C" w:rsidRDefault="007E1AE4" w:rsidP="007E1AE4">
      <w:pPr>
        <w:pStyle w:val="Titrearticle"/>
        <w:rPr>
          <w:color w:val="000000" w:themeColor="text1"/>
        </w:rPr>
      </w:pPr>
      <w:r w:rsidRPr="00E30D8C">
        <w:rPr>
          <w:color w:val="000000" w:themeColor="text1"/>
        </w:rPr>
        <w:t>7 straipsnis</w:t>
      </w:r>
      <w:r w:rsidRPr="00E30D8C">
        <w:rPr>
          <w:color w:val="000000" w:themeColor="text1"/>
        </w:rPr>
        <w:br/>
        <w:t>Individualiems arba grupės pertvarkymo planams rengti skirtos papildomos informacijos teikimas</w:t>
      </w:r>
    </w:p>
    <w:p w:rsidR="00B90FAF" w:rsidRPr="00E30D8C" w:rsidRDefault="00B90FAF" w:rsidP="006973C7">
      <w:pPr>
        <w:pStyle w:val="NumPar1"/>
        <w:numPr>
          <w:ilvl w:val="0"/>
          <w:numId w:val="20"/>
        </w:numPr>
      </w:pPr>
      <w:r w:rsidRPr="00E30D8C">
        <w:t>Jeigu pertvarkymo institucija arba grupės lygmens pertvarkymo institucija mano, kad informacija, neįtraukta nė į vieną I priede nustatytą šabloną, yra būtina pertvarkymo planams parengti ir įgyvendinti, arba jeigu kompetentingos institucijos pagal 8 straipsnio 2 dalį teikiamos papildomos informacijos formatas nėra tinkamas pertvarkymo planams parengti ar įgyvendinti, pertvarkymo institucija paprašo, kad įstaiga arba Sąjungos patronuojančioji įmonė pateiktų tokią informaciją.</w:t>
      </w:r>
    </w:p>
    <w:p w:rsidR="00B90FAF" w:rsidRPr="00E30D8C" w:rsidRDefault="00B90FAF" w:rsidP="00AE1240">
      <w:pPr>
        <w:pStyle w:val="NumPar1"/>
      </w:pPr>
      <w:r w:rsidRPr="00E30D8C">
        <w:t>Teikdama prašymą pagal 1 dalį pertvarkymo institucija:</w:t>
      </w:r>
    </w:p>
    <w:p w:rsidR="00B90FAF" w:rsidRPr="00E30D8C" w:rsidRDefault="00B90FAF" w:rsidP="00440366">
      <w:pPr>
        <w:pStyle w:val="Point1letter"/>
        <w:numPr>
          <w:ilvl w:val="3"/>
          <w:numId w:val="19"/>
        </w:numPr>
      </w:pPr>
      <w:r w:rsidRPr="00E30D8C">
        <w:t>nurodo, kokia papildoma informacija turi būti pateikta;</w:t>
      </w:r>
    </w:p>
    <w:p w:rsidR="00B90FAF" w:rsidRPr="00E30D8C" w:rsidRDefault="00B90FAF" w:rsidP="00440366">
      <w:pPr>
        <w:pStyle w:val="Point1letter"/>
        <w:numPr>
          <w:ilvl w:val="3"/>
          <w:numId w:val="19"/>
        </w:numPr>
      </w:pPr>
      <w:r w:rsidRPr="00E30D8C">
        <w:t>atsižvelgdama į reikiamos informacijos apimtį ir sudėtingumą nurodo tinkamą laikotarpį, per kurį įstaiga arba, grupių atveju, Sąjungos patronuojančioji įmonė turi pateikti informaciją pertvarkymo institucijai;</w:t>
      </w:r>
    </w:p>
    <w:p w:rsidR="00B90FAF" w:rsidRPr="00E30D8C" w:rsidRDefault="00B90FAF" w:rsidP="00440366">
      <w:pPr>
        <w:pStyle w:val="Point1letter"/>
        <w:numPr>
          <w:ilvl w:val="3"/>
          <w:numId w:val="19"/>
        </w:numPr>
      </w:pPr>
      <w:r w:rsidRPr="00E30D8C">
        <w:t>nurodo formatą, kurį naudodamos įstaigos arba, grupių atveju, Sąjungos patronuojančiosios įmonės turi pateikti informaciją pertvarkymo institucijai;</w:t>
      </w:r>
    </w:p>
    <w:p w:rsidR="00B90FAF" w:rsidRPr="00E30D8C" w:rsidRDefault="00B90FAF" w:rsidP="00440366">
      <w:pPr>
        <w:pStyle w:val="Point1letter"/>
        <w:numPr>
          <w:ilvl w:val="3"/>
          <w:numId w:val="19"/>
        </w:numPr>
      </w:pPr>
      <w:r w:rsidRPr="00E30D8C">
        <w:t>nurodo, ar informacija turi būti surinkta individualiu ar grupės lygmeniu ir ar jos aprėptis yra vietos, Sąjungos ar pasaulinio masto;</w:t>
      </w:r>
    </w:p>
    <w:p w:rsidR="00B90FAF" w:rsidRPr="00E30D8C" w:rsidRDefault="00B90FAF" w:rsidP="00440366">
      <w:pPr>
        <w:pStyle w:val="Point1letter"/>
        <w:numPr>
          <w:ilvl w:val="3"/>
          <w:numId w:val="19"/>
        </w:numPr>
      </w:pPr>
      <w:r w:rsidRPr="00E30D8C">
        <w:t>pateikia reikiamus asmenų, kuriems reikia pateikti papildomą informaciją, kontaktinius duomenis.</w:t>
      </w:r>
    </w:p>
    <w:p w:rsidR="007E1AE4" w:rsidRPr="00E30D8C" w:rsidRDefault="007E1AE4" w:rsidP="007E1AE4">
      <w:pPr>
        <w:pStyle w:val="Titrearticle"/>
        <w:rPr>
          <w:color w:val="000000" w:themeColor="text1"/>
        </w:rPr>
      </w:pPr>
      <w:r w:rsidRPr="00E30D8C">
        <w:rPr>
          <w:color w:val="000000" w:themeColor="text1"/>
        </w:rPr>
        <w:t>8 straipsnis</w:t>
      </w:r>
      <w:r w:rsidRPr="00E30D8C">
        <w:rPr>
          <w:color w:val="000000" w:themeColor="text1"/>
        </w:rPr>
        <w:br/>
        <w:t>Kompetentingų institucijų ir pertvarkymo institucijų bendradarbiavimas</w:t>
      </w:r>
    </w:p>
    <w:p w:rsidR="007E1AE4" w:rsidRPr="00E30D8C" w:rsidRDefault="007E1AE4" w:rsidP="00440366">
      <w:pPr>
        <w:pStyle w:val="NumPar1"/>
        <w:numPr>
          <w:ilvl w:val="0"/>
          <w:numId w:val="5"/>
        </w:numPr>
        <w:rPr>
          <w:color w:val="000000" w:themeColor="text1"/>
        </w:rPr>
      </w:pPr>
      <w:r w:rsidRPr="00E30D8C">
        <w:rPr>
          <w:color w:val="000000" w:themeColor="text1"/>
        </w:rPr>
        <w:t>Kompetentingos institucijos ir pertvarkymo institucijos kartu patikrina, ar kompetentinga institucija dar nėra gavusi dalies arba visos informacijos, pertvarkymo institucijai teiktinos pagal 3 straipsnio 1 dalį ir 7 straipsnį.</w:t>
      </w:r>
    </w:p>
    <w:p w:rsidR="007E1AE4" w:rsidRPr="00E30D8C" w:rsidRDefault="007E1AE4" w:rsidP="00440366">
      <w:pPr>
        <w:pStyle w:val="NumPar1"/>
        <w:numPr>
          <w:ilvl w:val="0"/>
          <w:numId w:val="5"/>
        </w:numPr>
        <w:rPr>
          <w:color w:val="000000" w:themeColor="text1"/>
        </w:rPr>
      </w:pPr>
      <w:r w:rsidRPr="00E30D8C">
        <w:rPr>
          <w:color w:val="000000" w:themeColor="text1"/>
        </w:rPr>
        <w:t xml:space="preserve">Jei kompetentinga institucija jau turi visą informaciją ar jos dalį, ji tą informaciją laiku pateikia pertvarkymo institucijai. </w:t>
      </w:r>
    </w:p>
    <w:p w:rsidR="00A05A75" w:rsidRPr="00E30D8C" w:rsidRDefault="007E1AE4" w:rsidP="00AE1240">
      <w:pPr>
        <w:pStyle w:val="NumPar1"/>
        <w:rPr>
          <w:color w:val="000000" w:themeColor="text1"/>
        </w:rPr>
      </w:pPr>
      <w:r w:rsidRPr="00E30D8C">
        <w:rPr>
          <w:color w:val="000000" w:themeColor="text1"/>
        </w:rPr>
        <w:t>2 dalyje nurodytu atveju pertvarkymo institucijos užtikrina, kad įstaigos arba, grupių atveju, Sąjungos patronuojančiosios įmonės būtų informuotos apie tai, kokią informaciją reikia įtraukti teikiant informaciją pagal 3 straipsnio 1 dalį. Tą informaciją jos įvardija darydamos nuorodą į I priede pateiktus šablonus.</w:t>
      </w:r>
    </w:p>
    <w:p w:rsidR="007E1AE4" w:rsidRPr="00E30D8C" w:rsidRDefault="007E1AE4" w:rsidP="007E1AE4">
      <w:pPr>
        <w:pStyle w:val="Titrearticle"/>
        <w:rPr>
          <w:color w:val="000000" w:themeColor="text1"/>
        </w:rPr>
      </w:pPr>
      <w:r w:rsidRPr="00E30D8C">
        <w:rPr>
          <w:color w:val="000000" w:themeColor="text1"/>
        </w:rPr>
        <w:t>9 straipsnis</w:t>
      </w:r>
      <w:r w:rsidRPr="00E30D8C">
        <w:rPr>
          <w:color w:val="000000" w:themeColor="text1"/>
        </w:rPr>
        <w:br/>
        <w:t>Pereinamasis laikotarpis</w:t>
      </w:r>
    </w:p>
    <w:p w:rsidR="007E1AE4" w:rsidRPr="00E30D8C" w:rsidRDefault="007E1AE4" w:rsidP="00440366">
      <w:pPr>
        <w:pStyle w:val="NumPar1"/>
        <w:numPr>
          <w:ilvl w:val="0"/>
          <w:numId w:val="6"/>
        </w:numPr>
        <w:rPr>
          <w:color w:val="000000" w:themeColor="text1"/>
        </w:rPr>
      </w:pPr>
      <w:r w:rsidRPr="00E30D8C">
        <w:rPr>
          <w:color w:val="000000" w:themeColor="text1"/>
        </w:rPr>
        <w:t>Nukrypstant nuo 5 straipsnio 1 dalies, finansinių metų, pasibaigiančių 2018 m. sausio 1 d. – gruodžio 31 d., informacijos pateikimo data yra vėliausiai 2019 m. gegužės 31 d.</w:t>
      </w:r>
    </w:p>
    <w:p w:rsidR="007E1AE4" w:rsidRPr="00E30D8C" w:rsidRDefault="007E1AE4" w:rsidP="00440366">
      <w:pPr>
        <w:pStyle w:val="NumPar1"/>
        <w:numPr>
          <w:ilvl w:val="0"/>
          <w:numId w:val="6"/>
        </w:numPr>
        <w:rPr>
          <w:color w:val="000000" w:themeColor="text1"/>
        </w:rPr>
      </w:pPr>
      <w:r w:rsidRPr="00E30D8C">
        <w:rPr>
          <w:color w:val="000000" w:themeColor="text1"/>
        </w:rPr>
        <w:t>Nukrypstant nuo 5 straipsnio 1 dalies, finansinių metų, pasibaigiančių 2019 m. sausio 1 d. – gruodžio 31 d., informacijos pateikimo data yra vėliausiai 2020 m. balandžio 30 d.</w:t>
      </w:r>
    </w:p>
    <w:p w:rsidR="007E1AE4" w:rsidRPr="00E30D8C" w:rsidRDefault="007E1AE4" w:rsidP="007E1AE4">
      <w:pPr>
        <w:pStyle w:val="Titrearticle"/>
        <w:rPr>
          <w:color w:val="000000" w:themeColor="text1"/>
        </w:rPr>
      </w:pPr>
      <w:r w:rsidRPr="00E30D8C">
        <w:rPr>
          <w:color w:val="000000" w:themeColor="text1"/>
        </w:rPr>
        <w:t>10 straipsnis</w:t>
      </w:r>
      <w:r w:rsidRPr="00E30D8C">
        <w:rPr>
          <w:color w:val="000000" w:themeColor="text1"/>
        </w:rPr>
        <w:br/>
        <w:t>Panaikinimas</w:t>
      </w:r>
    </w:p>
    <w:p w:rsidR="007E1AE4" w:rsidRPr="00E30D8C" w:rsidRDefault="007E1AE4" w:rsidP="007E1AE4">
      <w:pPr>
        <w:rPr>
          <w:color w:val="000000" w:themeColor="text1"/>
        </w:rPr>
      </w:pPr>
      <w:r w:rsidRPr="00E30D8C">
        <w:rPr>
          <w:color w:val="000000" w:themeColor="text1"/>
        </w:rPr>
        <w:t>Įgyvendinimo reglamentas (ES) 2016/1066 panaikinamas.</w:t>
      </w:r>
    </w:p>
    <w:p w:rsidR="007E1AE4" w:rsidRPr="00E30D8C" w:rsidRDefault="007E1AE4" w:rsidP="007E1AE4">
      <w:pPr>
        <w:pStyle w:val="Titrearticle"/>
        <w:rPr>
          <w:color w:val="000000" w:themeColor="text1"/>
        </w:rPr>
      </w:pPr>
      <w:r w:rsidRPr="00E30D8C">
        <w:t>11 straipsnis</w:t>
      </w:r>
      <w:r w:rsidRPr="00E30D8C">
        <w:br/>
        <w:t>Įsigaliojimas</w:t>
      </w:r>
    </w:p>
    <w:p w:rsidR="007E1AE4" w:rsidRPr="00E30D8C" w:rsidRDefault="007E1AE4" w:rsidP="007E1AE4">
      <w:pPr>
        <w:rPr>
          <w:color w:val="000000" w:themeColor="text1"/>
        </w:rPr>
      </w:pPr>
      <w:r w:rsidRPr="00E30D8C">
        <w:t xml:space="preserve">Šis reglamentas įsigalioja dvidešimtą dieną po jo paskelbimo </w:t>
      </w:r>
      <w:r w:rsidRPr="00E30D8C">
        <w:rPr>
          <w:i/>
        </w:rPr>
        <w:t>Europos Sąjungos oficialiajame leidinyje</w:t>
      </w:r>
      <w:r w:rsidRPr="00E30D8C">
        <w:t>.</w:t>
      </w:r>
    </w:p>
    <w:p w:rsidR="007E1AE4" w:rsidRPr="00E30D8C" w:rsidRDefault="007E1AE4" w:rsidP="007E1AE4">
      <w:pPr>
        <w:pStyle w:val="Applicationdirecte"/>
        <w:rPr>
          <w:color w:val="000000" w:themeColor="text1"/>
        </w:rPr>
      </w:pPr>
      <w:r w:rsidRPr="00E30D8C">
        <w:rPr>
          <w:color w:val="000000" w:themeColor="text1"/>
        </w:rPr>
        <w:t>Šis reglamentas privalomas visas ir tiesiogiai taikomas visose valstybėse narėse.</w:t>
      </w:r>
    </w:p>
    <w:p w:rsidR="007E1AE4" w:rsidRPr="00E30D8C" w:rsidRDefault="00AA2583" w:rsidP="00AA2583">
      <w:pPr>
        <w:pStyle w:val="Fait"/>
      </w:pPr>
      <w:r w:rsidRPr="00AA2583">
        <w:t>Priimta Briuselyje</w:t>
      </w:r>
    </w:p>
    <w:p w:rsidR="007E1AE4" w:rsidRPr="00E30D8C" w:rsidRDefault="007E1AE4" w:rsidP="007E1AE4">
      <w:pPr>
        <w:pStyle w:val="Institutionquisigne"/>
      </w:pPr>
      <w:r w:rsidRPr="00E30D8C">
        <w:tab/>
        <w:t>Komisijos vardu</w:t>
      </w:r>
    </w:p>
    <w:p w:rsidR="001C2CA3" w:rsidRPr="00E30D8C" w:rsidRDefault="007E1AE4" w:rsidP="007E1AE4">
      <w:pPr>
        <w:pStyle w:val="Personnequisigne"/>
      </w:pPr>
      <w:r w:rsidRPr="00E30D8C">
        <w:tab/>
        <w:t>Pirmininkas</w:t>
      </w:r>
      <w:r w:rsidRPr="00E30D8C">
        <w:br/>
      </w:r>
      <w:r w:rsidRPr="00E30D8C">
        <w:tab/>
        <w:t>Jean-Claude JUNCKER</w:t>
      </w:r>
    </w:p>
    <w:p w:rsidR="007E1AE4" w:rsidRPr="00E30D8C" w:rsidRDefault="007E1AE4" w:rsidP="007E1AE4">
      <w:pPr>
        <w:pStyle w:val="Personnequisigne"/>
      </w:pPr>
    </w:p>
    <w:sectPr w:rsidR="007E1AE4" w:rsidRPr="00E30D8C" w:rsidSect="006F0FD7">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D7" w:rsidRPr="006F0FD7" w:rsidRDefault="006F0FD7" w:rsidP="006F0FD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2583" w:rsidRPr="006F0FD7" w:rsidRDefault="006F0FD7" w:rsidP="006F0FD7">
    <w:pPr>
      <w:pStyle w:val="Footer"/>
      <w:rPr>
        <w:rFonts w:ascii="Arial" w:hAnsi="Arial" w:cs="Arial"/>
        <w:b/>
        <w:sz w:val="48"/>
      </w:rPr>
    </w:pPr>
    <w:r w:rsidRPr="006F0FD7">
      <w:rPr>
        <w:rFonts w:ascii="Arial" w:hAnsi="Arial" w:cs="Arial"/>
        <w:b/>
        <w:sz w:val="48"/>
      </w:rPr>
      <w:t>LT</w:t>
    </w:r>
    <w:r w:rsidRPr="006F0FD7">
      <w:rPr>
        <w:rFonts w:ascii="Arial" w:hAnsi="Arial" w:cs="Arial"/>
        <w:b/>
        <w:sz w:val="48"/>
      </w:rPr>
      <w:tab/>
    </w:r>
    <w:r w:rsidRPr="006F0FD7">
      <w:rPr>
        <w:rFonts w:ascii="Arial" w:hAnsi="Arial" w:cs="Arial"/>
        <w:b/>
        <w:sz w:val="48"/>
      </w:rPr>
      <w:tab/>
    </w:r>
    <w:r w:rsidRPr="006F0FD7">
      <w:tab/>
    </w:r>
    <w:r w:rsidRPr="006F0FD7">
      <w:rPr>
        <w:rFonts w:ascii="Arial" w:hAnsi="Arial" w:cs="Arial"/>
        <w:b/>
        <w:sz w:val="48"/>
      </w:rPr>
      <w:t>LT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D7" w:rsidRPr="006F0FD7" w:rsidRDefault="006F0FD7" w:rsidP="006F0FD7">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D7" w:rsidRPr="006F0FD7" w:rsidRDefault="006F0FD7" w:rsidP="006F0FD7">
    <w:pPr>
      <w:pStyle w:val="Footer"/>
      <w:rPr>
        <w:rFonts w:ascii="Arial" w:hAnsi="Arial" w:cs="Arial"/>
        <w:b/>
        <w:sz w:val="48"/>
      </w:rPr>
    </w:pPr>
    <w:r w:rsidRPr="006F0FD7">
      <w:rPr>
        <w:rFonts w:ascii="Arial" w:hAnsi="Arial" w:cs="Arial"/>
        <w:b/>
        <w:sz w:val="48"/>
      </w:rPr>
      <w:t>LT</w:t>
    </w:r>
    <w:r w:rsidRPr="006F0FD7">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6F0FD7">
      <w:tab/>
    </w:r>
    <w:r w:rsidRPr="006F0FD7">
      <w:rPr>
        <w:rFonts w:ascii="Arial" w:hAnsi="Arial" w:cs="Arial"/>
        <w:b/>
        <w:sz w:val="48"/>
      </w:rPr>
      <w:t>LT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D7" w:rsidRPr="006F0FD7" w:rsidRDefault="006F0FD7" w:rsidP="006F0FD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OL L 173, 2014 6 12, p. 190. </w:t>
      </w:r>
    </w:p>
  </w:footnote>
  <w:footnote w:id="3">
    <w:p w:rsidR="00F0793D" w:rsidRPr="00F0793D" w:rsidRDefault="00F0793D">
      <w:pPr>
        <w:pStyle w:val="FootnoteText"/>
      </w:pPr>
      <w:r>
        <w:rPr>
          <w:rStyle w:val="FootnoteReference"/>
        </w:rPr>
        <w:footnoteRef/>
      </w:r>
      <w:r>
        <w:tab/>
      </w:r>
      <w:r>
        <w:rPr>
          <w:rStyle w:val="Strong"/>
          <w:b w:val="0"/>
          <w:color w:val="444444"/>
        </w:rPr>
        <w:t>2016 m. birželio 17 d. Komisijos įgyvendinimo reglamentas (ES) 2016/1066, kuriuo nustatomi techniniai įgyvendinimo standartai, susiję su kredito įstaigų ir investicinių įmonių pertvarkymo planams parengti skirtos informacijos teikimo pagal Europos Parlamento ir Tarybos direktyvą 2014/59/ES tvarka, standartinėmis formomis ir šablonais (OL L</w:t>
      </w:r>
      <w:r>
        <w:t> 181, 2016 7 6, p. 1).</w:t>
      </w:r>
    </w:p>
  </w:footnote>
  <w:footnote w:id="4">
    <w:p w:rsidR="002A074B" w:rsidRPr="002A074B" w:rsidRDefault="002A074B">
      <w:pPr>
        <w:pStyle w:val="FootnoteText"/>
      </w:pPr>
      <w:r>
        <w:rPr>
          <w:rStyle w:val="FootnoteReference"/>
        </w:rPr>
        <w:footnoteRef/>
      </w:r>
      <w:r>
        <w:tab/>
      </w:r>
      <w:r>
        <w:rPr>
          <w:rStyle w:val="Strong"/>
          <w:b w:val="0"/>
          <w:color w:val="444444"/>
        </w:rPr>
        <w:t>2010 m. lapkričio 24 d. Europos Parlamento ir Tarybos reglamentas (ES) Nr. 1093/2010, kuriuo įsteigiama Europos priežiūros institucija (Europos bankininkystės institucija), iš dalies keičiamas Sprendimas Nr. 716/2009/EB ir panaikinamas Komisijos sprendimas 2009/78/EB (</w:t>
      </w:r>
      <w:r>
        <w:t>OL L 331, 2010 12 15, p. 12).</w:t>
      </w:r>
    </w:p>
  </w:footnote>
  <w:footnote w:id="5">
    <w:p w:rsidR="00F80209" w:rsidRPr="0031364A" w:rsidRDefault="00F80209" w:rsidP="00F80209">
      <w:pPr>
        <w:pStyle w:val="FootnoteText"/>
      </w:pPr>
      <w:r>
        <w:rPr>
          <w:rStyle w:val="FootnoteReference"/>
        </w:rPr>
        <w:footnoteRef/>
      </w:r>
      <w:r>
        <w:tab/>
      </w:r>
      <w:r>
        <w:rPr>
          <w:rStyle w:val="Strong"/>
          <w:b w:val="0"/>
          <w:color w:val="444444"/>
        </w:rPr>
        <w:t>2013 m. birželio 26 d. Europos Parlamento ir Tarybos reglamentas (ES) Nr. 575/2013 dėl prudencinių reikalavimų kredito įstaigoms ir investicinėms įmonėms ir kuriuo iš dalies keičiamas Reglamentas (ES) Nr. 648/2012</w:t>
      </w:r>
      <w:r>
        <w:t xml:space="preserve"> (OL L 176, 2013 6 27, p.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D7" w:rsidRPr="006F0FD7" w:rsidRDefault="006F0FD7" w:rsidP="006F0FD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D7" w:rsidRPr="006F0FD7" w:rsidRDefault="006F0FD7" w:rsidP="006F0FD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0FD7" w:rsidRPr="006F0FD7" w:rsidRDefault="006F0FD7" w:rsidP="006F0FD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1:38:4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6125D5D9-C662-4320-BF14-85909764EE3A"/>
    <w:docVar w:name="LW_COVERPAGE_TYPE" w:val="1"/>
    <w:docVar w:name="LW_CROSSREFERENCE" w:val="&lt;UNUSED&gt;"/>
    <w:docVar w:name="LW_DATE.ADOPT.CP" w:val="XXX"/>
    <w:docVar w:name="LW_DATE.ADOPT.CP_DATEFORMAT" w:val="%DATE%"/>
    <w:docVar w:name="LW_DATE.ADOPT.CP_ISODATE" w:val="&lt;EMPTY&gt;"/>
    <w:docVar w:name="LW_DocType" w:val="COM"/>
    <w:docVar w:name="LW_EMISSION" w:val="&lt;EMPTY&gt;"/>
    <w:docVar w:name="LW_EMISSION_ISODATE" w:val="&lt;EMPTY&gt;"/>
    <w:docVar w:name="LW_EMISSION_LOCATION" w:val="BRX"/>
    <w:docVar w:name="LW_EMISSION_PREFIX" w:val="Briuselis, "/>
    <w:docVar w:name="LW_EMISSION_SUFFIX" w:val="&lt;EMPTY&gt;"/>
    <w:docVar w:name="LW_ID_DOCMODEL" w:val="SJ-004"/>
    <w:docVar w:name="LW_ID_DOCSIGNATURE" w:val="SJ-004"/>
    <w:docVar w:name="LW_ID_DOCSTRUCTURE" w:val="COM/AA"/>
    <w:docVar w:name="LW_ID_DOCTYPE" w:val="SJ-004"/>
    <w:docVar w:name="LW_INTERETEEE.CP" w:val="(Tekstas svarbus EEE)"/>
    <w:docVar w:name="LW_LANGUE" w:val="LT"/>
    <w:docVar w:name="LW_LANGUESFAISANTFOI.CP" w:val="&lt;UNUSED&gt;"/>
    <w:docVar w:name="LW_LEVEL_OF_SENSITIVITY" w:val="Standard treatment"/>
    <w:docVar w:name="LW_NOM.INST" w:val="EUROPOS KOMISIJ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kuriuo nustatomi kredito \u303?staig\u371? ir investicini\u371? \u303?moni\u371? pertvarkymo planams rengti skirtos informacijos teikimo pagal Europos Parlamento ir Tarybos direktyv\u261? 2014/59/ES tvarkos, standartini\u371? form\u371? ir \u353?ablon\u371? techniniai \u303?gyvendinimo standartai ir panaikinamas Komisijos \u303?gyvendinimo reglamentas (ES) 2016/1066 _x000b__x000b_"/>
    <w:docVar w:name="LW_TYPE.DOC.CP" w:val="KOMISIJOS \u302?GYVENDINIMO REGLAMENTAS (ES) \u8230?/..."/>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1D7D15"/>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50B29"/>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6F0FD7"/>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93A25"/>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258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A648D"/>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0D8C"/>
    <w:rsid w:val="00E31E1B"/>
    <w:rsid w:val="00E35BD9"/>
    <w:rsid w:val="00E44B03"/>
    <w:rsid w:val="00E50675"/>
    <w:rsid w:val="00E96E2F"/>
    <w:rsid w:val="00E97A92"/>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bidi="k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lt-LT"/>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lt-LT"/>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lt-LT"/>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lt-LT"/>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lt-LT" w:eastAsia="lt-LT" w:bidi="kn-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8C878-7E6E-4861-8485-A08FCBCDA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2008</Words>
  <Characters>14412</Characters>
  <Application>Microsoft Office Word</Application>
  <DocSecurity>0</DocSecurity>
  <Lines>266</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16346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x</cp:lastModifiedBy>
  <cp:revision>3</cp:revision>
  <cp:lastPrinted>2018-09-04T15:01:00Z</cp:lastPrinted>
  <dcterms:created xsi:type="dcterms:W3CDTF">2018-09-20T09:38:00Z</dcterms:created>
  <dcterms:modified xsi:type="dcterms:W3CDTF">2018-09-20T09:38:00Z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