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4399E" w14:textId="2B633891" w:rsidR="001C2816" w:rsidRPr="005B569B" w:rsidRDefault="008112B0" w:rsidP="005832E5">
      <w:pPr>
        <w:pStyle w:val="Pagedecouverture"/>
        <w:rPr>
          <w:noProof/>
        </w:rPr>
      </w:pPr>
      <w:bookmarkStart w:id="0" w:name="_GoBack"/>
      <w:bookmarkEnd w:id="0"/>
      <w:r>
        <w:rPr>
          <w:noProof/>
        </w:rPr>
        <w:pict w14:anchorId="3880BF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0A10D416-F98C-4944-BC70-3F38F764363E" style="width:455.35pt;height:454.65pt">
            <v:imagedata r:id="rId7" o:title=""/>
          </v:shape>
        </w:pict>
      </w:r>
    </w:p>
    <w:p w14:paraId="66835F60" w14:textId="77777777" w:rsidR="00745799" w:rsidRPr="005B569B" w:rsidRDefault="00745799">
      <w:pPr>
        <w:rPr>
          <w:noProof/>
        </w:rPr>
        <w:sectPr w:rsidR="00745799" w:rsidRPr="005B569B" w:rsidSect="005832E5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8EEE52D" w14:textId="610B1650" w:rsidR="00745799" w:rsidRPr="005B569B" w:rsidRDefault="005B569B" w:rsidP="005B569B">
      <w:pPr>
        <w:pStyle w:val="Typedudocument"/>
        <w:rPr>
          <w:noProof/>
        </w:rPr>
      </w:pPr>
      <w:r w:rsidRPr="005B569B">
        <w:rPr>
          <w:noProof/>
        </w:rPr>
        <w:lastRenderedPageBreak/>
        <w:t>ROZPORZĄDZENIE WYKONAWCZE KOMISJI (UE) …/…</w:t>
      </w:r>
    </w:p>
    <w:p w14:paraId="5FDAE07D" w14:textId="09C5923E" w:rsidR="00745799" w:rsidRPr="005B569B" w:rsidRDefault="00672CEE" w:rsidP="005B569B">
      <w:pPr>
        <w:pStyle w:val="Datedadoption"/>
        <w:rPr>
          <w:noProof/>
        </w:rPr>
      </w:pPr>
      <w:r>
        <w:t>z dnia 3.3.2022 r.</w:t>
      </w:r>
    </w:p>
    <w:p w14:paraId="6AE2FFE3" w14:textId="3C10C91C" w:rsidR="00745799" w:rsidRPr="005B569B" w:rsidRDefault="005B569B" w:rsidP="005B569B">
      <w:pPr>
        <w:pStyle w:val="Titreobjet"/>
        <w:rPr>
          <w:noProof/>
        </w:rPr>
      </w:pPr>
      <w:r w:rsidRPr="005B569B">
        <w:rPr>
          <w:noProof/>
        </w:rPr>
        <w:t xml:space="preserve">zmieniające rozporządzenie wykonawcze (UE) 2018/1624 ustanawiające wykonawcze standardy techniczne w odniesieniu do procedur i standardowych formularzy i szablonów stosowanych do przekazywania informacji do celów sporządzenia planów restrukturyzacji i uporządkowanej likwidacji w odniesieniu do instytucji kredytowych i firm inwestycyjnych zgodnie z dyrektywą Parlamentu Europejskiego i Rady 2014/59/UE </w:t>
      </w:r>
      <w:r w:rsidRPr="005B569B">
        <w:rPr>
          <w:noProof/>
        </w:rPr>
        <w:br/>
      </w:r>
    </w:p>
    <w:p w14:paraId="217F978F" w14:textId="7E068155" w:rsidR="00745799" w:rsidRPr="005B569B" w:rsidRDefault="005B569B" w:rsidP="005B569B">
      <w:pPr>
        <w:pStyle w:val="IntrtEEE"/>
        <w:rPr>
          <w:noProof/>
        </w:rPr>
      </w:pPr>
      <w:r w:rsidRPr="005B569B">
        <w:rPr>
          <w:noProof/>
        </w:rPr>
        <w:t>(Tekst mający znaczenie dla EOG)</w:t>
      </w:r>
    </w:p>
    <w:p w14:paraId="36E61899" w14:textId="77777777" w:rsidR="00745799" w:rsidRPr="005B569B" w:rsidRDefault="00745799" w:rsidP="004E1EF9">
      <w:pPr>
        <w:pStyle w:val="Institutionquiagit"/>
        <w:rPr>
          <w:noProof/>
        </w:rPr>
      </w:pPr>
      <w:r w:rsidRPr="005B569B">
        <w:rPr>
          <w:noProof/>
        </w:rPr>
        <w:t>KOMISJA EUROPEJSKA,</w:t>
      </w:r>
    </w:p>
    <w:p w14:paraId="344A82A5" w14:textId="2C7BB13E" w:rsidR="00745799" w:rsidRPr="005B569B" w:rsidRDefault="00745799" w:rsidP="004E1EF9">
      <w:pPr>
        <w:rPr>
          <w:noProof/>
        </w:rPr>
      </w:pPr>
      <w:r w:rsidRPr="005B569B">
        <w:rPr>
          <w:noProof/>
        </w:rPr>
        <w:t>uwzględniając Traktat</w:t>
      </w:r>
      <w:r w:rsidR="005B569B" w:rsidRPr="005B569B">
        <w:rPr>
          <w:noProof/>
        </w:rPr>
        <w:t xml:space="preserve"> o fun</w:t>
      </w:r>
      <w:r w:rsidRPr="005B569B">
        <w:rPr>
          <w:noProof/>
        </w:rPr>
        <w:t>kcjonowaniu Unii Europejskiej,</w:t>
      </w:r>
    </w:p>
    <w:p w14:paraId="2982BE59" w14:textId="317719A6" w:rsidR="00745799" w:rsidRPr="005B569B" w:rsidRDefault="00745799" w:rsidP="004E1EF9">
      <w:pPr>
        <w:rPr>
          <w:noProof/>
        </w:rPr>
      </w:pPr>
      <w:r w:rsidRPr="005B569B">
        <w:rPr>
          <w:noProof/>
        </w:rPr>
        <w:t>uwzględniając dyrektywę Parlamentu Europejskiego</w:t>
      </w:r>
      <w:r w:rsidR="005B569B" w:rsidRPr="005B569B">
        <w:rPr>
          <w:noProof/>
        </w:rPr>
        <w:t xml:space="preserve"> i Rad</w:t>
      </w:r>
      <w:r w:rsidRPr="005B569B">
        <w:rPr>
          <w:noProof/>
        </w:rPr>
        <w:t>y 2014/59/UE ustanawiającą ramy na potrzeby prowadzenia działań naprawczych oraz restrukturyzacji</w:t>
      </w:r>
      <w:r w:rsidR="005B569B" w:rsidRPr="005B569B">
        <w:rPr>
          <w:noProof/>
        </w:rPr>
        <w:t xml:space="preserve"> i upo</w:t>
      </w:r>
      <w:r w:rsidRPr="005B569B">
        <w:rPr>
          <w:noProof/>
        </w:rPr>
        <w:t>rządkowanej likwidacji</w:t>
      </w:r>
      <w:r w:rsidR="005B569B" w:rsidRPr="005B569B">
        <w:rPr>
          <w:noProof/>
        </w:rPr>
        <w:t xml:space="preserve"> w odn</w:t>
      </w:r>
      <w:r w:rsidRPr="005B569B">
        <w:rPr>
          <w:noProof/>
        </w:rPr>
        <w:t>iesieniu do instytucji kredytowych</w:t>
      </w:r>
      <w:r w:rsidR="005B569B" w:rsidRPr="005B569B">
        <w:rPr>
          <w:noProof/>
        </w:rPr>
        <w:t xml:space="preserve"> i fir</w:t>
      </w:r>
      <w:r w:rsidRPr="005B569B">
        <w:rPr>
          <w:noProof/>
        </w:rPr>
        <w:t>m inwestycyjnych oraz zmieniającą dyrektywę Rady 82/891/EWG</w:t>
      </w:r>
      <w:r w:rsidR="005B569B" w:rsidRPr="005B569B">
        <w:rPr>
          <w:noProof/>
        </w:rPr>
        <w:t xml:space="preserve"> i dyr</w:t>
      </w:r>
      <w:r w:rsidRPr="005B569B">
        <w:rPr>
          <w:noProof/>
        </w:rPr>
        <w:t>ektywy Parlamentu Europejskiego</w:t>
      </w:r>
      <w:r w:rsidR="005B569B" w:rsidRPr="005B569B">
        <w:rPr>
          <w:noProof/>
        </w:rPr>
        <w:t xml:space="preserve"> i Rad</w:t>
      </w:r>
      <w:r w:rsidRPr="005B569B">
        <w:rPr>
          <w:noProof/>
        </w:rPr>
        <w:t>y 2001/24/WE, 2002/47/WE, 2004/25/WE, 2005/56/WE, 2007/36/WE, 2011/35/UE, 2012/30/UE</w:t>
      </w:r>
      <w:r w:rsidR="005B569B" w:rsidRPr="005B569B">
        <w:rPr>
          <w:noProof/>
        </w:rPr>
        <w:t xml:space="preserve"> i 2</w:t>
      </w:r>
      <w:r w:rsidRPr="005B569B">
        <w:rPr>
          <w:noProof/>
        </w:rPr>
        <w:t>013/36/UE oraz rozporządzenia Parlamentu Europejskiego</w:t>
      </w:r>
      <w:r w:rsidR="005B569B" w:rsidRPr="005B569B">
        <w:rPr>
          <w:noProof/>
        </w:rPr>
        <w:t xml:space="preserve"> i Rad</w:t>
      </w:r>
      <w:r w:rsidRPr="005B569B">
        <w:rPr>
          <w:noProof/>
        </w:rPr>
        <w:t>y (UE) nr</w:t>
      </w:r>
      <w:r w:rsidR="005B569B" w:rsidRPr="005B569B">
        <w:rPr>
          <w:noProof/>
        </w:rPr>
        <w:t> </w:t>
      </w:r>
      <w:r w:rsidRPr="005B569B">
        <w:rPr>
          <w:noProof/>
        </w:rPr>
        <w:t>1093/2010 i (UE) nr</w:t>
      </w:r>
      <w:r w:rsidR="005B569B" w:rsidRPr="005B569B">
        <w:rPr>
          <w:noProof/>
        </w:rPr>
        <w:t> </w:t>
      </w:r>
      <w:r w:rsidRPr="005B569B">
        <w:rPr>
          <w:noProof/>
        </w:rPr>
        <w:t>648/2012</w:t>
      </w:r>
      <w:r w:rsidRPr="005B569B">
        <w:rPr>
          <w:rStyle w:val="FootnoteReference"/>
          <w:noProof/>
        </w:rPr>
        <w:footnoteReference w:id="1"/>
      </w:r>
      <w:r w:rsidRPr="005B569B">
        <w:rPr>
          <w:noProof/>
        </w:rPr>
        <w:t>,</w:t>
      </w:r>
      <w:r w:rsidR="005B569B" w:rsidRPr="005B569B">
        <w:rPr>
          <w:noProof/>
        </w:rPr>
        <w:t xml:space="preserve"> w szc</w:t>
      </w:r>
      <w:r w:rsidRPr="005B569B">
        <w:rPr>
          <w:noProof/>
        </w:rPr>
        <w:t>zególności jej art. 11 ust. 3,</w:t>
      </w:r>
    </w:p>
    <w:p w14:paraId="3303916E" w14:textId="77777777" w:rsidR="00745799" w:rsidRPr="005B569B" w:rsidRDefault="00745799" w:rsidP="004E1EF9">
      <w:pPr>
        <w:rPr>
          <w:noProof/>
        </w:rPr>
      </w:pPr>
      <w:r w:rsidRPr="005B569B">
        <w:rPr>
          <w:noProof/>
        </w:rPr>
        <w:t>a także mając na uwadze, co następuje:</w:t>
      </w:r>
    </w:p>
    <w:p w14:paraId="2AEEF6BD" w14:textId="43B7C686" w:rsidR="00745799" w:rsidRPr="005B569B" w:rsidRDefault="00DD2B07" w:rsidP="00DD2B07">
      <w:pPr>
        <w:pStyle w:val="ManualConsidrant"/>
        <w:rPr>
          <w:noProof/>
        </w:rPr>
      </w:pPr>
      <w:r w:rsidRPr="00DD2B07">
        <w:t>(1)</w:t>
      </w:r>
      <w:r w:rsidRPr="00DD2B07">
        <w:tab/>
      </w:r>
      <w:r w:rsidR="00745799" w:rsidRPr="005B569B">
        <w:rPr>
          <w:noProof/>
        </w:rPr>
        <w:t>Dyrektywą Parlamentu Europejskiego</w:t>
      </w:r>
      <w:r w:rsidR="005B569B" w:rsidRPr="005B569B">
        <w:rPr>
          <w:noProof/>
        </w:rPr>
        <w:t xml:space="preserve"> i Rad</w:t>
      </w:r>
      <w:r w:rsidR="00745799" w:rsidRPr="005B569B">
        <w:rPr>
          <w:noProof/>
        </w:rPr>
        <w:t>y (UE) 2019/879</w:t>
      </w:r>
      <w:r w:rsidR="00745799" w:rsidRPr="005B569B">
        <w:rPr>
          <w:rStyle w:val="FootnoteReference"/>
          <w:noProof/>
        </w:rPr>
        <w:footnoteReference w:id="2"/>
      </w:r>
      <w:r w:rsidR="00745799" w:rsidRPr="005B569B">
        <w:rPr>
          <w:noProof/>
        </w:rPr>
        <w:t xml:space="preserve"> wprowadzono pewne zmiany do minimalnego wymogu dotyczącego funduszy własnych</w:t>
      </w:r>
      <w:r w:rsidR="005B569B" w:rsidRPr="005B569B">
        <w:rPr>
          <w:noProof/>
        </w:rPr>
        <w:t xml:space="preserve"> i zob</w:t>
      </w:r>
      <w:r w:rsidR="00745799" w:rsidRPr="005B569B">
        <w:rPr>
          <w:noProof/>
        </w:rPr>
        <w:t>owiązań kwalifikowalnych określonego</w:t>
      </w:r>
      <w:r w:rsidR="005B569B" w:rsidRPr="005B569B">
        <w:rPr>
          <w:noProof/>
        </w:rPr>
        <w:t xml:space="preserve"> w dyr</w:t>
      </w:r>
      <w:r w:rsidR="00745799" w:rsidRPr="005B569B">
        <w:rPr>
          <w:noProof/>
        </w:rPr>
        <w:t>ektywie 2014/59/UE. Informacje na temat zdolności instytucji do spełnienia tego wymogu są również,</w:t>
      </w:r>
      <w:r w:rsidR="005B569B" w:rsidRPr="005B569B">
        <w:rPr>
          <w:noProof/>
        </w:rPr>
        <w:t xml:space="preserve"> w ogr</w:t>
      </w:r>
      <w:r w:rsidR="00745799" w:rsidRPr="005B569B">
        <w:rPr>
          <w:noProof/>
        </w:rPr>
        <w:t>aniczonym zakresie, uwzględniane</w:t>
      </w:r>
      <w:r w:rsidR="005B569B" w:rsidRPr="005B569B">
        <w:rPr>
          <w:noProof/>
        </w:rPr>
        <w:t xml:space="preserve"> w kon</w:t>
      </w:r>
      <w:r w:rsidR="00745799" w:rsidRPr="005B569B">
        <w:rPr>
          <w:noProof/>
        </w:rPr>
        <w:t>tekście planowania restrukturyzacji</w:t>
      </w:r>
      <w:r w:rsidR="005B569B" w:rsidRPr="005B569B">
        <w:rPr>
          <w:noProof/>
        </w:rPr>
        <w:t xml:space="preserve"> i upo</w:t>
      </w:r>
      <w:r w:rsidR="00745799" w:rsidRPr="005B569B">
        <w:rPr>
          <w:noProof/>
        </w:rPr>
        <w:t>rządkowanej likwidacji.</w:t>
      </w:r>
    </w:p>
    <w:p w14:paraId="4C198264" w14:textId="54650D30" w:rsidR="00745799" w:rsidRPr="005B569B" w:rsidRDefault="00DD2B07" w:rsidP="00DD2B07">
      <w:pPr>
        <w:pStyle w:val="ManualConsidrant"/>
        <w:rPr>
          <w:noProof/>
        </w:rPr>
      </w:pPr>
      <w:r w:rsidRPr="00DD2B07">
        <w:t>(2)</w:t>
      </w:r>
      <w:r w:rsidRPr="00DD2B07">
        <w:tab/>
      </w:r>
      <w:r w:rsidR="005F79AB" w:rsidRPr="005B569B">
        <w:rPr>
          <w:noProof/>
        </w:rPr>
        <w:t>Należy zatem odpowiednio zmienić rozporządzenie wykonawcze Komisji (UE) 2018/1624</w:t>
      </w:r>
      <w:r w:rsidR="005F79AB" w:rsidRPr="005B569B">
        <w:rPr>
          <w:rStyle w:val="FootnoteReference"/>
          <w:noProof/>
        </w:rPr>
        <w:footnoteReference w:id="3"/>
      </w:r>
      <w:r w:rsidR="005F79AB" w:rsidRPr="005B569B">
        <w:rPr>
          <w:noProof/>
        </w:rPr>
        <w:t>.</w:t>
      </w:r>
    </w:p>
    <w:p w14:paraId="2F996AE9" w14:textId="19BBCAF0" w:rsidR="00745799" w:rsidRPr="005B569B" w:rsidRDefault="00DD2B07" w:rsidP="00DD2B07">
      <w:pPr>
        <w:pStyle w:val="ManualConsidrant"/>
        <w:rPr>
          <w:noProof/>
        </w:rPr>
      </w:pPr>
      <w:r w:rsidRPr="00DD2B07">
        <w:t>(3)</w:t>
      </w:r>
      <w:r w:rsidRPr="00DD2B07">
        <w:tab/>
      </w:r>
      <w:r w:rsidR="00745799" w:rsidRPr="005B569B">
        <w:rPr>
          <w:noProof/>
        </w:rPr>
        <w:t xml:space="preserve">Podstawę niniejszego rozporządzenia stanowi projekt wykonawczych standardów technicznych przedłożony Komisji przez Europejski Urząd Nadzoru Bankowego (EUNB). </w:t>
      </w:r>
    </w:p>
    <w:p w14:paraId="505703BE" w14:textId="60A7A041" w:rsidR="00745799" w:rsidRPr="005B569B" w:rsidRDefault="00DD2B07" w:rsidP="00DD2B07">
      <w:pPr>
        <w:pStyle w:val="ManualConsidrant"/>
        <w:rPr>
          <w:noProof/>
        </w:rPr>
      </w:pPr>
      <w:r w:rsidRPr="00DD2B07">
        <w:lastRenderedPageBreak/>
        <w:t>(4)</w:t>
      </w:r>
      <w:r w:rsidRPr="00DD2B07">
        <w:tab/>
      </w:r>
      <w:r w:rsidR="00745799" w:rsidRPr="005B569B">
        <w:rPr>
          <w:noProof/>
        </w:rPr>
        <w:t>EUNB nie przeprowadził otwartych konsultacji publicznych na temat projektu wykonawczych standardów technicznych, który stanowi podstawę niniejszego rozporządzenia, ani nie przeanalizował potencjalnych powiązanych kosztów</w:t>
      </w:r>
      <w:r w:rsidR="005B569B" w:rsidRPr="005B569B">
        <w:rPr>
          <w:noProof/>
        </w:rPr>
        <w:t xml:space="preserve"> i kor</w:t>
      </w:r>
      <w:r w:rsidR="00745799" w:rsidRPr="005B569B">
        <w:rPr>
          <w:noProof/>
        </w:rPr>
        <w:t>zyści, ponieważ uznał, że byłoby to wysoce nieproporcjonalne</w:t>
      </w:r>
      <w:r w:rsidR="005B569B" w:rsidRPr="005B569B">
        <w:rPr>
          <w:noProof/>
        </w:rPr>
        <w:t xml:space="preserve"> w sto</w:t>
      </w:r>
      <w:r w:rsidR="00745799" w:rsidRPr="005B569B">
        <w:rPr>
          <w:noProof/>
        </w:rPr>
        <w:t>sunku do bardzo ograniczonego zakresu, niewielkiej liczby</w:t>
      </w:r>
      <w:r w:rsidR="005B569B" w:rsidRPr="005B569B">
        <w:rPr>
          <w:noProof/>
        </w:rPr>
        <w:t xml:space="preserve"> i nie</w:t>
      </w:r>
      <w:r w:rsidR="00745799" w:rsidRPr="005B569B">
        <w:rPr>
          <w:noProof/>
        </w:rPr>
        <w:t>znacznych skutków zmian, jeśli uwzględnić fakt, że zmiany te obejmują jedynie aktualizacje odniesień do dyrektywy 2014/59/UE, dwie nowe pozycje objęte wymogiem zgłaszania oraz pomniejsze zmiany mające na celu usunięcie technicznych przeszkód</w:t>
      </w:r>
      <w:r w:rsidR="005B569B" w:rsidRPr="005B569B">
        <w:rPr>
          <w:noProof/>
        </w:rPr>
        <w:t xml:space="preserve"> w spr</w:t>
      </w:r>
      <w:r w:rsidR="00745799" w:rsidRPr="005B569B">
        <w:rPr>
          <w:noProof/>
        </w:rPr>
        <w:t>awozdawczości. EUNB zwrócił się</w:t>
      </w:r>
      <w:r w:rsidR="005B569B" w:rsidRPr="005B569B">
        <w:rPr>
          <w:noProof/>
        </w:rPr>
        <w:t xml:space="preserve"> o opi</w:t>
      </w:r>
      <w:r w:rsidR="00745799" w:rsidRPr="005B569B">
        <w:rPr>
          <w:noProof/>
        </w:rPr>
        <w:t>nię do Bankowej Grupy Interesariuszy powołanej na podstawie art.</w:t>
      </w:r>
      <w:r w:rsidR="005B569B" w:rsidRPr="005B569B">
        <w:rPr>
          <w:noProof/>
        </w:rPr>
        <w:t> </w:t>
      </w:r>
      <w:r w:rsidR="00745799" w:rsidRPr="005B569B">
        <w:rPr>
          <w:noProof/>
        </w:rPr>
        <w:t>37 rozporządzenia Parlamentu Europejskiego</w:t>
      </w:r>
      <w:r w:rsidR="005B569B" w:rsidRPr="005B569B">
        <w:rPr>
          <w:noProof/>
        </w:rPr>
        <w:t xml:space="preserve"> i Rad</w:t>
      </w:r>
      <w:r w:rsidR="00745799" w:rsidRPr="005B569B">
        <w:rPr>
          <w:noProof/>
        </w:rPr>
        <w:t>y (UE) nr</w:t>
      </w:r>
      <w:r w:rsidR="005B569B" w:rsidRPr="005B569B">
        <w:rPr>
          <w:noProof/>
        </w:rPr>
        <w:t> </w:t>
      </w:r>
      <w:r w:rsidR="00745799" w:rsidRPr="005B569B">
        <w:rPr>
          <w:noProof/>
        </w:rPr>
        <w:t>1093/2010</w:t>
      </w:r>
      <w:r w:rsidR="00745799" w:rsidRPr="005B569B">
        <w:rPr>
          <w:rStyle w:val="FootnoteReference"/>
          <w:noProof/>
        </w:rPr>
        <w:footnoteReference w:id="4"/>
      </w:r>
      <w:r w:rsidR="00745799" w:rsidRPr="005B569B">
        <w:rPr>
          <w:noProof/>
        </w:rPr>
        <w:t>,</w:t>
      </w:r>
    </w:p>
    <w:p w14:paraId="3F0100F6" w14:textId="77777777" w:rsidR="00745799" w:rsidRPr="005B569B" w:rsidRDefault="00745799" w:rsidP="004E1EF9">
      <w:pPr>
        <w:pStyle w:val="Formuledadoption"/>
        <w:rPr>
          <w:noProof/>
        </w:rPr>
      </w:pPr>
      <w:r w:rsidRPr="005B569B">
        <w:rPr>
          <w:noProof/>
        </w:rPr>
        <w:t>PRZYJMUJE NINIEJSZE ROZPORZĄDZENIE:</w:t>
      </w:r>
    </w:p>
    <w:p w14:paraId="248EA0A8" w14:textId="77777777" w:rsidR="00745799" w:rsidRPr="005B569B" w:rsidRDefault="00745799" w:rsidP="004E1EF9">
      <w:pPr>
        <w:pStyle w:val="Titrearticle"/>
        <w:rPr>
          <w:noProof/>
        </w:rPr>
      </w:pPr>
      <w:r w:rsidRPr="005B569B">
        <w:rPr>
          <w:noProof/>
        </w:rPr>
        <w:t>Artykuł 1</w:t>
      </w:r>
    </w:p>
    <w:p w14:paraId="0EB604DB" w14:textId="07D2792D" w:rsidR="00745799" w:rsidRPr="005B569B" w:rsidRDefault="00745799" w:rsidP="004E1EF9">
      <w:pPr>
        <w:rPr>
          <w:noProof/>
        </w:rPr>
      </w:pPr>
      <w:r w:rsidRPr="005B569B">
        <w:rPr>
          <w:noProof/>
        </w:rPr>
        <w:t>W rozporządzeniu wykonawczym (UE) 2018/1624 wprowadza się następujące zmiany:</w:t>
      </w:r>
    </w:p>
    <w:p w14:paraId="6C2E9789" w14:textId="18A975D4" w:rsidR="002E04D0" w:rsidRPr="005B569B" w:rsidRDefault="005B569B" w:rsidP="005B569B">
      <w:pPr>
        <w:pStyle w:val="Point0"/>
        <w:rPr>
          <w:noProof/>
        </w:rPr>
      </w:pPr>
      <w:r w:rsidRPr="005B569B">
        <w:rPr>
          <w:noProof/>
        </w:rPr>
        <w:t>1)</w:t>
      </w:r>
      <w:r w:rsidRPr="005B569B">
        <w:rPr>
          <w:noProof/>
        </w:rPr>
        <w:tab/>
      </w:r>
      <w:r w:rsidR="00745799" w:rsidRPr="005B569B">
        <w:rPr>
          <w:noProof/>
        </w:rPr>
        <w:t>w załączniku I wprowadza się następujące zmiany:</w:t>
      </w:r>
    </w:p>
    <w:p w14:paraId="307F7177" w14:textId="4DB843C3" w:rsidR="00745799" w:rsidRPr="005B569B" w:rsidRDefault="005B569B" w:rsidP="005B569B">
      <w:pPr>
        <w:pStyle w:val="Point0"/>
        <w:rPr>
          <w:noProof/>
        </w:rPr>
      </w:pPr>
      <w:r w:rsidRPr="005B569B">
        <w:rPr>
          <w:noProof/>
        </w:rPr>
        <w:t>a)</w:t>
      </w:r>
      <w:r w:rsidRPr="005B569B">
        <w:rPr>
          <w:noProof/>
        </w:rPr>
        <w:tab/>
      </w:r>
      <w:r w:rsidR="002E04D0" w:rsidRPr="005B569B">
        <w:rPr>
          <w:noProof/>
        </w:rPr>
        <w:t>szablon Z 02.00 zastępuje się szablonem Z 02.00 znajdującym się</w:t>
      </w:r>
      <w:r w:rsidRPr="005B569B">
        <w:rPr>
          <w:noProof/>
        </w:rPr>
        <w:t xml:space="preserve"> w zał</w:t>
      </w:r>
      <w:r w:rsidR="002E04D0" w:rsidRPr="005B569B">
        <w:rPr>
          <w:noProof/>
        </w:rPr>
        <w:t>ączniku I do niniejszego rozporządzenia;</w:t>
      </w:r>
    </w:p>
    <w:p w14:paraId="2AC11875" w14:textId="56DB3582" w:rsidR="002E04D0" w:rsidRPr="005B569B" w:rsidRDefault="005B569B" w:rsidP="005B569B">
      <w:pPr>
        <w:pStyle w:val="Point0"/>
        <w:rPr>
          <w:noProof/>
        </w:rPr>
      </w:pPr>
      <w:r w:rsidRPr="005B569B">
        <w:rPr>
          <w:noProof/>
        </w:rPr>
        <w:t>b)</w:t>
      </w:r>
      <w:r w:rsidRPr="005B569B">
        <w:rPr>
          <w:noProof/>
        </w:rPr>
        <w:tab/>
      </w:r>
      <w:r w:rsidR="002E04D0" w:rsidRPr="005B569B">
        <w:rPr>
          <w:noProof/>
        </w:rPr>
        <w:t>szablon Z 03.00 zastępuje się szablonem Z 03.00 znajdującym się</w:t>
      </w:r>
      <w:r w:rsidRPr="005B569B">
        <w:rPr>
          <w:noProof/>
        </w:rPr>
        <w:t xml:space="preserve"> w zał</w:t>
      </w:r>
      <w:r w:rsidR="002E04D0" w:rsidRPr="005B569B">
        <w:rPr>
          <w:noProof/>
        </w:rPr>
        <w:t>ączniku I do niniejszego rozporządzenia;</w:t>
      </w:r>
    </w:p>
    <w:p w14:paraId="60F6BC37" w14:textId="079BED25" w:rsidR="00745799" w:rsidRPr="005B569B" w:rsidRDefault="005B569B" w:rsidP="005B569B">
      <w:pPr>
        <w:pStyle w:val="Point0"/>
        <w:rPr>
          <w:noProof/>
        </w:rPr>
      </w:pPr>
      <w:r w:rsidRPr="005B569B">
        <w:rPr>
          <w:noProof/>
        </w:rPr>
        <w:t>2)</w:t>
      </w:r>
      <w:r w:rsidRPr="005B569B">
        <w:rPr>
          <w:noProof/>
        </w:rPr>
        <w:tab/>
      </w:r>
      <w:r w:rsidR="00090F84" w:rsidRPr="005B569B">
        <w:rPr>
          <w:noProof/>
        </w:rPr>
        <w:t>załącznik II zastępuje się tekstem znajdującym się</w:t>
      </w:r>
      <w:r w:rsidRPr="005B569B">
        <w:rPr>
          <w:noProof/>
        </w:rPr>
        <w:t xml:space="preserve"> w zał</w:t>
      </w:r>
      <w:r w:rsidR="00090F84" w:rsidRPr="005B569B">
        <w:rPr>
          <w:noProof/>
        </w:rPr>
        <w:t xml:space="preserve">ączniku II do niniejszego rozporządzenia. </w:t>
      </w:r>
    </w:p>
    <w:p w14:paraId="77E50565" w14:textId="37F839DE" w:rsidR="00745799" w:rsidRPr="005B569B" w:rsidRDefault="00745799" w:rsidP="004E1EF9">
      <w:pPr>
        <w:pStyle w:val="Titrearticle"/>
        <w:rPr>
          <w:noProof/>
          <w:color w:val="000000" w:themeColor="text1"/>
        </w:rPr>
      </w:pPr>
      <w:r w:rsidRPr="005B569B">
        <w:rPr>
          <w:noProof/>
        </w:rPr>
        <w:t>Artykuł 2</w:t>
      </w:r>
    </w:p>
    <w:p w14:paraId="280CEA9B" w14:textId="5428BBF1" w:rsidR="00745799" w:rsidRPr="005B569B" w:rsidRDefault="00745799" w:rsidP="004E1EF9">
      <w:pPr>
        <w:rPr>
          <w:noProof/>
        </w:rPr>
      </w:pPr>
      <w:r w:rsidRPr="005B569B">
        <w:rPr>
          <w:noProof/>
        </w:rPr>
        <w:t>Niniejsze rozporządzenie wchodzi</w:t>
      </w:r>
      <w:r w:rsidR="005B569B" w:rsidRPr="005B569B">
        <w:rPr>
          <w:noProof/>
        </w:rPr>
        <w:t xml:space="preserve"> w życ</w:t>
      </w:r>
      <w:r w:rsidRPr="005B569B">
        <w:rPr>
          <w:noProof/>
        </w:rPr>
        <w:t>ie dwudziestego dnia po jego opublikowaniu</w:t>
      </w:r>
      <w:r w:rsidR="005B569B" w:rsidRPr="005B569B">
        <w:rPr>
          <w:noProof/>
        </w:rPr>
        <w:t xml:space="preserve"> w </w:t>
      </w:r>
      <w:r w:rsidR="005B569B" w:rsidRPr="005B569B">
        <w:rPr>
          <w:i/>
          <w:iCs/>
          <w:noProof/>
        </w:rPr>
        <w:t>Dzi</w:t>
      </w:r>
      <w:r w:rsidRPr="005B569B">
        <w:rPr>
          <w:i/>
          <w:iCs/>
          <w:noProof/>
        </w:rPr>
        <w:t>enniku Urzędowym Unii Europejskiej</w:t>
      </w:r>
      <w:r w:rsidRPr="005B569B">
        <w:rPr>
          <w:noProof/>
        </w:rPr>
        <w:t>.</w:t>
      </w:r>
    </w:p>
    <w:p w14:paraId="5ED2B21A" w14:textId="3D72B7C1" w:rsidR="00745799" w:rsidRPr="005B569B" w:rsidRDefault="00745799" w:rsidP="004E1EF9">
      <w:pPr>
        <w:pStyle w:val="Applicationdirecte"/>
        <w:rPr>
          <w:noProof/>
        </w:rPr>
      </w:pPr>
      <w:r w:rsidRPr="005B569B">
        <w:rPr>
          <w:noProof/>
        </w:rPr>
        <w:t>Niniejsze rozporządzenie wiąże</w:t>
      </w:r>
      <w:r w:rsidR="005B569B" w:rsidRPr="005B569B">
        <w:rPr>
          <w:noProof/>
        </w:rPr>
        <w:t xml:space="preserve"> w cał</w:t>
      </w:r>
      <w:r w:rsidRPr="005B569B">
        <w:rPr>
          <w:noProof/>
        </w:rPr>
        <w:t>ości</w:t>
      </w:r>
      <w:r w:rsidR="005B569B" w:rsidRPr="005B569B">
        <w:rPr>
          <w:noProof/>
        </w:rPr>
        <w:t xml:space="preserve"> i jes</w:t>
      </w:r>
      <w:r w:rsidRPr="005B569B">
        <w:rPr>
          <w:noProof/>
        </w:rPr>
        <w:t>t bezpośrednio stosowane we wszystkich państwach członkowskich.</w:t>
      </w:r>
    </w:p>
    <w:p w14:paraId="3D8C8E1A" w14:textId="5826CC8F" w:rsidR="00745799" w:rsidRPr="005B569B" w:rsidRDefault="008E2CE5" w:rsidP="00F0169B">
      <w:pPr>
        <w:pStyle w:val="Fait"/>
        <w:rPr>
          <w:noProof/>
        </w:rPr>
      </w:pPr>
      <w:r w:rsidRPr="008E2CE5">
        <w:t>Sporządzono w Brukseli dnia 3.3.2022 r.</w:t>
      </w:r>
    </w:p>
    <w:p w14:paraId="54345AFA" w14:textId="77777777" w:rsidR="00745799" w:rsidRPr="005B569B" w:rsidRDefault="00745799" w:rsidP="00F0169B">
      <w:pPr>
        <w:pStyle w:val="Institutionquisigne"/>
        <w:rPr>
          <w:noProof/>
        </w:rPr>
      </w:pPr>
      <w:r w:rsidRPr="005B569B">
        <w:rPr>
          <w:noProof/>
        </w:rPr>
        <w:tab/>
        <w:t>W imieniu Komisji</w:t>
      </w:r>
    </w:p>
    <w:p w14:paraId="77E16C5B" w14:textId="62422F1D" w:rsidR="008A5816" w:rsidRPr="005B569B" w:rsidRDefault="006B6347" w:rsidP="00F0169B">
      <w:pPr>
        <w:pStyle w:val="Personnequisigne"/>
        <w:keepNext/>
        <w:rPr>
          <w:noProof/>
        </w:rPr>
      </w:pPr>
      <w:r>
        <w:tab/>
        <w:t>Przewodnicząca</w:t>
      </w:r>
      <w:r>
        <w:br/>
      </w:r>
      <w:r>
        <w:tab/>
        <w:t>Ursula VON DER LEYEN</w:t>
      </w:r>
    </w:p>
    <w:p w14:paraId="7793195C" w14:textId="3B210143" w:rsidR="00745799" w:rsidRPr="005B569B" w:rsidRDefault="00745799" w:rsidP="00745799">
      <w:pPr>
        <w:pStyle w:val="Personnequisigne"/>
        <w:rPr>
          <w:noProof/>
        </w:rPr>
      </w:pPr>
    </w:p>
    <w:sectPr w:rsidR="00745799" w:rsidRPr="005B569B" w:rsidSect="005832E5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1B7EA" w16cex:dateUtc="2021-12-01T07:59:00Z"/>
  <w16cex:commentExtensible w16cex:durableId="2551B819" w16cex:dateUtc="2021-12-01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4D896F" w16cid:durableId="2551B77F"/>
  <w16cid:commentId w16cid:paraId="1D538397" w16cid:durableId="2551B7EA"/>
  <w16cid:commentId w16cid:paraId="70775A79" w16cid:durableId="2551B780"/>
  <w16cid:commentId w16cid:paraId="639A1800" w16cid:durableId="2551B8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C5EFD" w14:textId="77777777" w:rsidR="00745799" w:rsidRPr="005B569B" w:rsidRDefault="00745799" w:rsidP="00745799">
      <w:pPr>
        <w:spacing w:before="0" w:after="0"/>
      </w:pPr>
      <w:r w:rsidRPr="005B569B">
        <w:separator/>
      </w:r>
    </w:p>
  </w:endnote>
  <w:endnote w:type="continuationSeparator" w:id="0">
    <w:p w14:paraId="675C0AA5" w14:textId="77777777" w:rsidR="00745799" w:rsidRPr="005B569B" w:rsidRDefault="00745799" w:rsidP="00745799">
      <w:pPr>
        <w:spacing w:before="0" w:after="0"/>
      </w:pPr>
      <w:r w:rsidRPr="005B569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9F8A87" w14:textId="3E009B8D" w:rsidR="009729DD" w:rsidRPr="005832E5" w:rsidRDefault="005832E5" w:rsidP="005832E5">
    <w:pPr>
      <w:pStyle w:val="Footer"/>
      <w:rPr>
        <w:rFonts w:ascii="Arial" w:hAnsi="Arial" w:cs="Arial"/>
        <w:b/>
        <w:sz w:val="48"/>
      </w:rPr>
    </w:pPr>
    <w:r w:rsidRPr="005832E5">
      <w:rPr>
        <w:rFonts w:ascii="Arial" w:hAnsi="Arial" w:cs="Arial"/>
        <w:b/>
        <w:sz w:val="48"/>
      </w:rPr>
      <w:t>PL</w:t>
    </w:r>
    <w:r w:rsidRPr="005832E5">
      <w:rPr>
        <w:rFonts w:ascii="Arial" w:hAnsi="Arial" w:cs="Arial"/>
        <w:b/>
        <w:sz w:val="48"/>
      </w:rPr>
      <w:tab/>
    </w:r>
    <w:r w:rsidRPr="005832E5">
      <w:rPr>
        <w:rFonts w:ascii="Arial" w:hAnsi="Arial" w:cs="Arial"/>
        <w:b/>
        <w:sz w:val="48"/>
      </w:rPr>
      <w:tab/>
    </w:r>
    <w:r w:rsidRPr="005832E5">
      <w:tab/>
    </w:r>
    <w:r w:rsidRPr="005832E5">
      <w:rPr>
        <w:rFonts w:ascii="Arial" w:hAnsi="Arial" w:cs="Arial"/>
        <w:b/>
        <w:sz w:val="48"/>
      </w:rPr>
      <w:t>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4D748D" w14:textId="0C63FF0C" w:rsidR="005832E5" w:rsidRPr="005832E5" w:rsidRDefault="005832E5" w:rsidP="005832E5">
    <w:pPr>
      <w:pStyle w:val="Footer"/>
      <w:rPr>
        <w:rFonts w:ascii="Arial" w:hAnsi="Arial" w:cs="Arial"/>
        <w:b/>
        <w:sz w:val="48"/>
      </w:rPr>
    </w:pPr>
    <w:r w:rsidRPr="005832E5">
      <w:rPr>
        <w:rFonts w:ascii="Arial" w:hAnsi="Arial" w:cs="Arial"/>
        <w:b/>
        <w:sz w:val="48"/>
      </w:rPr>
      <w:t>PL</w:t>
    </w:r>
    <w:r w:rsidRPr="005832E5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8112B0">
      <w:rPr>
        <w:noProof/>
      </w:rPr>
      <w:t>2</w:t>
    </w:r>
    <w:r>
      <w:fldChar w:fldCharType="end"/>
    </w:r>
    <w:r>
      <w:tab/>
    </w:r>
    <w:r w:rsidRPr="005832E5">
      <w:tab/>
    </w:r>
    <w:r w:rsidRPr="005832E5">
      <w:rPr>
        <w:rFonts w:ascii="Arial" w:hAnsi="Arial" w:cs="Arial"/>
        <w:b/>
        <w:sz w:val="48"/>
      </w:rPr>
      <w:t>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1ABB4F" w14:textId="77777777" w:rsidR="005832E5" w:rsidRPr="005832E5" w:rsidRDefault="005832E5" w:rsidP="005832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6848F" w14:textId="77777777" w:rsidR="00745799" w:rsidRPr="005B569B" w:rsidRDefault="00745799" w:rsidP="00745799">
      <w:pPr>
        <w:spacing w:before="0" w:after="0"/>
      </w:pPr>
      <w:r w:rsidRPr="005B569B">
        <w:separator/>
      </w:r>
    </w:p>
  </w:footnote>
  <w:footnote w:type="continuationSeparator" w:id="0">
    <w:p w14:paraId="3876E97E" w14:textId="77777777" w:rsidR="00745799" w:rsidRPr="005B569B" w:rsidRDefault="00745799" w:rsidP="00745799">
      <w:pPr>
        <w:spacing w:before="0" w:after="0"/>
      </w:pPr>
      <w:r w:rsidRPr="005B569B">
        <w:continuationSeparator/>
      </w:r>
    </w:p>
  </w:footnote>
  <w:footnote w:id="1">
    <w:p w14:paraId="052E750F" w14:textId="7121ED01" w:rsidR="00745799" w:rsidRPr="005B569B" w:rsidRDefault="00745799" w:rsidP="00745799">
      <w:pPr>
        <w:pStyle w:val="FootnoteText"/>
      </w:pPr>
      <w:r w:rsidRPr="005B569B">
        <w:rPr>
          <w:rStyle w:val="FootnoteReference"/>
        </w:rPr>
        <w:footnoteRef/>
      </w:r>
      <w:r w:rsidRPr="005B569B">
        <w:tab/>
        <w:t>Dz.U. L 173</w:t>
      </w:r>
      <w:r w:rsidR="005B569B" w:rsidRPr="005B569B">
        <w:t xml:space="preserve"> z 1</w:t>
      </w:r>
      <w:r w:rsidRPr="005B569B">
        <w:t>2.6.2014, s. 190.</w:t>
      </w:r>
    </w:p>
  </w:footnote>
  <w:footnote w:id="2">
    <w:p w14:paraId="7F45B5AC" w14:textId="54E1CFFF" w:rsidR="005F79AB" w:rsidRPr="005B569B" w:rsidRDefault="005F79AB" w:rsidP="005F79AB">
      <w:pPr>
        <w:pStyle w:val="FootnoteText"/>
      </w:pPr>
      <w:r w:rsidRPr="005B569B">
        <w:rPr>
          <w:rStyle w:val="FootnoteReference"/>
        </w:rPr>
        <w:footnoteRef/>
      </w:r>
      <w:r w:rsidRPr="005B569B">
        <w:tab/>
        <w:t>Dyrektywa Parlamentu Europejskiego</w:t>
      </w:r>
      <w:r w:rsidR="005B569B" w:rsidRPr="005B569B">
        <w:t xml:space="preserve"> i Rad</w:t>
      </w:r>
      <w:r w:rsidRPr="005B569B">
        <w:t>y (UE) 2019/879</w:t>
      </w:r>
      <w:r w:rsidR="005B569B" w:rsidRPr="005B569B">
        <w:t xml:space="preserve"> z dni</w:t>
      </w:r>
      <w:r w:rsidRPr="005B569B">
        <w:t>a 20 maja 2019 r. zmieniająca dyrektywę 2014/59/UE</w:t>
      </w:r>
      <w:r w:rsidR="005B569B" w:rsidRPr="005B569B">
        <w:t xml:space="preserve"> w odn</w:t>
      </w:r>
      <w:r w:rsidRPr="005B569B">
        <w:t>iesieniu do zdolności do pokrycia strat</w:t>
      </w:r>
      <w:r w:rsidR="005B569B" w:rsidRPr="005B569B">
        <w:t xml:space="preserve"> i dok</w:t>
      </w:r>
      <w:r w:rsidRPr="005B569B">
        <w:t>apitalizowania instytucji kredytowych</w:t>
      </w:r>
      <w:r w:rsidR="005B569B" w:rsidRPr="005B569B">
        <w:t xml:space="preserve"> i fir</w:t>
      </w:r>
      <w:r w:rsidRPr="005B569B">
        <w:t>m inwestycyjnych oraz dyrektywę 98/26/WE (Dz.U. L 150</w:t>
      </w:r>
      <w:r w:rsidR="005B569B" w:rsidRPr="005B569B">
        <w:t xml:space="preserve"> z 7</w:t>
      </w:r>
      <w:r w:rsidRPr="005B569B">
        <w:t>.6.2019, s. 296).</w:t>
      </w:r>
    </w:p>
  </w:footnote>
  <w:footnote w:id="3">
    <w:p w14:paraId="509F65CC" w14:textId="70757636" w:rsidR="005F79AB" w:rsidRPr="005B569B" w:rsidRDefault="005F79AB">
      <w:pPr>
        <w:pStyle w:val="FootnoteText"/>
      </w:pPr>
      <w:r w:rsidRPr="005B569B">
        <w:rPr>
          <w:rStyle w:val="FootnoteReference"/>
        </w:rPr>
        <w:footnoteRef/>
      </w:r>
      <w:r w:rsidRPr="005B569B">
        <w:tab/>
        <w:t>Rozporządzenie wykonawcze Komisji (UE) 2018/1624</w:t>
      </w:r>
      <w:r w:rsidR="005B569B" w:rsidRPr="005B569B">
        <w:t xml:space="preserve"> z dni</w:t>
      </w:r>
      <w:r w:rsidRPr="005B569B">
        <w:t>a 23 października 2018 r. ustanawiające wykonawcze standardy techniczne</w:t>
      </w:r>
      <w:r w:rsidR="005B569B" w:rsidRPr="005B569B">
        <w:t xml:space="preserve"> w odn</w:t>
      </w:r>
      <w:r w:rsidRPr="005B569B">
        <w:t>iesieniu do procedur</w:t>
      </w:r>
      <w:r w:rsidR="005B569B" w:rsidRPr="005B569B">
        <w:t xml:space="preserve"> i sta</w:t>
      </w:r>
      <w:r w:rsidRPr="005B569B">
        <w:t>ndardowych formularzy</w:t>
      </w:r>
      <w:r w:rsidR="005B569B" w:rsidRPr="005B569B">
        <w:t xml:space="preserve"> i sza</w:t>
      </w:r>
      <w:r w:rsidRPr="005B569B">
        <w:t>blonów stosowanych do przekazywania informacji do celów sporządzenia planów restrukturyzacji</w:t>
      </w:r>
      <w:r w:rsidR="005B569B" w:rsidRPr="005B569B">
        <w:t xml:space="preserve"> i upo</w:t>
      </w:r>
      <w:r w:rsidRPr="005B569B">
        <w:t>rządkowanej likwidacji</w:t>
      </w:r>
      <w:r w:rsidR="005B569B" w:rsidRPr="005B569B">
        <w:t xml:space="preserve"> w odn</w:t>
      </w:r>
      <w:r w:rsidRPr="005B569B">
        <w:t>iesieniu do instytucji kredytowych</w:t>
      </w:r>
      <w:r w:rsidR="005B569B" w:rsidRPr="005B569B">
        <w:t xml:space="preserve"> i fir</w:t>
      </w:r>
      <w:r w:rsidRPr="005B569B">
        <w:t>m inwestycyjnych zgodnie</w:t>
      </w:r>
      <w:r w:rsidR="005B569B" w:rsidRPr="005B569B">
        <w:t xml:space="preserve"> z dyr</w:t>
      </w:r>
      <w:r w:rsidRPr="005B569B">
        <w:t>ektywą Parlamentu Europejskiego</w:t>
      </w:r>
      <w:r w:rsidR="005B569B" w:rsidRPr="005B569B">
        <w:t xml:space="preserve"> i Rad</w:t>
      </w:r>
      <w:r w:rsidRPr="005B569B">
        <w:t>y 2014/59/UE oraz uchylające rozporządzenie wykonawcze Komisji (UE) 2016/1066 (Dz.U. L 277</w:t>
      </w:r>
      <w:r w:rsidR="005B569B" w:rsidRPr="005B569B">
        <w:t xml:space="preserve"> z 7</w:t>
      </w:r>
      <w:r w:rsidRPr="005B569B">
        <w:t>.11.2018, s. 1).</w:t>
      </w:r>
    </w:p>
  </w:footnote>
  <w:footnote w:id="4">
    <w:p w14:paraId="3537746E" w14:textId="31E718D7" w:rsidR="00745799" w:rsidRPr="005B569B" w:rsidRDefault="00745799" w:rsidP="00745799">
      <w:pPr>
        <w:pStyle w:val="FootnoteText"/>
      </w:pPr>
      <w:r w:rsidRPr="005B569B">
        <w:rPr>
          <w:rStyle w:val="FootnoteReference"/>
        </w:rPr>
        <w:footnoteRef/>
      </w:r>
      <w:r w:rsidRPr="005B569B">
        <w:tab/>
        <w:t>Rozporządzenie Parlamentu Europejskiego</w:t>
      </w:r>
      <w:r w:rsidR="005B569B" w:rsidRPr="005B569B">
        <w:t xml:space="preserve"> i Rad</w:t>
      </w:r>
      <w:r w:rsidRPr="005B569B">
        <w:t>y (UE) nr 1093/2010</w:t>
      </w:r>
      <w:r w:rsidR="005B569B" w:rsidRPr="005B569B">
        <w:t xml:space="preserve"> z dni</w:t>
      </w:r>
      <w:r w:rsidRPr="005B569B">
        <w:t>a 24 listopada 2010 r.</w:t>
      </w:r>
      <w:r w:rsidR="005B569B" w:rsidRPr="005B569B">
        <w:t xml:space="preserve"> w spr</w:t>
      </w:r>
      <w:r w:rsidRPr="005B569B">
        <w:t>awie ustanowienia Europejskiego Urzędu Nadzoru (Europejskiego Urzędu Nadzoru Bankowego), zmiany decyzji nr 716/2009/WE oraz uchylenia decyzji Komisji 2009/78/WE (Dz.U. L 331</w:t>
      </w:r>
      <w:r w:rsidR="005B569B" w:rsidRPr="005B569B">
        <w:t xml:space="preserve"> z 1</w:t>
      </w:r>
      <w:r w:rsidRPr="005B569B">
        <w:t>5.12.2010, s. 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793EC60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37E92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F841B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5D4AE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8E67F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9E0958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77C7B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698D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2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 w:numId="25">
    <w:abstractNumId w:val="19"/>
  </w:num>
  <w:num w:numId="26">
    <w:abstractNumId w:val="12"/>
  </w:num>
  <w:num w:numId="27">
    <w:abstractNumId w:val="21"/>
  </w:num>
  <w:num w:numId="28">
    <w:abstractNumId w:val="11"/>
  </w:num>
  <w:num w:numId="29">
    <w:abstractNumId w:val="13"/>
  </w:num>
  <w:num w:numId="30">
    <w:abstractNumId w:val="9"/>
  </w:num>
  <w:num w:numId="31">
    <w:abstractNumId w:val="20"/>
  </w:num>
  <w:num w:numId="32">
    <w:abstractNumId w:val="8"/>
  </w:num>
  <w:num w:numId="33">
    <w:abstractNumId w:val="15"/>
  </w:num>
  <w:num w:numId="34">
    <w:abstractNumId w:val="17"/>
  </w:num>
  <w:num w:numId="35">
    <w:abstractNumId w:val="18"/>
  </w:num>
  <w:num w:numId="36">
    <w:abstractNumId w:val="10"/>
  </w:num>
  <w:num w:numId="37">
    <w:abstractNumId w:val="16"/>
  </w:num>
  <w:num w:numId="38">
    <w:abstractNumId w:val="22"/>
  </w:num>
  <w:num w:numId="39">
    <w:abstractNumId w:val="20"/>
  </w:num>
  <w:num w:numId="40">
    <w:abstractNumId w:val="20"/>
  </w:num>
  <w:num w:numId="41">
    <w:abstractNumId w:val="20"/>
  </w:num>
  <w:num w:numId="42">
    <w:abstractNumId w:val="14"/>
  </w:num>
  <w:num w:numId="43">
    <w:abstractNumId w:val="9"/>
  </w:num>
  <w:num w:numId="44">
    <w:abstractNumId w:val="9"/>
  </w:num>
  <w:num w:numId="45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0"/>
  <w:doNotDisplayPageBoundaries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en-US" w:vendorID="64" w:dllVersion="131078" w:nlCheck="1" w:checkStyle="1"/>
  <w:attachedTemplate r:id="rId1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02-22 12:46:17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0A10D416-F98C-4944-BC70-3F38F764363E"/>
    <w:docVar w:name="LW_COVERPAGE_TYPE" w:val="1"/>
    <w:docVar w:name="LW_CROSSREFERENCE" w:val="&lt;UNUSED&gt;"/>
    <w:docVar w:name="LW_DATE.ADOPT.CP" w:val="z dnia 3.3.2022 r."/>
    <w:docVar w:name="LW_DATE.ADOPT.CP_DATEFORMAT" w:val="z dnia %DATE% r."/>
    <w:docVar w:name="LW_DATE.ADOPT.CP_ISODATE" w:val="2022-03-03"/>
    <w:docVar w:name="LW_DocType" w:val="COM"/>
    <w:docVar w:name="LW_EMISSION" w:val="3.3.2022"/>
    <w:docVar w:name="LW_EMISSION_ISODATE" w:val="2022-03-03"/>
    <w:docVar w:name="LW_EMISSION_LOCATION" w:val="BRX"/>
    <w:docVar w:name="LW_EMISSION_PREFIX" w:val="Bruksela, dnia "/>
    <w:docVar w:name="LW_EMISSION_SUFFIX" w:val=" r.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kst mający znaczenie dla EOG)"/>
    <w:docVar w:name="LW_LANGUE" w:val="PL"/>
    <w:docVar w:name="LW_LANGUESFAISANTFOI.CP" w:val="&lt;UNUSED&gt;"/>
    <w:docVar w:name="LW_LEVEL_OF_SENSITIVITY" w:val="Standard treatment"/>
    <w:docVar w:name="LW_NOM.INST" w:val="KOMISJA EUROPEJSK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1227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zmieniające rozporządzenie wykonawcze (UE) 2018/1624 ustanawiające wykonawcze standardy techniczne w odniesieniu do procedur i standardowych formularzy i szablonów stosowanych do przekazywania informacji do celów sporządzenia planów restrukturyzacji i uporządkowanej likwidacji w odniesieniu do instytucji kredytowych i firm inwestycyjnych zgodnie z dyrektywą Parlamentu Europejskiego i Rady 2014/59/UE _x000b_"/>
    <w:docVar w:name="LW_TYPE.DOC.CP" w:val="ROZPORZĄDZENIE WYKONAWCZE KOMISJI (UE) …/…"/>
    <w:docVar w:name="LwApiVersions" w:val="LW4CoDe 1.23.2.0; LW 8.0, Build 20211117"/>
  </w:docVars>
  <w:rsids>
    <w:rsidRoot w:val="00745799"/>
    <w:rsid w:val="00002B9E"/>
    <w:rsid w:val="00030008"/>
    <w:rsid w:val="00077B5D"/>
    <w:rsid w:val="00090F84"/>
    <w:rsid w:val="00096F1E"/>
    <w:rsid w:val="000A5309"/>
    <w:rsid w:val="000A7517"/>
    <w:rsid w:val="000E198E"/>
    <w:rsid w:val="000E5A8D"/>
    <w:rsid w:val="000F0ADA"/>
    <w:rsid w:val="00123B47"/>
    <w:rsid w:val="001838A3"/>
    <w:rsid w:val="001C2816"/>
    <w:rsid w:val="001D72C1"/>
    <w:rsid w:val="00213F5B"/>
    <w:rsid w:val="00232E98"/>
    <w:rsid w:val="002529F8"/>
    <w:rsid w:val="00283253"/>
    <w:rsid w:val="002E04D0"/>
    <w:rsid w:val="003053DC"/>
    <w:rsid w:val="00313976"/>
    <w:rsid w:val="003151E2"/>
    <w:rsid w:val="00333B7B"/>
    <w:rsid w:val="003D725F"/>
    <w:rsid w:val="003E38EA"/>
    <w:rsid w:val="00426704"/>
    <w:rsid w:val="004779A4"/>
    <w:rsid w:val="004B08D1"/>
    <w:rsid w:val="004F579B"/>
    <w:rsid w:val="00511345"/>
    <w:rsid w:val="00575140"/>
    <w:rsid w:val="005832E5"/>
    <w:rsid w:val="005B1217"/>
    <w:rsid w:val="005B569B"/>
    <w:rsid w:val="005D60E3"/>
    <w:rsid w:val="005F79AB"/>
    <w:rsid w:val="00603FDC"/>
    <w:rsid w:val="00672CEE"/>
    <w:rsid w:val="006812BE"/>
    <w:rsid w:val="006944A9"/>
    <w:rsid w:val="006B3BDB"/>
    <w:rsid w:val="006B6347"/>
    <w:rsid w:val="006D5B8E"/>
    <w:rsid w:val="0070128F"/>
    <w:rsid w:val="007170E9"/>
    <w:rsid w:val="00745799"/>
    <w:rsid w:val="00753C08"/>
    <w:rsid w:val="0076684E"/>
    <w:rsid w:val="007C06F6"/>
    <w:rsid w:val="007E3268"/>
    <w:rsid w:val="007F3383"/>
    <w:rsid w:val="008112B0"/>
    <w:rsid w:val="00813DCB"/>
    <w:rsid w:val="008651AE"/>
    <w:rsid w:val="008A5816"/>
    <w:rsid w:val="008B152E"/>
    <w:rsid w:val="008E2CE5"/>
    <w:rsid w:val="008F621A"/>
    <w:rsid w:val="00911DBE"/>
    <w:rsid w:val="009202AA"/>
    <w:rsid w:val="00945758"/>
    <w:rsid w:val="009729DD"/>
    <w:rsid w:val="00986B33"/>
    <w:rsid w:val="00987AD5"/>
    <w:rsid w:val="009B7138"/>
    <w:rsid w:val="009C3971"/>
    <w:rsid w:val="00B50D13"/>
    <w:rsid w:val="00B50EB1"/>
    <w:rsid w:val="00B63485"/>
    <w:rsid w:val="00B85498"/>
    <w:rsid w:val="00BE246D"/>
    <w:rsid w:val="00BF17AA"/>
    <w:rsid w:val="00BF5167"/>
    <w:rsid w:val="00C24556"/>
    <w:rsid w:val="00C52AC5"/>
    <w:rsid w:val="00CA6AAF"/>
    <w:rsid w:val="00CF38DF"/>
    <w:rsid w:val="00D3645D"/>
    <w:rsid w:val="00D4394C"/>
    <w:rsid w:val="00DD2B07"/>
    <w:rsid w:val="00DF7421"/>
    <w:rsid w:val="00E578DB"/>
    <w:rsid w:val="00F0169B"/>
    <w:rsid w:val="00F20062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832BA40"/>
  <w15:docId w15:val="{AB47458E-1441-4473-9270-EF532192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pl-PL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4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4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4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41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4779A4"/>
    <w:pPr>
      <w:keepNext/>
      <w:numPr>
        <w:ilvl w:val="4"/>
        <w:numId w:val="41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4779A4"/>
    <w:pPr>
      <w:keepNext/>
      <w:numPr>
        <w:ilvl w:val="5"/>
        <w:numId w:val="41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4779A4"/>
    <w:pPr>
      <w:keepNext/>
      <w:numPr>
        <w:ilvl w:val="6"/>
        <w:numId w:val="41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3151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151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151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151E2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8325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83253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283253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3253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3253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3253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3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9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971"/>
    <w:rPr>
      <w:rFonts w:ascii="Times New Roman" w:hAnsi="Times New Roman" w:cs="Times New Roman"/>
      <w:sz w:val="20"/>
      <w:szCs w:val="20"/>
      <w:lang w:val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9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971"/>
    <w:rPr>
      <w:rFonts w:ascii="Times New Roman" w:hAnsi="Times New Roman" w:cs="Times New Roman"/>
      <w:b/>
      <w:bCs/>
      <w:sz w:val="20"/>
      <w:szCs w:val="20"/>
      <w:lang w:val="pl-PL"/>
    </w:rPr>
  </w:style>
  <w:style w:type="character" w:styleId="Hyperlink">
    <w:name w:val="Hyperlink"/>
    <w:basedOn w:val="DefaultParagraphFont"/>
    <w:uiPriority w:val="99"/>
    <w:unhideWhenUsed/>
    <w:rsid w:val="009C397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9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9A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AB"/>
    <w:rPr>
      <w:rFonts w:ascii="Segoe UI" w:hAnsi="Segoe UI" w:cs="Segoe UI"/>
      <w:sz w:val="18"/>
      <w:szCs w:val="18"/>
      <w:lang w:val="pl-PL"/>
    </w:rPr>
  </w:style>
  <w:style w:type="paragraph" w:styleId="Revision">
    <w:name w:val="Revision"/>
    <w:hidden/>
    <w:uiPriority w:val="99"/>
    <w:semiHidden/>
    <w:rsid w:val="00090F8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2670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832E5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5832E5"/>
    <w:rPr>
      <w:rFonts w:ascii="Times New Roman" w:hAnsi="Times New Roman" w:cs="Times New Roman"/>
      <w:sz w:val="24"/>
      <w:lang w:val="pl-PL"/>
    </w:rPr>
  </w:style>
  <w:style w:type="paragraph" w:styleId="Footer">
    <w:name w:val="footer"/>
    <w:basedOn w:val="Normal"/>
    <w:link w:val="FooterChar"/>
    <w:uiPriority w:val="99"/>
    <w:unhideWhenUsed/>
    <w:rsid w:val="005832E5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5832E5"/>
    <w:rPr>
      <w:rFonts w:ascii="Times New Roman" w:hAnsi="Times New Roman" w:cs="Times New Roman"/>
      <w:sz w:val="24"/>
      <w:lang w:val="pl-P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5832E5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5832E5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5832E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5832E5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5832E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25"/>
      </w:numPr>
    </w:pPr>
  </w:style>
  <w:style w:type="paragraph" w:customStyle="1" w:styleId="Tiret1">
    <w:name w:val="Tiret 1"/>
    <w:basedOn w:val="Point1"/>
    <w:rsid w:val="009B7138"/>
    <w:pPr>
      <w:numPr>
        <w:numId w:val="26"/>
      </w:numPr>
    </w:pPr>
  </w:style>
  <w:style w:type="paragraph" w:customStyle="1" w:styleId="Tiret2">
    <w:name w:val="Tiret 2"/>
    <w:basedOn w:val="Point2"/>
    <w:rsid w:val="009B7138"/>
    <w:pPr>
      <w:numPr>
        <w:numId w:val="27"/>
      </w:numPr>
    </w:pPr>
  </w:style>
  <w:style w:type="paragraph" w:customStyle="1" w:styleId="Tiret3">
    <w:name w:val="Tiret 3"/>
    <w:basedOn w:val="Point3"/>
    <w:rsid w:val="009B7138"/>
    <w:pPr>
      <w:numPr>
        <w:numId w:val="28"/>
      </w:numPr>
    </w:pPr>
  </w:style>
  <w:style w:type="paragraph" w:customStyle="1" w:styleId="Tiret4">
    <w:name w:val="Tiret 4"/>
    <w:basedOn w:val="Point4"/>
    <w:rsid w:val="009B7138"/>
    <w:pPr>
      <w:numPr>
        <w:numId w:val="29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45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45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45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45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5D60E3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2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9B7138"/>
    <w:pPr>
      <w:numPr>
        <w:numId w:val="33"/>
      </w:numPr>
    </w:pPr>
  </w:style>
  <w:style w:type="paragraph" w:customStyle="1" w:styleId="Bullet1">
    <w:name w:val="Bullet 1"/>
    <w:basedOn w:val="Normal"/>
    <w:rsid w:val="009B7138"/>
    <w:pPr>
      <w:numPr>
        <w:numId w:val="34"/>
      </w:numPr>
    </w:pPr>
  </w:style>
  <w:style w:type="paragraph" w:customStyle="1" w:styleId="Bullet2">
    <w:name w:val="Bullet 2"/>
    <w:basedOn w:val="Normal"/>
    <w:rsid w:val="009B7138"/>
    <w:pPr>
      <w:numPr>
        <w:numId w:val="35"/>
      </w:numPr>
    </w:pPr>
  </w:style>
  <w:style w:type="paragraph" w:customStyle="1" w:styleId="Bullet3">
    <w:name w:val="Bullet 3"/>
    <w:basedOn w:val="Normal"/>
    <w:rsid w:val="009B7138"/>
    <w:pPr>
      <w:numPr>
        <w:numId w:val="36"/>
      </w:numPr>
    </w:pPr>
  </w:style>
  <w:style w:type="paragraph" w:customStyle="1" w:styleId="Bullet4">
    <w:name w:val="Bullet 4"/>
    <w:basedOn w:val="Normal"/>
    <w:rsid w:val="009B7138"/>
    <w:pPr>
      <w:numPr>
        <w:numId w:val="37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4779A4"/>
    <w:rPr>
      <w:rFonts w:ascii="Times New Roman" w:eastAsiaTheme="majorEastAsia" w:hAnsi="Times New Roman" w:cs="Times New Roman"/>
      <w:sz w:val="24"/>
      <w:lang w:val="pl-P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79A4"/>
    <w:rPr>
      <w:rFonts w:ascii="Times New Roman" w:eastAsiaTheme="majorEastAsia" w:hAnsi="Times New Roman" w:cs="Times New Roman"/>
      <w:iCs/>
      <w:sz w:val="24"/>
      <w:lang w:val="pl-P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79A4"/>
    <w:rPr>
      <w:rFonts w:ascii="Times New Roman" w:eastAsiaTheme="majorEastAsia" w:hAnsi="Times New Roman" w:cs="Times New Roman"/>
      <w:iCs/>
      <w:sz w:val="24"/>
      <w:lang w:val="pl-PL"/>
    </w:rPr>
  </w:style>
  <w:style w:type="paragraph" w:customStyle="1" w:styleId="ManualHeading5">
    <w:name w:val="Manual Heading 5"/>
    <w:basedOn w:val="Normal"/>
    <w:next w:val="Text2"/>
    <w:rsid w:val="004779A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4779A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4779A4"/>
    <w:pPr>
      <w:keepNext/>
      <w:tabs>
        <w:tab w:val="left" w:pos="1417"/>
      </w:tabs>
      <w:ind w:left="1417" w:hanging="1417"/>
      <w:outlineLvl w:val="6"/>
    </w:pPr>
  </w:style>
  <w:style w:type="paragraph" w:customStyle="1" w:styleId="Text5">
    <w:name w:val="Text 5"/>
    <w:basedOn w:val="Normal"/>
    <w:rsid w:val="004779A4"/>
    <w:pPr>
      <w:ind w:left="3118"/>
    </w:pPr>
  </w:style>
  <w:style w:type="paragraph" w:customStyle="1" w:styleId="Text6">
    <w:name w:val="Text 6"/>
    <w:basedOn w:val="Normal"/>
    <w:rsid w:val="004779A4"/>
    <w:pPr>
      <w:ind w:left="3685"/>
    </w:pPr>
  </w:style>
  <w:style w:type="paragraph" w:customStyle="1" w:styleId="Point5">
    <w:name w:val="Point 5"/>
    <w:basedOn w:val="Normal"/>
    <w:rsid w:val="004779A4"/>
    <w:pPr>
      <w:ind w:left="3685" w:hanging="567"/>
    </w:pPr>
  </w:style>
  <w:style w:type="paragraph" w:customStyle="1" w:styleId="Tiret5">
    <w:name w:val="Tiret 5"/>
    <w:basedOn w:val="Point5"/>
    <w:rsid w:val="004779A4"/>
    <w:pPr>
      <w:numPr>
        <w:numId w:val="42"/>
      </w:numPr>
    </w:pPr>
  </w:style>
  <w:style w:type="paragraph" w:customStyle="1" w:styleId="NumPar5">
    <w:name w:val="NumPar 5"/>
    <w:basedOn w:val="Normal"/>
    <w:next w:val="Text2"/>
    <w:rsid w:val="004779A4"/>
    <w:pPr>
      <w:numPr>
        <w:ilvl w:val="4"/>
        <w:numId w:val="45"/>
      </w:numPr>
    </w:pPr>
  </w:style>
  <w:style w:type="paragraph" w:customStyle="1" w:styleId="NumPar6">
    <w:name w:val="NumPar 6"/>
    <w:basedOn w:val="Normal"/>
    <w:next w:val="Text2"/>
    <w:rsid w:val="004779A4"/>
    <w:pPr>
      <w:numPr>
        <w:ilvl w:val="5"/>
        <w:numId w:val="45"/>
      </w:numPr>
    </w:pPr>
  </w:style>
  <w:style w:type="paragraph" w:customStyle="1" w:styleId="NumPar7">
    <w:name w:val="NumPar 7"/>
    <w:basedOn w:val="Normal"/>
    <w:next w:val="Text2"/>
    <w:rsid w:val="004779A4"/>
    <w:pPr>
      <w:numPr>
        <w:ilvl w:val="6"/>
        <w:numId w:val="45"/>
      </w:numPr>
    </w:pPr>
  </w:style>
  <w:style w:type="paragraph" w:customStyle="1" w:styleId="ManualNumPar5">
    <w:name w:val="Manual NumPar 5"/>
    <w:basedOn w:val="Normal"/>
    <w:next w:val="Text2"/>
    <w:rsid w:val="004779A4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4779A4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4779A4"/>
    <w:pPr>
      <w:ind w:left="1417" w:hanging="14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3</Pages>
  <Words>430</Words>
  <Characters>3007</Characters>
  <Application>Microsoft Office Word</Application>
  <DocSecurity>0</DocSecurity>
  <Lines>62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VAPPER Rea (FISMA)</dc:creator>
  <cp:keywords/>
  <dc:description/>
  <cp:lastModifiedBy>VAPPER Rea (FISMA)</cp:lastModifiedBy>
  <cp:revision>2</cp:revision>
  <dcterms:created xsi:type="dcterms:W3CDTF">2022-03-08T14:45:00Z</dcterms:created>
  <dcterms:modified xsi:type="dcterms:W3CDTF">2022-03-08T14:45:00Z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20200226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