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06C29583" w:rsidR="001C2816" w:rsidRPr="008E5A13" w:rsidRDefault="008239F6" w:rsidP="00D55891">
      <w:pPr>
        <w:pStyle w:val="Pagedecouverture"/>
        <w:rPr>
          <w:noProof/>
        </w:rPr>
      </w:pPr>
      <w:bookmarkStart w:id="0" w:name="_GoBack"/>
      <w:bookmarkEnd w:id="0"/>
      <w:r>
        <w:rPr>
          <w:noProof/>
        </w:rPr>
        <w:pict w14:anchorId="0B11CE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8E894CA8-4C1F-46F5-9D7D-D92F45216118" style="width:455.35pt;height:440.65pt">
            <v:imagedata r:id="rId7" o:title=""/>
          </v:shape>
        </w:pict>
      </w:r>
    </w:p>
    <w:p w14:paraId="66835F60" w14:textId="77777777" w:rsidR="00745799" w:rsidRPr="008E5A13" w:rsidRDefault="00745799">
      <w:pPr>
        <w:rPr>
          <w:noProof/>
        </w:rPr>
        <w:sectPr w:rsidR="00745799" w:rsidRPr="008E5A13" w:rsidSect="00D55891">
          <w:footerReference w:type="default" r:id="rId8"/>
          <w:pgSz w:w="11907" w:h="16839"/>
          <w:pgMar w:top="1134" w:right="1417" w:bottom="1134" w:left="1417" w:header="709" w:footer="709" w:gutter="0"/>
          <w:pgNumType w:start="0"/>
          <w:cols w:space="720"/>
          <w:docGrid w:linePitch="360"/>
        </w:sectPr>
      </w:pPr>
    </w:p>
    <w:p w14:paraId="58EEE52D" w14:textId="635123E4" w:rsidR="00745799" w:rsidRPr="008E5A13" w:rsidRDefault="008E5A13" w:rsidP="008E5A13">
      <w:pPr>
        <w:pStyle w:val="Typedudocument"/>
        <w:rPr>
          <w:noProof/>
        </w:rPr>
      </w:pPr>
      <w:r w:rsidRPr="008E5A13">
        <w:rPr>
          <w:noProof/>
        </w:rPr>
        <w:lastRenderedPageBreak/>
        <w:t>KOMMISSIONENS GENOMFÖRANDEFÖRORDNING (EU) …/…</w:t>
      </w:r>
    </w:p>
    <w:p w14:paraId="5FDAE07D" w14:textId="799F9C10" w:rsidR="00745799" w:rsidRPr="008E5A13" w:rsidRDefault="00241EF1" w:rsidP="008E5A13">
      <w:pPr>
        <w:pStyle w:val="Datedadoption"/>
        <w:rPr>
          <w:noProof/>
        </w:rPr>
      </w:pPr>
      <w:r>
        <w:t>av den 3.3.2022</w:t>
      </w:r>
    </w:p>
    <w:p w14:paraId="6AE2FFE3" w14:textId="2459F5BA" w:rsidR="00745799" w:rsidRPr="008E5A13" w:rsidRDefault="008E5A13" w:rsidP="008E5A13">
      <w:pPr>
        <w:pStyle w:val="Titreobjet"/>
        <w:rPr>
          <w:noProof/>
        </w:rPr>
      </w:pPr>
      <w:r w:rsidRPr="008E5A13">
        <w:rPr>
          <w:noProof/>
        </w:rPr>
        <w:t xml:space="preserve">om ändring av genomförandeförordning (EU) 2018/1624 om fastställande i enlighet med Europaparlamentets och rådets direktiv 2014/59/EU av tekniska genomförandestandarder när det gäller förfaranden, standardformulär och mallar för den information som ska lämnas för upprättandet av resolutionsplaner för kreditinstitut och värdepappersföretag </w:t>
      </w:r>
      <w:r w:rsidRPr="008E5A13">
        <w:rPr>
          <w:noProof/>
        </w:rPr>
        <w:br/>
      </w:r>
    </w:p>
    <w:p w14:paraId="217F978F" w14:textId="1670AD7E" w:rsidR="00745799" w:rsidRPr="008E5A13" w:rsidRDefault="008E5A13" w:rsidP="008E5A13">
      <w:pPr>
        <w:pStyle w:val="IntrtEEE"/>
        <w:rPr>
          <w:noProof/>
        </w:rPr>
      </w:pPr>
      <w:r w:rsidRPr="008E5A13">
        <w:rPr>
          <w:noProof/>
        </w:rPr>
        <w:t>(Text av betydelse för EES)</w:t>
      </w:r>
    </w:p>
    <w:p w14:paraId="36E61899" w14:textId="77777777" w:rsidR="00745799" w:rsidRPr="008E5A13" w:rsidRDefault="00745799" w:rsidP="004E1EF9">
      <w:pPr>
        <w:pStyle w:val="Institutionquiagit"/>
        <w:rPr>
          <w:noProof/>
        </w:rPr>
      </w:pPr>
      <w:r w:rsidRPr="008E5A13">
        <w:rPr>
          <w:noProof/>
        </w:rPr>
        <w:t>EUROPEISKA KOMMISSIONEN HAR ANTAGIT DENNA FÖRORDNING,</w:t>
      </w:r>
    </w:p>
    <w:p w14:paraId="344A82A5" w14:textId="660936C6" w:rsidR="00745799" w:rsidRPr="008E5A13" w:rsidRDefault="00CE4B1E" w:rsidP="004E1EF9">
      <w:pPr>
        <w:rPr>
          <w:noProof/>
        </w:rPr>
      </w:pPr>
      <w:r>
        <w:rPr>
          <w:noProof/>
        </w:rPr>
        <w:t>med</w:t>
      </w:r>
      <w:r w:rsidR="00745799" w:rsidRPr="008E5A13">
        <w:rPr>
          <w:noProof/>
        </w:rPr>
        <w:t xml:space="preserve"> beaktande av fördraget om Europeiska unionens funktionssätt,</w:t>
      </w:r>
    </w:p>
    <w:p w14:paraId="2982BE59" w14:textId="5250076C" w:rsidR="00745799" w:rsidRPr="008E5A13" w:rsidRDefault="00745799" w:rsidP="004E1EF9">
      <w:pPr>
        <w:rPr>
          <w:noProof/>
        </w:rPr>
      </w:pPr>
      <w:r w:rsidRPr="008E5A13">
        <w:rPr>
          <w:noProof/>
        </w:rPr>
        <w:t>med beaktande av Europaparlamentets och rådets direktiv 2014/59/EU om inrättande av en ram för återhämtning och resolution av kreditinstitut och värdepappersföretag och om ändring av rådets direktiv 82/891/EEG och Europaparlamentets och rådets direktiv 2001/24/EG, 2002/47/EG, 2004/25/EG, 2005/56/EG, 2007/36/EG, 2011/35/EU, 2012/30/EU, 2013/36/EU samt Europaparlamentets och rådets förordningar (EU) nr 1093/2010 och (EU) nr 648/2012</w:t>
      </w:r>
      <w:r w:rsidRPr="008E5A13">
        <w:rPr>
          <w:rStyle w:val="FootnoteReference"/>
          <w:noProof/>
        </w:rPr>
        <w:footnoteReference w:id="1"/>
      </w:r>
      <w:r w:rsidRPr="008E5A13">
        <w:rPr>
          <w:noProof/>
        </w:rPr>
        <w:t>, särskilt artikel 11.3, och</w:t>
      </w:r>
    </w:p>
    <w:p w14:paraId="3303916E" w14:textId="77777777" w:rsidR="00745799" w:rsidRPr="008E5A13" w:rsidRDefault="00745799" w:rsidP="004E1EF9">
      <w:pPr>
        <w:rPr>
          <w:noProof/>
        </w:rPr>
      </w:pPr>
      <w:r w:rsidRPr="008E5A13">
        <w:rPr>
          <w:noProof/>
        </w:rPr>
        <w:t>av följande skäl:</w:t>
      </w:r>
    </w:p>
    <w:p w14:paraId="2AEEF6BD" w14:textId="5B1DE134" w:rsidR="00745799" w:rsidRPr="008E5A13" w:rsidRDefault="003F66CF" w:rsidP="003F66CF">
      <w:pPr>
        <w:pStyle w:val="ManualConsidrant"/>
        <w:rPr>
          <w:noProof/>
        </w:rPr>
      </w:pPr>
      <w:r w:rsidRPr="003F66CF">
        <w:t>(1)</w:t>
      </w:r>
      <w:r w:rsidRPr="003F66CF">
        <w:tab/>
      </w:r>
      <w:r w:rsidR="00745799" w:rsidRPr="008E5A13">
        <w:rPr>
          <w:noProof/>
        </w:rPr>
        <w:t>Genom Europaparlamentets och rådets direktiv (EU) 2019/879</w:t>
      </w:r>
      <w:r w:rsidR="00745799" w:rsidRPr="008E5A13">
        <w:rPr>
          <w:rStyle w:val="FootnoteReference"/>
          <w:noProof/>
        </w:rPr>
        <w:footnoteReference w:id="2"/>
      </w:r>
      <w:r w:rsidR="00745799" w:rsidRPr="008E5A13">
        <w:rPr>
          <w:noProof/>
        </w:rPr>
        <w:t xml:space="preserve"> infördes vissa ändringar av det minimikrav för kapitalbas och kvalificerade skulder som fastställs i direktiv 2014/59/EU. Information om institutens förmåga att uppfylla detta krav är också i viss utsträckning relevant i samband med resolutionsplanering.</w:t>
      </w:r>
    </w:p>
    <w:p w14:paraId="4C198264" w14:textId="75EB3359" w:rsidR="00745799" w:rsidRPr="008E5A13" w:rsidRDefault="003F66CF" w:rsidP="003F66CF">
      <w:pPr>
        <w:pStyle w:val="ManualConsidrant"/>
        <w:rPr>
          <w:noProof/>
        </w:rPr>
      </w:pPr>
      <w:r w:rsidRPr="003F66CF">
        <w:t>(2)</w:t>
      </w:r>
      <w:r w:rsidRPr="003F66CF">
        <w:tab/>
      </w:r>
      <w:r w:rsidR="005F79AB" w:rsidRPr="008E5A13">
        <w:rPr>
          <w:noProof/>
        </w:rPr>
        <w:t>Kommissionens genomförandeförordning (EU) 2018/1624</w:t>
      </w:r>
      <w:r w:rsidR="005F79AB" w:rsidRPr="008E5A13">
        <w:rPr>
          <w:rStyle w:val="FootnoteReference"/>
          <w:noProof/>
        </w:rPr>
        <w:footnoteReference w:id="3"/>
      </w:r>
      <w:r w:rsidR="005F79AB" w:rsidRPr="008E5A13">
        <w:rPr>
          <w:noProof/>
        </w:rPr>
        <w:t xml:space="preserve"> bör därför ändras i enlighet med detta.</w:t>
      </w:r>
    </w:p>
    <w:p w14:paraId="2F996AE9" w14:textId="431774DE" w:rsidR="00745799" w:rsidRPr="008E5A13" w:rsidRDefault="003F66CF" w:rsidP="003F66CF">
      <w:pPr>
        <w:pStyle w:val="ManualConsidrant"/>
        <w:rPr>
          <w:noProof/>
        </w:rPr>
      </w:pPr>
      <w:r w:rsidRPr="003F66CF">
        <w:t>(3)</w:t>
      </w:r>
      <w:r w:rsidRPr="003F66CF">
        <w:tab/>
      </w:r>
      <w:r w:rsidR="00745799" w:rsidRPr="008E5A13">
        <w:rPr>
          <w:noProof/>
        </w:rPr>
        <w:t xml:space="preserve">Denna förordning grundar sig på det förslag till tekniska genomförandestandarder som Europeiska bankmyndigheten (EBA) har överlämnat till kommissionen. </w:t>
      </w:r>
    </w:p>
    <w:p w14:paraId="505703BE" w14:textId="39E5E1E2" w:rsidR="00745799" w:rsidRPr="008E5A13" w:rsidRDefault="003F66CF" w:rsidP="003F66CF">
      <w:pPr>
        <w:pStyle w:val="ManualConsidrant"/>
        <w:rPr>
          <w:noProof/>
        </w:rPr>
      </w:pPr>
      <w:r w:rsidRPr="003F66CF">
        <w:t>(4)</w:t>
      </w:r>
      <w:r w:rsidRPr="003F66CF">
        <w:tab/>
      </w:r>
      <w:r w:rsidR="00745799" w:rsidRPr="008E5A13">
        <w:rPr>
          <w:noProof/>
        </w:rPr>
        <w:t>EBA har inte genomfört några öppna offentliga samråd om det förslag till tekniska genomförandestandarder som ligger till grund för denna förordning och inte heller analyserat de möjliga kostnaderna och fördelarna, eftersom man ansåg att detta inte alls skulle stå i proportion till ändringarnas begränsade omfattning, låga antal och ringa konsekvenser, med tanke på att de endast utgörs av uppdateringar av hänvisningar till direktiv 2014/59/EU, två nya rapporteringsposter samt mindre ändringar för att undanröja tekniska hinder för rapporteringen. EBA har begärt in råd från den bankintressentgrupp som inrättats i enlighet med artikel 37 i Europaparlamentets och rådets förordning (EU) nr 1093/2010</w:t>
      </w:r>
      <w:r w:rsidR="00745799" w:rsidRPr="008E5A13">
        <w:rPr>
          <w:rStyle w:val="FootnoteReference"/>
          <w:noProof/>
        </w:rPr>
        <w:footnoteReference w:id="4"/>
      </w:r>
      <w:r w:rsidR="00745799" w:rsidRPr="008E5A13">
        <w:rPr>
          <w:noProof/>
        </w:rPr>
        <w:t>.</w:t>
      </w:r>
    </w:p>
    <w:p w14:paraId="3F0100F6" w14:textId="77777777" w:rsidR="00745799" w:rsidRPr="008E5A13" w:rsidRDefault="00745799" w:rsidP="004E1EF9">
      <w:pPr>
        <w:pStyle w:val="Formuledadoption"/>
        <w:rPr>
          <w:noProof/>
        </w:rPr>
      </w:pPr>
      <w:r w:rsidRPr="008E5A13">
        <w:rPr>
          <w:noProof/>
        </w:rPr>
        <w:t>HÄRIGENOM FÖRESKRIVS FÖLJANDE:</w:t>
      </w:r>
    </w:p>
    <w:p w14:paraId="248EA0A8" w14:textId="77777777" w:rsidR="00745799" w:rsidRPr="008E5A13" w:rsidRDefault="00745799" w:rsidP="004E1EF9">
      <w:pPr>
        <w:pStyle w:val="Titrearticle"/>
        <w:rPr>
          <w:noProof/>
        </w:rPr>
      </w:pPr>
      <w:r w:rsidRPr="008E5A13">
        <w:rPr>
          <w:noProof/>
        </w:rPr>
        <w:t>Artikel 1</w:t>
      </w:r>
    </w:p>
    <w:p w14:paraId="0EB604DB" w14:textId="07D2792D" w:rsidR="00745799" w:rsidRPr="008E5A13" w:rsidRDefault="00745799" w:rsidP="004E1EF9">
      <w:pPr>
        <w:rPr>
          <w:noProof/>
        </w:rPr>
      </w:pPr>
      <w:r w:rsidRPr="008E5A13">
        <w:rPr>
          <w:noProof/>
        </w:rPr>
        <w:t>Genomförandeförordning (EU) 2018/1624 ska ändras på följande sätt:</w:t>
      </w:r>
    </w:p>
    <w:p w14:paraId="6C2E9789" w14:textId="5A02D658" w:rsidR="002E04D0" w:rsidRPr="008E5A13" w:rsidRDefault="003F66CF" w:rsidP="003F66CF">
      <w:pPr>
        <w:pStyle w:val="Point0"/>
        <w:rPr>
          <w:noProof/>
        </w:rPr>
      </w:pPr>
      <w:r w:rsidRPr="003F66CF">
        <w:t>(1)</w:t>
      </w:r>
      <w:r w:rsidRPr="003F66CF">
        <w:tab/>
      </w:r>
      <w:r w:rsidR="00745799" w:rsidRPr="008E5A13">
        <w:rPr>
          <w:noProof/>
        </w:rPr>
        <w:t>Bilaga I ska ändras på följande sätt:</w:t>
      </w:r>
    </w:p>
    <w:p w14:paraId="307F7177" w14:textId="22A61F13" w:rsidR="00745799" w:rsidRPr="008E5A13" w:rsidRDefault="003F66CF" w:rsidP="003F66CF">
      <w:pPr>
        <w:pStyle w:val="Point0"/>
        <w:rPr>
          <w:noProof/>
        </w:rPr>
      </w:pPr>
      <w:r w:rsidRPr="003F66CF">
        <w:t>(a)</w:t>
      </w:r>
      <w:r w:rsidRPr="003F66CF">
        <w:tab/>
      </w:r>
      <w:r w:rsidR="002E04D0" w:rsidRPr="008E5A13">
        <w:rPr>
          <w:noProof/>
        </w:rPr>
        <w:t>Mall Z 02.00 ska ersättas med mall Z 02.00 i bilaga I till denna förordning.</w:t>
      </w:r>
    </w:p>
    <w:p w14:paraId="2AC11875" w14:textId="4F664D09" w:rsidR="002E04D0" w:rsidRPr="008E5A13" w:rsidRDefault="003F66CF" w:rsidP="003F66CF">
      <w:pPr>
        <w:pStyle w:val="Point0"/>
        <w:rPr>
          <w:noProof/>
        </w:rPr>
      </w:pPr>
      <w:r w:rsidRPr="003F66CF">
        <w:t>(b)</w:t>
      </w:r>
      <w:r w:rsidRPr="003F66CF">
        <w:tab/>
      </w:r>
      <w:r w:rsidR="002E04D0" w:rsidRPr="008E5A13">
        <w:rPr>
          <w:noProof/>
        </w:rPr>
        <w:t>Mall Z 03.00 ska ersättas med mall Z 03.00 i bilaga I till denna förordning.</w:t>
      </w:r>
    </w:p>
    <w:p w14:paraId="60F6BC37" w14:textId="59593C2C" w:rsidR="00745799" w:rsidRPr="008E5A13" w:rsidRDefault="003F66CF" w:rsidP="003F66CF">
      <w:pPr>
        <w:pStyle w:val="Point0"/>
        <w:rPr>
          <w:noProof/>
        </w:rPr>
      </w:pPr>
      <w:r w:rsidRPr="003F66CF">
        <w:t>(2)</w:t>
      </w:r>
      <w:r w:rsidRPr="003F66CF">
        <w:tab/>
      </w:r>
      <w:r w:rsidR="00090F84" w:rsidRPr="008E5A13">
        <w:rPr>
          <w:noProof/>
        </w:rPr>
        <w:t xml:space="preserve">Bilaga II ska ersättas med texten i bilaga II till den här förordningen. </w:t>
      </w:r>
    </w:p>
    <w:p w14:paraId="77E50565" w14:textId="37F839DE" w:rsidR="00745799" w:rsidRPr="008E5A13" w:rsidRDefault="00745799" w:rsidP="004E1EF9">
      <w:pPr>
        <w:pStyle w:val="Titrearticle"/>
        <w:rPr>
          <w:noProof/>
          <w:color w:val="000000" w:themeColor="text1"/>
        </w:rPr>
      </w:pPr>
      <w:r w:rsidRPr="008E5A13">
        <w:rPr>
          <w:noProof/>
        </w:rPr>
        <w:t>Artikel 2</w:t>
      </w:r>
    </w:p>
    <w:p w14:paraId="280CEA9B" w14:textId="288234FC" w:rsidR="00745799" w:rsidRPr="008E5A13" w:rsidRDefault="00745799" w:rsidP="004E1EF9">
      <w:pPr>
        <w:rPr>
          <w:noProof/>
        </w:rPr>
      </w:pPr>
      <w:r w:rsidRPr="008E5A13">
        <w:rPr>
          <w:noProof/>
        </w:rPr>
        <w:t xml:space="preserve">Denna förordning träder i kraft den tjugonde dagen efter det att den har offentliggjorts i </w:t>
      </w:r>
      <w:r w:rsidRPr="008E5A13">
        <w:rPr>
          <w:i/>
          <w:noProof/>
        </w:rPr>
        <w:t>Europeiska unionens officiella tidning</w:t>
      </w:r>
      <w:r w:rsidRPr="008E5A13">
        <w:rPr>
          <w:noProof/>
        </w:rPr>
        <w:t>.</w:t>
      </w:r>
    </w:p>
    <w:p w14:paraId="5ED2B21A" w14:textId="77777777" w:rsidR="00745799" w:rsidRPr="008E5A13" w:rsidRDefault="00745799" w:rsidP="004E1EF9">
      <w:pPr>
        <w:pStyle w:val="Applicationdirecte"/>
        <w:rPr>
          <w:noProof/>
        </w:rPr>
      </w:pPr>
      <w:r w:rsidRPr="008E5A13">
        <w:rPr>
          <w:noProof/>
        </w:rPr>
        <w:t>Denna förordning är till alla delar bindande och direkt tillämplig i alla medlemsstater.</w:t>
      </w:r>
    </w:p>
    <w:p w14:paraId="3D8C8E1A" w14:textId="0F0D0AAD" w:rsidR="00745799" w:rsidRPr="008E5A13" w:rsidRDefault="00EA031B" w:rsidP="00E12431">
      <w:pPr>
        <w:pStyle w:val="Fait"/>
        <w:rPr>
          <w:noProof/>
        </w:rPr>
      </w:pPr>
      <w:r w:rsidRPr="00EA031B">
        <w:t>Utfärdad i Bryssel den 3.3.2022</w:t>
      </w:r>
    </w:p>
    <w:p w14:paraId="54345AFA" w14:textId="77777777" w:rsidR="00745799" w:rsidRPr="008E5A13" w:rsidRDefault="00745799" w:rsidP="00E12431">
      <w:pPr>
        <w:pStyle w:val="Institutionquisigne"/>
        <w:rPr>
          <w:noProof/>
        </w:rPr>
      </w:pPr>
      <w:r w:rsidRPr="008E5A13">
        <w:rPr>
          <w:noProof/>
        </w:rPr>
        <w:tab/>
        <w:t>På kommissionens vägnar</w:t>
      </w:r>
    </w:p>
    <w:p w14:paraId="77E16C5B" w14:textId="449F7983" w:rsidR="008A5816" w:rsidRPr="008E5A13" w:rsidRDefault="00A8201F" w:rsidP="00E12431">
      <w:pPr>
        <w:pStyle w:val="Personnequisigne"/>
        <w:keepNext/>
        <w:rPr>
          <w:noProof/>
        </w:rPr>
      </w:pPr>
      <w:r>
        <w:tab/>
        <w:t>Ordförande</w:t>
      </w:r>
      <w:r>
        <w:br/>
      </w:r>
      <w:r>
        <w:tab/>
        <w:t>Ursula VON DER LEYEN</w:t>
      </w:r>
    </w:p>
    <w:p w14:paraId="7793195C" w14:textId="178F055F" w:rsidR="00745799" w:rsidRPr="008E5A13" w:rsidRDefault="00745799" w:rsidP="00745799">
      <w:pPr>
        <w:pStyle w:val="Personnequisigne"/>
        <w:rPr>
          <w:noProof/>
        </w:rPr>
      </w:pPr>
    </w:p>
    <w:sectPr w:rsidR="00745799" w:rsidRPr="008E5A13" w:rsidSect="00D55891">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37E734" w14:textId="0480D04B" w:rsidR="008E5A13" w:rsidRPr="00D55891" w:rsidRDefault="00D55891" w:rsidP="00D55891">
    <w:pPr>
      <w:pStyle w:val="Footer"/>
      <w:rPr>
        <w:rFonts w:ascii="Arial" w:hAnsi="Arial" w:cs="Arial"/>
        <w:b/>
        <w:sz w:val="48"/>
      </w:rPr>
    </w:pPr>
    <w:r w:rsidRPr="00D55891">
      <w:rPr>
        <w:rFonts w:ascii="Arial" w:hAnsi="Arial" w:cs="Arial"/>
        <w:b/>
        <w:sz w:val="48"/>
      </w:rPr>
      <w:t>SV</w:t>
    </w:r>
    <w:r w:rsidRPr="00D55891">
      <w:rPr>
        <w:rFonts w:ascii="Arial" w:hAnsi="Arial" w:cs="Arial"/>
        <w:b/>
        <w:sz w:val="48"/>
      </w:rPr>
      <w:tab/>
    </w:r>
    <w:r w:rsidRPr="00D55891">
      <w:rPr>
        <w:rFonts w:ascii="Arial" w:hAnsi="Arial" w:cs="Arial"/>
        <w:b/>
        <w:sz w:val="48"/>
      </w:rPr>
      <w:tab/>
    </w:r>
    <w:r w:rsidRPr="00D55891">
      <w:tab/>
    </w:r>
    <w:r w:rsidRPr="00D55891">
      <w:rPr>
        <w:rFonts w:ascii="Arial" w:hAnsi="Arial" w:cs="Arial"/>
        <w:b/>
        <w:sz w:val="48"/>
      </w:rPr>
      <w:t>SV</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AAA3A" w14:textId="1B29FA22" w:rsidR="00D55891" w:rsidRPr="00D55891" w:rsidRDefault="00D55891" w:rsidP="00D55891">
    <w:pPr>
      <w:pStyle w:val="Footer"/>
      <w:rPr>
        <w:rFonts w:ascii="Arial" w:hAnsi="Arial" w:cs="Arial"/>
        <w:b/>
        <w:sz w:val="48"/>
      </w:rPr>
    </w:pPr>
    <w:r w:rsidRPr="00D55891">
      <w:rPr>
        <w:rFonts w:ascii="Arial" w:hAnsi="Arial" w:cs="Arial"/>
        <w:b/>
        <w:sz w:val="48"/>
      </w:rPr>
      <w:t>SV</w:t>
    </w:r>
    <w:r w:rsidRPr="00D55891">
      <w:rPr>
        <w:rFonts w:ascii="Arial" w:hAnsi="Arial" w:cs="Arial"/>
        <w:b/>
        <w:sz w:val="48"/>
      </w:rPr>
      <w:tab/>
    </w:r>
    <w:r>
      <w:fldChar w:fldCharType="begin"/>
    </w:r>
    <w:r>
      <w:instrText xml:space="preserve"> PAGE  \* MERGEFORMAT </w:instrText>
    </w:r>
    <w:r>
      <w:fldChar w:fldCharType="separate"/>
    </w:r>
    <w:r w:rsidR="008239F6">
      <w:rPr>
        <w:noProof/>
      </w:rPr>
      <w:t>2</w:t>
    </w:r>
    <w:r>
      <w:fldChar w:fldCharType="end"/>
    </w:r>
    <w:r>
      <w:tab/>
    </w:r>
    <w:r w:rsidRPr="00D55891">
      <w:tab/>
    </w:r>
    <w:r w:rsidRPr="00D55891">
      <w:rPr>
        <w:rFonts w:ascii="Arial" w:hAnsi="Arial" w:cs="Arial"/>
        <w:b/>
        <w:sz w:val="48"/>
      </w:rPr>
      <w:t>SV</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C5159" w14:textId="77777777" w:rsidR="00D55891" w:rsidRPr="00D55891" w:rsidRDefault="00D55891" w:rsidP="00D558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EUT L 173, 12.6.2014, s. 190.</w:t>
      </w:r>
    </w:p>
  </w:footnote>
  <w:footnote w:id="2">
    <w:p w14:paraId="7F45B5AC" w14:textId="6DC04D10" w:rsidR="005F79AB" w:rsidRPr="005F79AB" w:rsidRDefault="005F79AB" w:rsidP="005F79AB">
      <w:pPr>
        <w:pStyle w:val="FootnoteText"/>
      </w:pPr>
      <w:r>
        <w:rPr>
          <w:rStyle w:val="FootnoteReference"/>
        </w:rPr>
        <w:footnoteRef/>
      </w:r>
      <w:r>
        <w:tab/>
        <w:t>Europaparlamentets och rådets direktiv (EU) 2019/879 av den 20 maj 2019 om ändring av direktiv 2014/59/EU vad gäller kreditinstituts och värdepappersföretags förlustabsorberings- och rekapitaliseringskapacitet och om direktiv 98/26/EG (EUT L 150, 7.6.2019, s. 296).</w:t>
      </w:r>
    </w:p>
  </w:footnote>
  <w:footnote w:id="3">
    <w:p w14:paraId="509F65CC" w14:textId="05595D25" w:rsidR="005F79AB" w:rsidRPr="005F79AB" w:rsidRDefault="005F79AB">
      <w:pPr>
        <w:pStyle w:val="FootnoteText"/>
      </w:pPr>
      <w:r>
        <w:rPr>
          <w:rStyle w:val="FootnoteReference"/>
        </w:rPr>
        <w:footnoteRef/>
      </w:r>
      <w:r>
        <w:tab/>
        <w:t>Kommissionens genomförandeförordning (EU) 2018/1624 av den 23 oktober 2018 om fastställande i enlighet med Europaparlamentets och rådets direktiv 2014/59/EU av tekniska genomförandestandarder när det gäller förfaranden, standardformulär och mallar för den information som ska lämnas för upprättandet av resolutionsplaner för kreditinstitut och värdepappersföretag, och om upphävande av kommissionens genomförandeförordning (EU) 2016/1066 (EUT L 277, 7.11.2018, s. 1).</w:t>
      </w:r>
    </w:p>
  </w:footnote>
  <w:footnote w:id="4">
    <w:p w14:paraId="3537746E" w14:textId="50571182" w:rsidR="00745799" w:rsidRPr="00B64E68" w:rsidRDefault="00745799" w:rsidP="00745799">
      <w:pPr>
        <w:pStyle w:val="FootnoteText"/>
      </w:pPr>
      <w:r>
        <w:rPr>
          <w:rStyle w:val="FootnoteReference"/>
        </w:rPr>
        <w:footnoteRef/>
      </w:r>
      <w:r>
        <w:tab/>
        <w:t>Europaparlamentets och rådets förordning (EU) nr 1093/2010 av den 24 november 2010 om inrättande av en europeisk tillsynsmyndighet (Europeiska bankmyndigheten), om ändring av beslut nr 716/2009/EG och om upphävande av kommissionens beslut 2009/78/EG (EUT L 331,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20"/>
  </w:num>
  <w:num w:numId="26">
    <w:abstractNumId w:val="20"/>
  </w:num>
  <w:num w:numId="27">
    <w:abstractNumId w:val="20"/>
  </w:num>
  <w:num w:numId="28">
    <w:abstractNumId w:val="14"/>
  </w:num>
  <w:num w:numId="29">
    <w:abstractNumId w:val="9"/>
  </w:num>
  <w:num w:numId="30">
    <w:abstractNumId w:val="9"/>
  </w:num>
  <w:num w:numId="31">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24"/>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8E894CA8-4C1F-46F5-9D7D-D92F45216118"/>
    <w:docVar w:name="LW_COVERPAGE_TYPE" w:val="1"/>
    <w:docVar w:name="LW_CROSSREFERENCE" w:val="&lt;UNUSED&gt;"/>
    <w:docVar w:name="LW_DATE.ADOPT.CP" w:val="av den 3.3.2022"/>
    <w:docVar w:name="LW_DATE.ADOPT.CP_DATEFORMAT" w:val="av den %DATE%"/>
    <w:docVar w:name="LW_DATE.ADOPT.CP_ISODATE" w:val="2022-03-03"/>
    <w:docVar w:name="LW_DocType" w:val="COM"/>
    <w:docVar w:name="LW_EMISSION" w:val="3.3.2022"/>
    <w:docVar w:name="LW_EMISSION_ISODATE" w:val="2022-03-03"/>
    <w:docVar w:name="LW_EMISSION_LOCATION" w:val="BRX"/>
    <w:docVar w:name="LW_EMISSION_PREFIX" w:val="Bryssel den "/>
    <w:docVar w:name="LW_EMISSION_SUFFIX" w:val=" "/>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ändring av genomförandeförordning (EU) 2018/1624 om fastställande i enlighet med Europaparlamentets och rådets direktiv 2014/59/EU av tekniska genomförandestandarder när det gäller förfaranden, standardformulär och mallar för den information som ska lämnas för upprättandet av resolutionsplaner för kreditinstitut och värdepappersföretag _x000b_"/>
    <w:docVar w:name="LW_TYPE.DOC.CP" w:val="KOMMISSIONENS GENOMFÖRANDEFÖRORDNING (EU) …/…"/>
    <w:docVar w:name="LwApiVersions" w:val="LW4CoDe 1.23.2.0; LW 8.0, Build 20211117"/>
  </w:docVars>
  <w:rsids>
    <w:rsidRoot w:val="00745799"/>
    <w:rsid w:val="00030008"/>
    <w:rsid w:val="000330A9"/>
    <w:rsid w:val="00077B5D"/>
    <w:rsid w:val="00090F84"/>
    <w:rsid w:val="00096F1E"/>
    <w:rsid w:val="000A5309"/>
    <w:rsid w:val="000A7517"/>
    <w:rsid w:val="000E198E"/>
    <w:rsid w:val="000E5A8D"/>
    <w:rsid w:val="000F0ADA"/>
    <w:rsid w:val="000F3D0B"/>
    <w:rsid w:val="00123B47"/>
    <w:rsid w:val="001838A3"/>
    <w:rsid w:val="001C2816"/>
    <w:rsid w:val="001D72C1"/>
    <w:rsid w:val="00213F5B"/>
    <w:rsid w:val="00232E98"/>
    <w:rsid w:val="00241EF1"/>
    <w:rsid w:val="002529F8"/>
    <w:rsid w:val="002713C4"/>
    <w:rsid w:val="00273346"/>
    <w:rsid w:val="00283253"/>
    <w:rsid w:val="002E04D0"/>
    <w:rsid w:val="003053DC"/>
    <w:rsid w:val="003151E2"/>
    <w:rsid w:val="00333B7B"/>
    <w:rsid w:val="003A5883"/>
    <w:rsid w:val="003D725F"/>
    <w:rsid w:val="003E38EA"/>
    <w:rsid w:val="003F66CF"/>
    <w:rsid w:val="00426704"/>
    <w:rsid w:val="004B08D1"/>
    <w:rsid w:val="004F579B"/>
    <w:rsid w:val="00511345"/>
    <w:rsid w:val="00586455"/>
    <w:rsid w:val="005B1217"/>
    <w:rsid w:val="005F79AB"/>
    <w:rsid w:val="00603FDC"/>
    <w:rsid w:val="006944A9"/>
    <w:rsid w:val="006B3BDB"/>
    <w:rsid w:val="006D5B8E"/>
    <w:rsid w:val="0070128F"/>
    <w:rsid w:val="007170E9"/>
    <w:rsid w:val="00745799"/>
    <w:rsid w:val="00753C08"/>
    <w:rsid w:val="0076684E"/>
    <w:rsid w:val="007C06F6"/>
    <w:rsid w:val="007E3268"/>
    <w:rsid w:val="007F3383"/>
    <w:rsid w:val="00813DCB"/>
    <w:rsid w:val="008239F6"/>
    <w:rsid w:val="008A5816"/>
    <w:rsid w:val="008B152E"/>
    <w:rsid w:val="008E5A13"/>
    <w:rsid w:val="008F621A"/>
    <w:rsid w:val="00911DBE"/>
    <w:rsid w:val="009202AA"/>
    <w:rsid w:val="00945758"/>
    <w:rsid w:val="00986B33"/>
    <w:rsid w:val="00987AD5"/>
    <w:rsid w:val="009B7138"/>
    <w:rsid w:val="009C3971"/>
    <w:rsid w:val="00A8201F"/>
    <w:rsid w:val="00B0023B"/>
    <w:rsid w:val="00B63485"/>
    <w:rsid w:val="00B85498"/>
    <w:rsid w:val="00BE246D"/>
    <w:rsid w:val="00BF17AA"/>
    <w:rsid w:val="00BF5167"/>
    <w:rsid w:val="00C24556"/>
    <w:rsid w:val="00C52AC5"/>
    <w:rsid w:val="00CA6AAF"/>
    <w:rsid w:val="00CE4B1E"/>
    <w:rsid w:val="00D4394C"/>
    <w:rsid w:val="00D55891"/>
    <w:rsid w:val="00DF7421"/>
    <w:rsid w:val="00E12431"/>
    <w:rsid w:val="00E578DB"/>
    <w:rsid w:val="00EA031B"/>
    <w:rsid w:val="00F20062"/>
    <w:rsid w:val="00F64501"/>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9B7138"/>
    <w:pPr>
      <w:keepNext/>
      <w:numPr>
        <w:numId w:val="27"/>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7"/>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7"/>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7"/>
      </w:numPr>
      <w:outlineLvl w:val="3"/>
    </w:pPr>
    <w:rPr>
      <w:rFonts w:eastAsiaTheme="majorEastAsia"/>
      <w:bCs/>
      <w:iCs/>
    </w:rPr>
  </w:style>
  <w:style w:type="paragraph" w:styleId="Heading5">
    <w:name w:val="heading 5"/>
    <w:basedOn w:val="Normal"/>
    <w:next w:val="Text2"/>
    <w:link w:val="Heading5Char"/>
    <w:uiPriority w:val="9"/>
    <w:semiHidden/>
    <w:unhideWhenUsed/>
    <w:qFormat/>
    <w:rsid w:val="00273346"/>
    <w:pPr>
      <w:keepNext/>
      <w:numPr>
        <w:ilvl w:val="4"/>
        <w:numId w:val="27"/>
      </w:numPr>
      <w:outlineLvl w:val="4"/>
    </w:pPr>
    <w:rPr>
      <w:rFonts w:eastAsiaTheme="majorEastAsia"/>
    </w:rPr>
  </w:style>
  <w:style w:type="paragraph" w:styleId="Heading6">
    <w:name w:val="heading 6"/>
    <w:basedOn w:val="Normal"/>
    <w:next w:val="Text2"/>
    <w:link w:val="Heading6Char"/>
    <w:uiPriority w:val="9"/>
    <w:semiHidden/>
    <w:unhideWhenUsed/>
    <w:qFormat/>
    <w:rsid w:val="00273346"/>
    <w:pPr>
      <w:keepNext/>
      <w:numPr>
        <w:ilvl w:val="5"/>
        <w:numId w:val="27"/>
      </w:numPr>
      <w:outlineLvl w:val="5"/>
    </w:pPr>
    <w:rPr>
      <w:rFonts w:eastAsiaTheme="majorEastAsia"/>
      <w:iCs/>
    </w:rPr>
  </w:style>
  <w:style w:type="paragraph" w:styleId="Heading7">
    <w:name w:val="heading 7"/>
    <w:basedOn w:val="Normal"/>
    <w:next w:val="Text2"/>
    <w:link w:val="Heading7Char"/>
    <w:uiPriority w:val="9"/>
    <w:semiHidden/>
    <w:unhideWhenUsed/>
    <w:qFormat/>
    <w:rsid w:val="00273346"/>
    <w:pPr>
      <w:keepNext/>
      <w:numPr>
        <w:ilvl w:val="6"/>
        <w:numId w:val="27"/>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sv-SE"/>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sv-SE"/>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D55891"/>
    <w:pPr>
      <w:tabs>
        <w:tab w:val="center" w:pos="4535"/>
        <w:tab w:val="right" w:pos="9071"/>
      </w:tabs>
      <w:spacing w:before="0"/>
    </w:pPr>
  </w:style>
  <w:style w:type="character" w:customStyle="1" w:styleId="HeaderChar">
    <w:name w:val="Header Char"/>
    <w:basedOn w:val="DefaultParagraphFont"/>
    <w:link w:val="Header"/>
    <w:uiPriority w:val="99"/>
    <w:rsid w:val="00D55891"/>
    <w:rPr>
      <w:rFonts w:ascii="Times New Roman" w:hAnsi="Times New Roman" w:cs="Times New Roman"/>
      <w:sz w:val="24"/>
      <w:lang w:val="sv-SE"/>
    </w:rPr>
  </w:style>
  <w:style w:type="paragraph" w:styleId="Footer">
    <w:name w:val="footer"/>
    <w:basedOn w:val="Normal"/>
    <w:link w:val="FooterChar"/>
    <w:uiPriority w:val="99"/>
    <w:unhideWhenUsed/>
    <w:rsid w:val="00D55891"/>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D55891"/>
    <w:rPr>
      <w:rFonts w:ascii="Times New Roman" w:hAnsi="Times New Roman" w:cs="Times New Roman"/>
      <w:sz w:val="24"/>
      <w:lang w:val="sv-SE"/>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D55891"/>
    <w:pPr>
      <w:tabs>
        <w:tab w:val="center" w:pos="7285"/>
        <w:tab w:val="right" w:pos="14003"/>
      </w:tabs>
      <w:spacing w:before="0"/>
    </w:pPr>
  </w:style>
  <w:style w:type="paragraph" w:customStyle="1" w:styleId="FooterLandscape">
    <w:name w:val="FooterLandscape"/>
    <w:basedOn w:val="Normal"/>
    <w:rsid w:val="00D55891"/>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D55891"/>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D55891"/>
    <w:pPr>
      <w:spacing w:before="0"/>
      <w:jc w:val="right"/>
    </w:pPr>
    <w:rPr>
      <w:sz w:val="28"/>
    </w:rPr>
  </w:style>
  <w:style w:type="paragraph" w:customStyle="1" w:styleId="FooterSensitivity">
    <w:name w:val="Footer Sensitivity"/>
    <w:basedOn w:val="Normal"/>
    <w:rsid w:val="00D55891"/>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1"/>
      </w:numPr>
    </w:pPr>
  </w:style>
  <w:style w:type="paragraph" w:customStyle="1" w:styleId="Tiret1">
    <w:name w:val="Tiret 1"/>
    <w:basedOn w:val="Point1"/>
    <w:rsid w:val="009B7138"/>
    <w:pPr>
      <w:numPr>
        <w:numId w:val="12"/>
      </w:numPr>
    </w:pPr>
  </w:style>
  <w:style w:type="paragraph" w:customStyle="1" w:styleId="Tiret2">
    <w:name w:val="Tiret 2"/>
    <w:basedOn w:val="Point2"/>
    <w:rsid w:val="009B7138"/>
    <w:pPr>
      <w:numPr>
        <w:numId w:val="13"/>
      </w:numPr>
    </w:pPr>
  </w:style>
  <w:style w:type="paragraph" w:customStyle="1" w:styleId="Tiret3">
    <w:name w:val="Tiret 3"/>
    <w:basedOn w:val="Point3"/>
    <w:rsid w:val="009B7138"/>
    <w:pPr>
      <w:numPr>
        <w:numId w:val="14"/>
      </w:numPr>
    </w:pPr>
  </w:style>
  <w:style w:type="paragraph" w:customStyle="1" w:styleId="Tiret4">
    <w:name w:val="Tiret 4"/>
    <w:basedOn w:val="Point4"/>
    <w:rsid w:val="009B7138"/>
    <w:pPr>
      <w:numPr>
        <w:numId w:val="15"/>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1"/>
      </w:numPr>
    </w:pPr>
  </w:style>
  <w:style w:type="paragraph" w:customStyle="1" w:styleId="NumPar2">
    <w:name w:val="NumPar 2"/>
    <w:basedOn w:val="Normal"/>
    <w:next w:val="Text1"/>
    <w:rsid w:val="009B7138"/>
    <w:pPr>
      <w:numPr>
        <w:ilvl w:val="1"/>
        <w:numId w:val="31"/>
      </w:numPr>
    </w:pPr>
  </w:style>
  <w:style w:type="paragraph" w:customStyle="1" w:styleId="NumPar3">
    <w:name w:val="NumPar 3"/>
    <w:basedOn w:val="Normal"/>
    <w:next w:val="Text1"/>
    <w:rsid w:val="009B7138"/>
    <w:pPr>
      <w:numPr>
        <w:ilvl w:val="2"/>
        <w:numId w:val="31"/>
      </w:numPr>
    </w:pPr>
  </w:style>
  <w:style w:type="paragraph" w:customStyle="1" w:styleId="NumPar4">
    <w:name w:val="NumPar 4"/>
    <w:basedOn w:val="Normal"/>
    <w:next w:val="Text1"/>
    <w:rsid w:val="009B7138"/>
    <w:pPr>
      <w:numPr>
        <w:ilvl w:val="3"/>
        <w:numId w:val="31"/>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8"/>
      </w:numPr>
    </w:pPr>
  </w:style>
  <w:style w:type="paragraph" w:customStyle="1" w:styleId="Point1number">
    <w:name w:val="Point 1 (number)"/>
    <w:basedOn w:val="Normal"/>
    <w:rsid w:val="009B7138"/>
    <w:pPr>
      <w:numPr>
        <w:ilvl w:val="2"/>
        <w:numId w:val="18"/>
      </w:numPr>
    </w:pPr>
  </w:style>
  <w:style w:type="paragraph" w:customStyle="1" w:styleId="Point2number">
    <w:name w:val="Point 2 (number)"/>
    <w:basedOn w:val="Normal"/>
    <w:rsid w:val="009B7138"/>
    <w:pPr>
      <w:numPr>
        <w:ilvl w:val="4"/>
        <w:numId w:val="18"/>
      </w:numPr>
    </w:pPr>
  </w:style>
  <w:style w:type="paragraph" w:customStyle="1" w:styleId="Point3number">
    <w:name w:val="Point 3 (number)"/>
    <w:basedOn w:val="Normal"/>
    <w:rsid w:val="009B7138"/>
    <w:pPr>
      <w:numPr>
        <w:ilvl w:val="6"/>
        <w:numId w:val="18"/>
      </w:numPr>
    </w:pPr>
  </w:style>
  <w:style w:type="paragraph" w:customStyle="1" w:styleId="Point0letter">
    <w:name w:val="Point 0 (letter)"/>
    <w:basedOn w:val="Normal"/>
    <w:rsid w:val="009B7138"/>
    <w:pPr>
      <w:numPr>
        <w:ilvl w:val="1"/>
        <w:numId w:val="18"/>
      </w:numPr>
    </w:pPr>
  </w:style>
  <w:style w:type="paragraph" w:customStyle="1" w:styleId="Point1letter">
    <w:name w:val="Point 1 (letter)"/>
    <w:basedOn w:val="Normal"/>
    <w:rsid w:val="009B7138"/>
    <w:pPr>
      <w:numPr>
        <w:ilvl w:val="3"/>
        <w:numId w:val="18"/>
      </w:numPr>
    </w:pPr>
  </w:style>
  <w:style w:type="paragraph" w:customStyle="1" w:styleId="Point2letter">
    <w:name w:val="Point 2 (letter)"/>
    <w:basedOn w:val="Normal"/>
    <w:rsid w:val="009B7138"/>
    <w:pPr>
      <w:numPr>
        <w:ilvl w:val="5"/>
        <w:numId w:val="18"/>
      </w:numPr>
    </w:pPr>
  </w:style>
  <w:style w:type="paragraph" w:customStyle="1" w:styleId="Point3letter">
    <w:name w:val="Point 3 (letter)"/>
    <w:basedOn w:val="Normal"/>
    <w:rsid w:val="009B7138"/>
    <w:pPr>
      <w:numPr>
        <w:ilvl w:val="7"/>
        <w:numId w:val="18"/>
      </w:numPr>
    </w:pPr>
  </w:style>
  <w:style w:type="paragraph" w:customStyle="1" w:styleId="Point4letter">
    <w:name w:val="Point 4 (letter)"/>
    <w:basedOn w:val="Normal"/>
    <w:rsid w:val="009B7138"/>
    <w:pPr>
      <w:numPr>
        <w:ilvl w:val="8"/>
        <w:numId w:val="18"/>
      </w:numPr>
    </w:pPr>
  </w:style>
  <w:style w:type="paragraph" w:customStyle="1" w:styleId="Bullet0">
    <w:name w:val="Bullet 0"/>
    <w:basedOn w:val="Normal"/>
    <w:rsid w:val="009B7138"/>
    <w:pPr>
      <w:numPr>
        <w:numId w:val="19"/>
      </w:numPr>
    </w:pPr>
  </w:style>
  <w:style w:type="paragraph" w:customStyle="1" w:styleId="Bullet1">
    <w:name w:val="Bullet 1"/>
    <w:basedOn w:val="Normal"/>
    <w:rsid w:val="009B7138"/>
    <w:pPr>
      <w:numPr>
        <w:numId w:val="20"/>
      </w:numPr>
    </w:pPr>
  </w:style>
  <w:style w:type="paragraph" w:customStyle="1" w:styleId="Bullet2">
    <w:name w:val="Bullet 2"/>
    <w:basedOn w:val="Normal"/>
    <w:rsid w:val="009B7138"/>
    <w:pPr>
      <w:numPr>
        <w:numId w:val="21"/>
      </w:numPr>
    </w:pPr>
  </w:style>
  <w:style w:type="paragraph" w:customStyle="1" w:styleId="Bullet3">
    <w:name w:val="Bullet 3"/>
    <w:basedOn w:val="Normal"/>
    <w:rsid w:val="009B7138"/>
    <w:pPr>
      <w:numPr>
        <w:numId w:val="22"/>
      </w:numPr>
    </w:pPr>
  </w:style>
  <w:style w:type="paragraph" w:customStyle="1" w:styleId="Bullet4">
    <w:name w:val="Bullet 4"/>
    <w:basedOn w:val="Normal"/>
    <w:rsid w:val="009B7138"/>
    <w:pPr>
      <w:numPr>
        <w:numId w:val="23"/>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4"/>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273346"/>
    <w:rPr>
      <w:rFonts w:ascii="Times New Roman" w:eastAsiaTheme="majorEastAsia" w:hAnsi="Times New Roman" w:cs="Times New Roman"/>
      <w:sz w:val="24"/>
      <w:lang w:val="sv-SE"/>
    </w:rPr>
  </w:style>
  <w:style w:type="character" w:customStyle="1" w:styleId="Heading6Char">
    <w:name w:val="Heading 6 Char"/>
    <w:basedOn w:val="DefaultParagraphFont"/>
    <w:link w:val="Heading6"/>
    <w:uiPriority w:val="9"/>
    <w:semiHidden/>
    <w:rsid w:val="00273346"/>
    <w:rPr>
      <w:rFonts w:ascii="Times New Roman" w:eastAsiaTheme="majorEastAsia" w:hAnsi="Times New Roman" w:cs="Times New Roman"/>
      <w:iCs/>
      <w:sz w:val="24"/>
      <w:lang w:val="sv-SE"/>
    </w:rPr>
  </w:style>
  <w:style w:type="character" w:customStyle="1" w:styleId="Heading7Char">
    <w:name w:val="Heading 7 Char"/>
    <w:basedOn w:val="DefaultParagraphFont"/>
    <w:link w:val="Heading7"/>
    <w:uiPriority w:val="9"/>
    <w:semiHidden/>
    <w:rsid w:val="00273346"/>
    <w:rPr>
      <w:rFonts w:ascii="Times New Roman" w:eastAsiaTheme="majorEastAsia" w:hAnsi="Times New Roman" w:cs="Times New Roman"/>
      <w:iCs/>
      <w:sz w:val="24"/>
      <w:lang w:val="sv-SE"/>
    </w:rPr>
  </w:style>
  <w:style w:type="paragraph" w:customStyle="1" w:styleId="ManualHeading5">
    <w:name w:val="Manual Heading 5"/>
    <w:basedOn w:val="Normal"/>
    <w:next w:val="Text2"/>
    <w:rsid w:val="00273346"/>
    <w:pPr>
      <w:keepNext/>
      <w:tabs>
        <w:tab w:val="left" w:pos="1417"/>
      </w:tabs>
      <w:ind w:left="1417" w:hanging="1417"/>
      <w:outlineLvl w:val="4"/>
    </w:pPr>
  </w:style>
  <w:style w:type="paragraph" w:customStyle="1" w:styleId="ManualHeading6">
    <w:name w:val="Manual Heading 6"/>
    <w:basedOn w:val="Normal"/>
    <w:next w:val="Text2"/>
    <w:rsid w:val="00273346"/>
    <w:pPr>
      <w:keepNext/>
      <w:tabs>
        <w:tab w:val="left" w:pos="1417"/>
      </w:tabs>
      <w:ind w:left="1417" w:hanging="1417"/>
      <w:outlineLvl w:val="5"/>
    </w:pPr>
  </w:style>
  <w:style w:type="paragraph" w:customStyle="1" w:styleId="ManualHeading7">
    <w:name w:val="Manual Heading 7"/>
    <w:basedOn w:val="Normal"/>
    <w:next w:val="Text2"/>
    <w:rsid w:val="00273346"/>
    <w:pPr>
      <w:keepNext/>
      <w:tabs>
        <w:tab w:val="left" w:pos="1417"/>
      </w:tabs>
      <w:ind w:left="1417" w:hanging="1417"/>
      <w:outlineLvl w:val="6"/>
    </w:pPr>
  </w:style>
  <w:style w:type="paragraph" w:customStyle="1" w:styleId="Text5">
    <w:name w:val="Text 5"/>
    <w:basedOn w:val="Normal"/>
    <w:rsid w:val="00273346"/>
    <w:pPr>
      <w:ind w:left="3118"/>
    </w:pPr>
  </w:style>
  <w:style w:type="paragraph" w:customStyle="1" w:styleId="Text6">
    <w:name w:val="Text 6"/>
    <w:basedOn w:val="Normal"/>
    <w:rsid w:val="00273346"/>
    <w:pPr>
      <w:ind w:left="3685"/>
    </w:pPr>
  </w:style>
  <w:style w:type="paragraph" w:customStyle="1" w:styleId="Point5">
    <w:name w:val="Point 5"/>
    <w:basedOn w:val="Normal"/>
    <w:rsid w:val="00273346"/>
    <w:pPr>
      <w:ind w:left="3685" w:hanging="567"/>
    </w:pPr>
  </w:style>
  <w:style w:type="paragraph" w:customStyle="1" w:styleId="Tiret5">
    <w:name w:val="Tiret 5"/>
    <w:basedOn w:val="Point5"/>
    <w:rsid w:val="00273346"/>
    <w:pPr>
      <w:numPr>
        <w:numId w:val="28"/>
      </w:numPr>
    </w:pPr>
  </w:style>
  <w:style w:type="paragraph" w:customStyle="1" w:styleId="NumPar5">
    <w:name w:val="NumPar 5"/>
    <w:basedOn w:val="Normal"/>
    <w:next w:val="Text2"/>
    <w:rsid w:val="00273346"/>
    <w:pPr>
      <w:numPr>
        <w:ilvl w:val="4"/>
        <w:numId w:val="31"/>
      </w:numPr>
    </w:pPr>
  </w:style>
  <w:style w:type="paragraph" w:customStyle="1" w:styleId="NumPar6">
    <w:name w:val="NumPar 6"/>
    <w:basedOn w:val="Normal"/>
    <w:next w:val="Text2"/>
    <w:rsid w:val="00273346"/>
    <w:pPr>
      <w:numPr>
        <w:ilvl w:val="5"/>
        <w:numId w:val="31"/>
      </w:numPr>
    </w:pPr>
  </w:style>
  <w:style w:type="paragraph" w:customStyle="1" w:styleId="NumPar7">
    <w:name w:val="NumPar 7"/>
    <w:basedOn w:val="Normal"/>
    <w:next w:val="Text2"/>
    <w:rsid w:val="00273346"/>
    <w:pPr>
      <w:numPr>
        <w:ilvl w:val="6"/>
        <w:numId w:val="31"/>
      </w:numPr>
    </w:pPr>
  </w:style>
  <w:style w:type="paragraph" w:customStyle="1" w:styleId="ManualNumPar5">
    <w:name w:val="Manual NumPar 5"/>
    <w:basedOn w:val="Normal"/>
    <w:next w:val="Text2"/>
    <w:rsid w:val="00273346"/>
    <w:pPr>
      <w:ind w:left="1417" w:hanging="1417"/>
    </w:pPr>
  </w:style>
  <w:style w:type="paragraph" w:customStyle="1" w:styleId="ManualNumPar6">
    <w:name w:val="Manual NumPar 6"/>
    <w:basedOn w:val="Normal"/>
    <w:next w:val="Text2"/>
    <w:rsid w:val="00273346"/>
    <w:pPr>
      <w:ind w:left="1417" w:hanging="1417"/>
    </w:pPr>
  </w:style>
  <w:style w:type="paragraph" w:customStyle="1" w:styleId="ManualNumPar7">
    <w:name w:val="Manual NumPar 7"/>
    <w:basedOn w:val="Normal"/>
    <w:next w:val="Text2"/>
    <w:rsid w:val="00273346"/>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0</TotalTime>
  <Pages>3</Pages>
  <Words>417</Words>
  <Characters>2613</Characters>
  <Application>Microsoft Office Word</Application>
  <DocSecurity>0</DocSecurity>
  <Lines>52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2022-03-08T14:52:00Z</dcterms:created>
  <dcterms:modified xsi:type="dcterms:W3CDTF">2022-03-08T14:52:00Z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