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4BC1B" w14:textId="77777777" w:rsidR="00791E58" w:rsidRDefault="00791E58" w:rsidP="00B65771">
      <w:r w:rsidRPr="00791E58">
        <w:t xml:space="preserve">Validation rules will be now presented following new DPM-XL language, and they will be informed separately in two different files, one dedicated to the validation rules in force for the release and another file with the scope of the validation rules, which represents the historization their applicability. </w:t>
      </w:r>
    </w:p>
    <w:p w14:paraId="2D523D5D" w14:textId="1AFC6B3D" w:rsidR="00B65771" w:rsidRPr="00791E58" w:rsidRDefault="00791E58" w:rsidP="00B65771">
      <w:r>
        <w:t xml:space="preserve">Some instructions and </w:t>
      </w:r>
      <w:r w:rsidRPr="00791E58">
        <w:t xml:space="preserve">illustrative </w:t>
      </w:r>
      <w:r>
        <w:t>are provided bellow</w:t>
      </w:r>
      <w:r w:rsidRPr="00791E58">
        <w:t xml:space="preserve"> to help understand the new language and format of the new files.</w:t>
      </w:r>
    </w:p>
    <w:p w14:paraId="3E6AE890" w14:textId="4F1BC812" w:rsidR="00851F91" w:rsidRDefault="00B65771" w:rsidP="00791E58">
      <w:pPr>
        <w:pStyle w:val="ListParagraph"/>
        <w:numPr>
          <w:ilvl w:val="0"/>
          <w:numId w:val="1"/>
        </w:numPr>
        <w:rPr>
          <w:lang w:val="en-US"/>
        </w:rPr>
      </w:pPr>
      <w:r w:rsidRPr="00791E58">
        <w:rPr>
          <w:b/>
          <w:bCs/>
          <w:lang w:val="en-US"/>
        </w:rPr>
        <w:t>New language DPM – XL</w:t>
      </w:r>
      <w:r>
        <w:rPr>
          <w:lang w:val="en-US"/>
        </w:rPr>
        <w:t>: DPM – XL standard will apply from now on to validation rules, which implies that most of the information that was relying before on excel formats will be included inside the expression of the validation rule. This change is based on two elements:</w:t>
      </w:r>
    </w:p>
    <w:p w14:paraId="1412D528" w14:textId="77777777" w:rsidR="00791E58" w:rsidRPr="00791E58" w:rsidRDefault="00791E58" w:rsidP="00791E58">
      <w:pPr>
        <w:pStyle w:val="ListParagraph"/>
        <w:rPr>
          <w:lang w:val="en-US"/>
        </w:rPr>
      </w:pPr>
    </w:p>
    <w:p w14:paraId="19A24D88" w14:textId="0285294F" w:rsidR="00851F91" w:rsidRDefault="00851F91" w:rsidP="00B65771">
      <w:pPr>
        <w:pStyle w:val="ListParagraph"/>
        <w:rPr>
          <w:lang w:val="en-US"/>
        </w:rPr>
      </w:pPr>
      <w:r w:rsidRPr="00851F91">
        <w:rPr>
          <w:noProof/>
        </w:rPr>
        <w:drawing>
          <wp:inline distT="0" distB="0" distL="0" distR="0" wp14:anchorId="498E7971" wp14:editId="79D5B14D">
            <wp:extent cx="4429743" cy="419158"/>
            <wp:effectExtent l="0" t="0" r="9525" b="0"/>
            <wp:docPr id="20" name="Picture 19">
              <a:extLst xmlns:a="http://schemas.openxmlformats.org/drawingml/2006/main">
                <a:ext uri="{FF2B5EF4-FFF2-40B4-BE49-F238E27FC236}">
                  <a16:creationId xmlns:a16="http://schemas.microsoft.com/office/drawing/2014/main" id="{C3889D14-F571-BC4F-C1FD-C4941A56BC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C3889D14-F571-BC4F-C1FD-C4941A56BC4C}"/>
                        </a:ext>
                      </a:extLst>
                    </pic:cNvPr>
                    <pic:cNvPicPr>
                      <a:picLocks noChangeAspect="1"/>
                    </pic:cNvPicPr>
                  </pic:nvPicPr>
                  <pic:blipFill>
                    <a:blip r:embed="rId8"/>
                    <a:stretch>
                      <a:fillRect/>
                    </a:stretch>
                  </pic:blipFill>
                  <pic:spPr>
                    <a:xfrm>
                      <a:off x="0" y="0"/>
                      <a:ext cx="4429743" cy="419158"/>
                    </a:xfrm>
                    <a:prstGeom prst="rect">
                      <a:avLst/>
                    </a:prstGeom>
                  </pic:spPr>
                </pic:pic>
              </a:graphicData>
            </a:graphic>
          </wp:inline>
        </w:drawing>
      </w:r>
    </w:p>
    <w:p w14:paraId="3DCCE44E" w14:textId="0BD3BEE1" w:rsidR="00B65771" w:rsidRPr="00B65771" w:rsidRDefault="00B65771" w:rsidP="00B65771">
      <w:pPr>
        <w:pStyle w:val="ListParagraph"/>
        <w:numPr>
          <w:ilvl w:val="0"/>
          <w:numId w:val="2"/>
        </w:numPr>
        <w:rPr>
          <w:lang w:val="en-US"/>
        </w:rPr>
      </w:pPr>
      <w:r>
        <w:rPr>
          <w:lang w:val="en-US"/>
        </w:rPr>
        <w:t xml:space="preserve">A </w:t>
      </w:r>
      <w:r w:rsidRPr="00B65771">
        <w:t xml:space="preserve">selection operator </w:t>
      </w:r>
      <w:r>
        <w:t xml:space="preserve">{}, that will provide information on three aspects: </w:t>
      </w:r>
      <w:r w:rsidRPr="00B65771">
        <w:t xml:space="preserve">the </w:t>
      </w:r>
      <w:proofErr w:type="spellStart"/>
      <w:r w:rsidRPr="00B65771">
        <w:t>recordset</w:t>
      </w:r>
      <w:proofErr w:type="spellEnd"/>
      <w:r w:rsidRPr="00B65771">
        <w:t xml:space="preserve"> selection</w:t>
      </w:r>
      <w:r>
        <w:t>, when we refer to cell</w:t>
      </w:r>
      <w:r w:rsidRPr="00B65771">
        <w:t>,</w:t>
      </w:r>
      <w:r>
        <w:t xml:space="preserve"> variable or operation that we want to read and to which the validation rule will be applied; the default value, that is the value that will substitute the empty; and the arithmetic approach, that will be mathematically done at the level of operation, and can be defined with interval or poin</w:t>
      </w:r>
      <w:r w:rsidR="00851F91">
        <w:t>t</w:t>
      </w:r>
      <w:r>
        <w:t>.</w:t>
      </w:r>
      <w:r w:rsidR="00851F91">
        <w:t xml:space="preserve"> In the example above, we will see the </w:t>
      </w:r>
      <w:proofErr w:type="spellStart"/>
      <w:r w:rsidR="00851F91">
        <w:t>recordset</w:t>
      </w:r>
      <w:proofErr w:type="spellEnd"/>
      <w:r w:rsidR="00851F91">
        <w:t xml:space="preserve"> coloured in green, the default value coloured in red and the arithmetic approach in blue.</w:t>
      </w:r>
    </w:p>
    <w:p w14:paraId="14DD6D9A" w14:textId="77777777" w:rsidR="00B65771" w:rsidRPr="00B65771" w:rsidRDefault="00B65771" w:rsidP="00B65771">
      <w:pPr>
        <w:pStyle w:val="ListParagraph"/>
        <w:ind w:left="1440"/>
        <w:rPr>
          <w:lang w:val="en-US"/>
        </w:rPr>
      </w:pPr>
    </w:p>
    <w:p w14:paraId="721F692B" w14:textId="77777777" w:rsidR="00851F91" w:rsidRPr="00851F91" w:rsidRDefault="00B65771" w:rsidP="00B65771">
      <w:pPr>
        <w:pStyle w:val="ListParagraph"/>
        <w:numPr>
          <w:ilvl w:val="0"/>
          <w:numId w:val="2"/>
        </w:numPr>
        <w:rPr>
          <w:lang w:val="en-US"/>
        </w:rPr>
      </w:pPr>
      <w:r>
        <w:t>T</w:t>
      </w:r>
      <w:r w:rsidRPr="00B65771">
        <w:t xml:space="preserve">he operator </w:t>
      </w:r>
      <w:r>
        <w:t>“</w:t>
      </w:r>
      <w:r w:rsidRPr="00B65771">
        <w:t>with</w:t>
      </w:r>
      <w:r>
        <w:t>”</w:t>
      </w:r>
      <w:r w:rsidRPr="00B65771">
        <w:t xml:space="preserve"> that </w:t>
      </w:r>
      <w:r w:rsidR="00851F91">
        <w:t>allow</w:t>
      </w:r>
      <w:r w:rsidRPr="00B65771">
        <w:t xml:space="preserve"> to provide the context</w:t>
      </w:r>
      <w:r w:rsidR="00851F91">
        <w:t xml:space="preserve"> whenever otherwise the information would be repeated across the validation rule, </w:t>
      </w:r>
      <w:proofErr w:type="gramStart"/>
      <w:r w:rsidR="00851F91">
        <w:t>due to the fact that</w:t>
      </w:r>
      <w:proofErr w:type="gramEnd"/>
      <w:r w:rsidR="00851F91">
        <w:t xml:space="preserve"> some information inside the selection operator is exactly the same for all operands that the validation rule has. In the example above, it </w:t>
      </w:r>
      <w:proofErr w:type="gramStart"/>
      <w:r w:rsidR="00851F91">
        <w:t>allow</w:t>
      </w:r>
      <w:proofErr w:type="gramEnd"/>
      <w:r w:rsidR="00851F91">
        <w:t xml:space="preserve"> to summarise the expression, grouping the common information, which otherwise would have been indicated as follows:</w:t>
      </w:r>
    </w:p>
    <w:p w14:paraId="3A129C38" w14:textId="77777777" w:rsidR="00851F91" w:rsidRDefault="00851F91" w:rsidP="00851F91">
      <w:pPr>
        <w:pStyle w:val="ListParagraph"/>
      </w:pPr>
    </w:p>
    <w:p w14:paraId="1C230EEB" w14:textId="7EEEA6CE" w:rsidR="00851F91" w:rsidRDefault="00851F91" w:rsidP="00851F91">
      <w:pPr>
        <w:pStyle w:val="ListParagraph"/>
        <w:ind w:left="1440"/>
        <w:rPr>
          <w:lang w:val="en-US"/>
        </w:rPr>
      </w:pPr>
      <w:r w:rsidRPr="00851F91">
        <w:rPr>
          <w:color w:val="E97132" w:themeColor="accent2"/>
          <w:lang w:val="en-US"/>
        </w:rPr>
        <w:t>{tC_06.02,</w:t>
      </w:r>
      <w:r w:rsidRPr="00851F91">
        <w:rPr>
          <w:lang w:val="en-US"/>
        </w:rPr>
        <w:t xml:space="preserve"> c0030, </w:t>
      </w:r>
      <w:r w:rsidRPr="00851F91">
        <w:rPr>
          <w:color w:val="E97132" w:themeColor="accent2"/>
          <w:lang w:val="en-US"/>
        </w:rPr>
        <w:t>default: 0, interval: true</w:t>
      </w:r>
      <w:r w:rsidRPr="00851F91">
        <w:rPr>
          <w:lang w:val="en-US"/>
        </w:rPr>
        <w:t xml:space="preserve">} </w:t>
      </w:r>
      <w:proofErr w:type="gramStart"/>
      <w:r w:rsidRPr="00851F91">
        <w:rPr>
          <w:lang w:val="en-US"/>
        </w:rPr>
        <w:t xml:space="preserve">=  </w:t>
      </w:r>
      <w:r w:rsidRPr="00851F91">
        <w:rPr>
          <w:color w:val="E97132" w:themeColor="accent2"/>
          <w:lang w:val="en-US"/>
        </w:rPr>
        <w:t>{</w:t>
      </w:r>
      <w:proofErr w:type="gramEnd"/>
      <w:r w:rsidRPr="00851F91">
        <w:rPr>
          <w:color w:val="E97132" w:themeColor="accent2"/>
          <w:lang w:val="en-US"/>
        </w:rPr>
        <w:t xml:space="preserve">tC_06.02, </w:t>
      </w:r>
      <w:r w:rsidRPr="00851F91">
        <w:rPr>
          <w:lang w:val="en-US"/>
        </w:rPr>
        <w:t xml:space="preserve">c0310, </w:t>
      </w:r>
      <w:r w:rsidRPr="00851F91">
        <w:rPr>
          <w:color w:val="E97132" w:themeColor="accent2"/>
          <w:lang w:val="en-US"/>
        </w:rPr>
        <w:t>default: 0, interval: true</w:t>
      </w:r>
      <w:r w:rsidRPr="00851F91">
        <w:rPr>
          <w:lang w:val="en-US"/>
        </w:rPr>
        <w:t>} + {</w:t>
      </w:r>
      <w:r w:rsidRPr="00851F91">
        <w:rPr>
          <w:color w:val="E97132" w:themeColor="accent2"/>
          <w:lang w:val="en-US"/>
        </w:rPr>
        <w:t>tC_06.02</w:t>
      </w:r>
      <w:r w:rsidRPr="00851F91">
        <w:rPr>
          <w:lang w:val="en-US"/>
        </w:rPr>
        <w:t xml:space="preserve">, c0340, </w:t>
      </w:r>
      <w:r w:rsidRPr="00851F91">
        <w:rPr>
          <w:color w:val="E97132" w:themeColor="accent2"/>
          <w:lang w:val="en-US"/>
        </w:rPr>
        <w:t>default: 0, interval: true</w:t>
      </w:r>
      <w:r w:rsidRPr="00851F91">
        <w:rPr>
          <w:lang w:val="en-US"/>
        </w:rPr>
        <w:t xml:space="preserve">} </w:t>
      </w:r>
    </w:p>
    <w:p w14:paraId="37E82DD9" w14:textId="77777777" w:rsidR="00851F91" w:rsidRDefault="00851F91" w:rsidP="00851F91">
      <w:pPr>
        <w:pStyle w:val="ListParagraph"/>
        <w:ind w:left="1440"/>
        <w:rPr>
          <w:lang w:val="en-US"/>
        </w:rPr>
      </w:pPr>
    </w:p>
    <w:p w14:paraId="17569BF4" w14:textId="1EF7A2F4" w:rsidR="00851F91" w:rsidRPr="00851F91" w:rsidRDefault="00851F91" w:rsidP="00851F91">
      <w:pPr>
        <w:pStyle w:val="ListParagraph"/>
        <w:ind w:left="1440"/>
        <w:rPr>
          <w:lang w:val="en-US"/>
        </w:rPr>
      </w:pPr>
      <w:r>
        <w:rPr>
          <w:lang w:val="en-US"/>
        </w:rPr>
        <w:t xml:space="preserve">The information </w:t>
      </w:r>
      <w:r w:rsidR="00832832">
        <w:rPr>
          <w:lang w:val="en-US"/>
        </w:rPr>
        <w:t>colored</w:t>
      </w:r>
      <w:r>
        <w:rPr>
          <w:lang w:val="en-US"/>
        </w:rPr>
        <w:t xml:space="preserve"> in orange is duplicated across the validation rule, which would not be very efficient.</w:t>
      </w:r>
    </w:p>
    <w:p w14:paraId="7A15ACEF" w14:textId="77777777" w:rsidR="00B65771" w:rsidRDefault="00B65771" w:rsidP="00B65771">
      <w:pPr>
        <w:rPr>
          <w:lang w:val="en-US"/>
        </w:rPr>
      </w:pPr>
    </w:p>
    <w:p w14:paraId="4597F727" w14:textId="682E18C3" w:rsidR="00851F91" w:rsidRPr="00791E58" w:rsidRDefault="00851F91" w:rsidP="00851F91">
      <w:pPr>
        <w:pStyle w:val="ListParagraph"/>
        <w:numPr>
          <w:ilvl w:val="0"/>
          <w:numId w:val="1"/>
        </w:numPr>
        <w:rPr>
          <w:b/>
          <w:bCs/>
          <w:lang w:val="en-US"/>
        </w:rPr>
      </w:pPr>
      <w:r w:rsidRPr="00791E58">
        <w:rPr>
          <w:b/>
          <w:bCs/>
          <w:lang w:val="en-US"/>
        </w:rPr>
        <w:t>Scope</w:t>
      </w:r>
    </w:p>
    <w:p w14:paraId="3C33F109" w14:textId="53DF1AF4" w:rsidR="00832832" w:rsidRDefault="00851F91" w:rsidP="00B65771">
      <w:pPr>
        <w:rPr>
          <w:lang w:val="en-US"/>
        </w:rPr>
      </w:pPr>
      <w:r>
        <w:rPr>
          <w:lang w:val="en-US"/>
        </w:rPr>
        <w:t xml:space="preserve">Up till now, </w:t>
      </w:r>
      <w:r w:rsidR="00B65771" w:rsidRPr="00B65771">
        <w:rPr>
          <w:lang w:val="en-US"/>
        </w:rPr>
        <w:t xml:space="preserve">the validation rules </w:t>
      </w:r>
      <w:r>
        <w:rPr>
          <w:lang w:val="en-US"/>
        </w:rPr>
        <w:t xml:space="preserve">were published in an excel file, </w:t>
      </w:r>
      <w:r w:rsidR="00832832">
        <w:rPr>
          <w:lang w:val="en-US"/>
        </w:rPr>
        <w:t>providing information on dedicated</w:t>
      </w:r>
      <w:r w:rsidR="00B65771" w:rsidRPr="00B65771">
        <w:rPr>
          <w:lang w:val="en-US"/>
        </w:rPr>
        <w:t xml:space="preserve"> tab for </w:t>
      </w:r>
      <w:r w:rsidR="00832832">
        <w:rPr>
          <w:lang w:val="en-US"/>
        </w:rPr>
        <w:t>each</w:t>
      </w:r>
      <w:r w:rsidR="00B65771" w:rsidRPr="00B65771">
        <w:rPr>
          <w:lang w:val="en-US"/>
        </w:rPr>
        <w:t xml:space="preserve"> release </w:t>
      </w:r>
      <w:r w:rsidR="00832832">
        <w:rPr>
          <w:lang w:val="en-US"/>
        </w:rPr>
        <w:t>since the first release v 2.0. The new format will provide in a unique document all the historization of the applicability of a certain validation rule, across time, releases and module versions, so the users can have an overall picture in one shot of all the changes that the validation rule has suffered, in terms of applicability to the different module versions and period of applicability, severity changes, active/inactive status, and date of activation/deactivation and, of course, changes in the expression</w:t>
      </w:r>
      <w:r w:rsidR="00433A97">
        <w:rPr>
          <w:lang w:val="en-US"/>
        </w:rPr>
        <w:t>. T</w:t>
      </w:r>
      <w:r w:rsidR="00433A97" w:rsidRPr="00433A97">
        <w:t>his approach eliminates the need to manually check each tab for each release to identify differences</w:t>
      </w:r>
      <w:r w:rsidR="00433A97">
        <w:t>.</w:t>
      </w:r>
      <w:r w:rsidR="00DC39B2">
        <w:rPr>
          <w:lang w:val="en-US"/>
        </w:rPr>
        <w:t xml:space="preserve"> </w:t>
      </w:r>
    </w:p>
    <w:p w14:paraId="52D6343A" w14:textId="70600FE4" w:rsidR="00791E58" w:rsidRDefault="003F72CA" w:rsidP="00791E58">
      <w:pPr>
        <w:rPr>
          <w:lang w:val="en-US"/>
        </w:rPr>
      </w:pPr>
      <w:r>
        <w:rPr>
          <w:lang w:val="en-US"/>
        </w:rPr>
        <w:lastRenderedPageBreak/>
        <w:t>The file is providing information on the different features of the validation rule</w:t>
      </w:r>
      <w:r w:rsidR="000015F2">
        <w:rPr>
          <w:lang w:val="en-US"/>
        </w:rPr>
        <w:t xml:space="preserve"> as they </w:t>
      </w:r>
      <w:r>
        <w:rPr>
          <w:lang w:val="en-US"/>
        </w:rPr>
        <w:t>apply/applied</w:t>
      </w:r>
      <w:r w:rsidR="00D74512">
        <w:rPr>
          <w:lang w:val="en-US"/>
        </w:rPr>
        <w:t xml:space="preserve"> to a specific module version. This means that all the relevant information on the validation rule is tied up or linked to a specific module version. The following information is presented: </w:t>
      </w:r>
      <w:r>
        <w:rPr>
          <w:lang w:val="en-US"/>
        </w:rPr>
        <w:t>code of the validation rule (column A)</w:t>
      </w:r>
      <w:r w:rsidR="00D74512">
        <w:rPr>
          <w:lang w:val="en-US"/>
        </w:rPr>
        <w:t>,</w:t>
      </w:r>
      <w:r>
        <w:rPr>
          <w:lang w:val="en-US"/>
        </w:rPr>
        <w:t xml:space="preserve"> module version for which the validation rule is </w:t>
      </w:r>
      <w:r w:rsidR="00D74512">
        <w:rPr>
          <w:lang w:val="en-US"/>
        </w:rPr>
        <w:t>applies/applied</w:t>
      </w:r>
      <w:r>
        <w:rPr>
          <w:lang w:val="en-US"/>
        </w:rPr>
        <w:t xml:space="preserve"> (Column B), the expression (Column C), </w:t>
      </w:r>
      <w:r w:rsidR="002135A7">
        <w:rPr>
          <w:lang w:val="en-US"/>
        </w:rPr>
        <w:t xml:space="preserve">description (Column D), </w:t>
      </w:r>
      <w:r>
        <w:rPr>
          <w:lang w:val="en-US"/>
        </w:rPr>
        <w:t xml:space="preserve">from date to date </w:t>
      </w:r>
      <w:r w:rsidR="00D74512">
        <w:rPr>
          <w:lang w:val="en-US"/>
        </w:rPr>
        <w:t xml:space="preserve">applicability, relying on the reference period of the </w:t>
      </w:r>
      <w:r>
        <w:rPr>
          <w:lang w:val="en-US"/>
        </w:rPr>
        <w:t>module version</w:t>
      </w:r>
      <w:r w:rsidR="00D74512">
        <w:rPr>
          <w:lang w:val="en-US"/>
        </w:rPr>
        <w:t xml:space="preserve"> to which it is applied (Columns E and F), information about the start and end release, relying on the starting and end release of the module version to which it is applied (Columns H and I), Severity stat</w:t>
      </w:r>
      <w:r w:rsidR="002135A7">
        <w:rPr>
          <w:lang w:val="en-US"/>
        </w:rPr>
        <w:t>u</w:t>
      </w:r>
      <w:r w:rsidR="00D74512">
        <w:rPr>
          <w:lang w:val="en-US"/>
        </w:rPr>
        <w:t>s of the validation rule, (Column J) and Active/inactive status (Column K), both linked to the module version as well. Lastly, sent on date (Column G) determines the date from which a certain activation/deactivation or change in severity stat</w:t>
      </w:r>
      <w:r w:rsidR="006F7B66">
        <w:rPr>
          <w:lang w:val="en-US"/>
        </w:rPr>
        <w:t>u</w:t>
      </w:r>
      <w:r w:rsidR="00D74512">
        <w:rPr>
          <w:lang w:val="en-US"/>
        </w:rPr>
        <w:t>s apply.</w:t>
      </w:r>
    </w:p>
    <w:p w14:paraId="4D43625A" w14:textId="77777777" w:rsidR="00545C24" w:rsidRDefault="00791E58" w:rsidP="00791E58">
      <w:r w:rsidRPr="006E132F">
        <w:t xml:space="preserve">Please note that until the full migration to DPM 2.0 is complete, we will maintain a </w:t>
      </w:r>
      <w:r w:rsidRPr="002135A7">
        <w:rPr>
          <w:b/>
          <w:bCs/>
          <w:highlight w:val="yellow"/>
        </w:rPr>
        <w:t>transitional period during which both formats will be published. The new format will include validation rules in force and their scope, with the particularity that it will c</w:t>
      </w:r>
      <w:r w:rsidR="002135A7" w:rsidRPr="002135A7">
        <w:rPr>
          <w:b/>
          <w:bCs/>
          <w:highlight w:val="yellow"/>
        </w:rPr>
        <w:t xml:space="preserve">over only the module versions of current release </w:t>
      </w:r>
      <w:r w:rsidR="002135A7" w:rsidRPr="002135A7">
        <w:rPr>
          <w:b/>
          <w:bCs/>
          <w:highlight w:val="yellow"/>
        </w:rPr>
        <w:t>(COREP_OF, COREP_LR, IF CLASS 2, MICA and DORA)</w:t>
      </w:r>
      <w:r w:rsidRPr="002135A7">
        <w:rPr>
          <w:b/>
          <w:bCs/>
          <w:highlight w:val="yellow"/>
        </w:rPr>
        <w:t>.</w:t>
      </w:r>
      <w:r w:rsidRPr="006E132F">
        <w:t xml:space="preserve"> </w:t>
      </w:r>
      <w:r w:rsidR="00545C24">
        <w:t>This means that historization under the new format will start only from v 4.0 onwards.</w:t>
      </w:r>
      <w:r w:rsidR="00545C24">
        <w:t xml:space="preserve"> </w:t>
      </w:r>
      <w:r w:rsidRPr="006E132F">
        <w:t>The old format will continue to include validation rules up to</w:t>
      </w:r>
      <w:r w:rsidR="002135A7">
        <w:t xml:space="preserve"> module</w:t>
      </w:r>
      <w:r w:rsidRPr="006E132F">
        <w:t xml:space="preserve"> version</w:t>
      </w:r>
      <w:r w:rsidR="002135A7">
        <w:t>s</w:t>
      </w:r>
      <w:r w:rsidRPr="006E132F">
        <w:t xml:space="preserve"> 3.5.</w:t>
      </w:r>
      <w:r>
        <w:t xml:space="preserve"> </w:t>
      </w:r>
    </w:p>
    <w:p w14:paraId="47ADDFE1" w14:textId="777A909B" w:rsidR="00791E58" w:rsidRPr="00791E58" w:rsidRDefault="00545C24" w:rsidP="00791E58">
      <w:r>
        <w:t>Accordingly,</w:t>
      </w:r>
      <w:r w:rsidR="00791E58" w:rsidRPr="00791E58">
        <w:t xml:space="preserve"> we will </w:t>
      </w:r>
      <w:r>
        <w:t>find</w:t>
      </w:r>
      <w:r w:rsidR="00791E58" w:rsidRPr="00791E58">
        <w:t>:</w:t>
      </w:r>
    </w:p>
    <w:p w14:paraId="74729626" w14:textId="3038C7C0" w:rsidR="00791E58" w:rsidRPr="00791E58" w:rsidRDefault="00791E58" w:rsidP="00791E58">
      <w:pPr>
        <w:numPr>
          <w:ilvl w:val="0"/>
          <w:numId w:val="5"/>
        </w:numPr>
      </w:pPr>
      <w:r w:rsidRPr="00791E58">
        <w:t xml:space="preserve">In this first release 4.0, </w:t>
      </w:r>
      <w:r w:rsidR="002135A7">
        <w:t>only one</w:t>
      </w:r>
      <w:r w:rsidRPr="00791E58">
        <w:t xml:space="preserve"> scope will be shown</w:t>
      </w:r>
      <w:r w:rsidR="002135A7">
        <w:t xml:space="preserve"> for modules that are released in this version (COREP_OF, COREP_LR, IF CLASS 2, MICA and DORA).</w:t>
      </w:r>
    </w:p>
    <w:p w14:paraId="6AF720B8" w14:textId="60403C75" w:rsidR="00791E58" w:rsidRPr="00791E58" w:rsidRDefault="00791E58" w:rsidP="00791E58">
      <w:pPr>
        <w:numPr>
          <w:ilvl w:val="0"/>
          <w:numId w:val="5"/>
        </w:numPr>
      </w:pPr>
      <w:r w:rsidRPr="00791E58">
        <w:t xml:space="preserve">In the next release 4.1, a maximum of </w:t>
      </w:r>
      <w:r w:rsidR="002135A7">
        <w:t>two</w:t>
      </w:r>
      <w:r w:rsidRPr="00791E58">
        <w:t xml:space="preserve"> scopes will be shown: the stock or starting point, based on release </w:t>
      </w:r>
      <w:r w:rsidR="002135A7">
        <w:t>4.0</w:t>
      </w:r>
      <w:r w:rsidRPr="00791E58">
        <w:t>; and a new version, based on 4.1, wherever a new module version applies.</w:t>
      </w:r>
    </w:p>
    <w:p w14:paraId="25AF28DC" w14:textId="0F6D5E8B" w:rsidR="00791E58" w:rsidRDefault="00791E58" w:rsidP="00791E58">
      <w:pPr>
        <w:numPr>
          <w:ilvl w:val="0"/>
          <w:numId w:val="5"/>
        </w:numPr>
      </w:pPr>
      <w:r w:rsidRPr="00791E58">
        <w:t xml:space="preserve">In release 4.2, a maximum of </w:t>
      </w:r>
      <w:r w:rsidR="002135A7">
        <w:t>three</w:t>
      </w:r>
      <w:r w:rsidRPr="00791E58">
        <w:t xml:space="preserve"> scopes will be shown: the stock or starting point, based on release 4.0</w:t>
      </w:r>
      <w:r w:rsidR="002135A7">
        <w:t>;</w:t>
      </w:r>
      <w:r w:rsidRPr="00791E58">
        <w:t xml:space="preserve"> 4.1 versions, wherever a new module version applied</w:t>
      </w:r>
      <w:r w:rsidR="002135A7">
        <w:t xml:space="preserve"> in this release</w:t>
      </w:r>
      <w:r w:rsidRPr="00791E58">
        <w:t>; and a new version, based on 4.2, wherever a new module version applies.</w:t>
      </w:r>
    </w:p>
    <w:p w14:paraId="19396EBA" w14:textId="77777777" w:rsidR="00545C24" w:rsidRDefault="00545C24" w:rsidP="00545C24"/>
    <w:p w14:paraId="2067C2EE" w14:textId="77777777" w:rsidR="00791E58" w:rsidRPr="00791E58" w:rsidRDefault="00791E58" w:rsidP="00791E58"/>
    <w:p w14:paraId="268BAC19" w14:textId="4D737775" w:rsidR="006F3A3D" w:rsidRPr="00B65771" w:rsidRDefault="006F3A3D">
      <w:pPr>
        <w:rPr>
          <w:lang w:val="en-US"/>
        </w:rPr>
      </w:pPr>
    </w:p>
    <w:sectPr w:rsidR="006F3A3D" w:rsidRPr="00B65771">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38817" w14:textId="77777777" w:rsidR="00851F91" w:rsidRDefault="00851F91" w:rsidP="00851F91">
      <w:pPr>
        <w:spacing w:after="0" w:line="240" w:lineRule="auto"/>
      </w:pPr>
      <w:r>
        <w:separator/>
      </w:r>
    </w:p>
  </w:endnote>
  <w:endnote w:type="continuationSeparator" w:id="0">
    <w:p w14:paraId="616986AC" w14:textId="77777777" w:rsidR="00851F91" w:rsidRDefault="00851F91" w:rsidP="0085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5ECFF" w14:textId="77777777" w:rsidR="00851F91" w:rsidRDefault="00851F91" w:rsidP="00851F91">
      <w:pPr>
        <w:spacing w:after="0" w:line="240" w:lineRule="auto"/>
      </w:pPr>
      <w:r>
        <w:separator/>
      </w:r>
    </w:p>
  </w:footnote>
  <w:footnote w:type="continuationSeparator" w:id="0">
    <w:p w14:paraId="00C8EE69" w14:textId="77777777" w:rsidR="00851F91" w:rsidRDefault="00851F91" w:rsidP="00851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4CCE8" w14:textId="6E344E1F" w:rsidR="00851F91" w:rsidRDefault="00851F91">
    <w:pPr>
      <w:pStyle w:val="Header"/>
    </w:pPr>
    <w:r>
      <w:rPr>
        <w:noProof/>
      </w:rPr>
      <mc:AlternateContent>
        <mc:Choice Requires="wps">
          <w:drawing>
            <wp:anchor distT="0" distB="0" distL="0" distR="0" simplePos="0" relativeHeight="251659264" behindDoc="0" locked="0" layoutInCell="1" allowOverlap="1" wp14:anchorId="67A5FADD" wp14:editId="37527673">
              <wp:simplePos x="635" y="635"/>
              <wp:positionH relativeFrom="page">
                <wp:align>left</wp:align>
              </wp:positionH>
              <wp:positionV relativeFrom="page">
                <wp:align>top</wp:align>
              </wp:positionV>
              <wp:extent cx="1341120" cy="391160"/>
              <wp:effectExtent l="0" t="0" r="11430" b="8890"/>
              <wp:wrapNone/>
              <wp:docPr id="2114476619" name="Text Box 2"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1120" cy="391160"/>
                      </a:xfrm>
                      <a:prstGeom prst="rect">
                        <a:avLst/>
                      </a:prstGeom>
                      <a:noFill/>
                      <a:ln>
                        <a:noFill/>
                      </a:ln>
                    </wps:spPr>
                    <wps:txbx>
                      <w:txbxContent>
                        <w:p w14:paraId="33D90532" w14:textId="27A9111A" w:rsidR="00851F91" w:rsidRPr="00851F91" w:rsidRDefault="00851F91" w:rsidP="00851F91">
                          <w:pPr>
                            <w:spacing w:after="0"/>
                            <w:rPr>
                              <w:rFonts w:ascii="Aptos" w:eastAsia="Aptos" w:hAnsi="Aptos" w:cs="Aptos"/>
                              <w:noProof/>
                              <w:color w:val="000000"/>
                              <w:sz w:val="24"/>
                              <w:szCs w:val="24"/>
                            </w:rPr>
                          </w:pPr>
                          <w:r w:rsidRPr="00851F91">
                            <w:rPr>
                              <w:rFonts w:ascii="Aptos" w:eastAsia="Aptos" w:hAnsi="Aptos" w:cs="Aptos"/>
                              <w:noProof/>
                              <w:color w:val="000000"/>
                              <w:sz w:val="24"/>
                              <w:szCs w:val="24"/>
                            </w:rPr>
                            <w:t>EBA Regular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A5FADD" id="_x0000_t202" coordsize="21600,21600" o:spt="202" path="m,l,21600r21600,l21600,xe">
              <v:stroke joinstyle="miter"/>
              <v:path gradientshapeok="t" o:connecttype="rect"/>
            </v:shapetype>
            <v:shape id="Text Box 2" o:spid="_x0000_s1026" type="#_x0000_t202" alt="EBA Regular Use" style="position:absolute;margin-left:0;margin-top:0;width:105.6pt;height:30.8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SRWDQIAABsEAAAOAAAAZHJzL2Uyb0RvYy54bWysU8lu2zAQvRfoPxC815KcBY1gOXATuChg&#10;JAGcImeaIi0BFIcgx5bcr++Qlu027anohZyNs7x5nN0PnWF75UMLtuLFJOdMWQl1a7cV//66/PSZ&#10;s4DC1sKAVRU/qMDv5x8/zHpXqik0YGrlGSWxoexdxRtEV2ZZkI3qRJiAU5acGnwnkFS/zWovesre&#10;mWya57dZD752HqQKgayPRyefp/xaK4nPWgeFzFScesN0+nRu4pnNZ6LceuGaVo5tiH/oohOtpaLn&#10;VI8CBdv59o9UXSs9BNA4kdBloHUrVZqBpinyd9OsG+FUmoXACe4MU/h/aeXTfu1ePMPhCwy0wAhI&#10;70IZyBjnGbTv4k2dMvIThIczbGpAJuOjq+uimJJLku/qrihuE67Z5bXzAb8q6FgUKu5pLQktsV8F&#10;pIoUegqJxSwsW2PSaoz9zUCB0ZJdWowSDpth7HsD9YHG8XDcdHBy2VLNlQj4IjytltokuuIzHdpA&#10;X3EYJc4a8D/+Zo/xhDh5OeuJKhW3xGXOzDdLm5jeXOd5pFbSirv8Jmo+aSRsToLddQ9ALCzoQziZ&#10;xBiH5iRqD90bsXkRq5FLWEk1K44n8QGPxKXfINVikYKIRU7gyq6djKkjWBHJ1+FNeDfCjbSoJziR&#10;SZTvUD/GxpfBLXZI2KeVRGCPaI54EwPTpsbfEin+q56iLn96/hMAAP//AwBQSwMEFAAGAAgAAAAh&#10;ACDpLpfbAAAABAEAAA8AAABkcnMvZG93bnJldi54bWxMj09Lw0AQxe9Cv8Mygje7SdBQ0myKFAQF&#10;i9gWvW6zkz80OxuykyZ+e1cv9jLweI/3fpNvZtuJCw6+daQgXkYgkEpnWqoVHA/P9ysQnjUZ3TlC&#10;Bd/oYVMsbnKdGTfRB172XItQQj7TChrmPpPSlw1a7ZeuRwpe5QarOcihlmbQUyi3nUyiKJVWtxQW&#10;Gt3jtsHyvB+tgpcH/8VjVT363dtuil4nexzfP5W6u52f1iAYZ/4Pwy9+QIciMJ3cSMaLTkF4hP9u&#10;8JI4TkCcFKRxCrLI5TV88QMAAP//AwBQSwECLQAUAAYACAAAACEAtoM4kv4AAADhAQAAEwAAAAAA&#10;AAAAAAAAAAAAAAAAW0NvbnRlbnRfVHlwZXNdLnhtbFBLAQItABQABgAIAAAAIQA4/SH/1gAAAJQB&#10;AAALAAAAAAAAAAAAAAAAAC8BAABfcmVscy8ucmVsc1BLAQItABQABgAIAAAAIQB1lSRWDQIAABsE&#10;AAAOAAAAAAAAAAAAAAAAAC4CAABkcnMvZTJvRG9jLnhtbFBLAQItABQABgAIAAAAIQAg6S6X2wAA&#10;AAQBAAAPAAAAAAAAAAAAAAAAAGcEAABkcnMvZG93bnJldi54bWxQSwUGAAAAAAQABADzAAAAbwUA&#10;AAAA&#10;" filled="f" stroked="f">
              <v:textbox style="mso-fit-shape-to-text:t" inset="20pt,15pt,0,0">
                <w:txbxContent>
                  <w:p w14:paraId="33D90532" w14:textId="27A9111A" w:rsidR="00851F91" w:rsidRPr="00851F91" w:rsidRDefault="00851F91" w:rsidP="00851F91">
                    <w:pPr>
                      <w:spacing w:after="0"/>
                      <w:rPr>
                        <w:rFonts w:ascii="Aptos" w:eastAsia="Aptos" w:hAnsi="Aptos" w:cs="Aptos"/>
                        <w:noProof/>
                        <w:color w:val="000000"/>
                        <w:sz w:val="24"/>
                        <w:szCs w:val="24"/>
                      </w:rPr>
                    </w:pPr>
                    <w:r w:rsidRPr="00851F91">
                      <w:rPr>
                        <w:rFonts w:ascii="Aptos" w:eastAsia="Aptos" w:hAnsi="Aptos" w:cs="Aptos"/>
                        <w:noProof/>
                        <w:color w:val="000000"/>
                        <w:sz w:val="24"/>
                        <w:szCs w:val="24"/>
                      </w:rPr>
                      <w:t>EBA Regular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FF20F" w14:textId="45A2965E" w:rsidR="00851F91" w:rsidRDefault="00851F91">
    <w:pPr>
      <w:pStyle w:val="Header"/>
    </w:pPr>
    <w:r>
      <w:rPr>
        <w:noProof/>
      </w:rPr>
      <mc:AlternateContent>
        <mc:Choice Requires="wps">
          <w:drawing>
            <wp:anchor distT="0" distB="0" distL="0" distR="0" simplePos="0" relativeHeight="251660288" behindDoc="0" locked="0" layoutInCell="1" allowOverlap="1" wp14:anchorId="096F5BB5" wp14:editId="1C049C6C">
              <wp:simplePos x="914400" y="447675"/>
              <wp:positionH relativeFrom="page">
                <wp:align>left</wp:align>
              </wp:positionH>
              <wp:positionV relativeFrom="page">
                <wp:align>top</wp:align>
              </wp:positionV>
              <wp:extent cx="1341120" cy="391160"/>
              <wp:effectExtent l="0" t="0" r="11430" b="8890"/>
              <wp:wrapNone/>
              <wp:docPr id="1874540245" name="Text Box 3"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1120" cy="391160"/>
                      </a:xfrm>
                      <a:prstGeom prst="rect">
                        <a:avLst/>
                      </a:prstGeom>
                      <a:noFill/>
                      <a:ln>
                        <a:noFill/>
                      </a:ln>
                    </wps:spPr>
                    <wps:txbx>
                      <w:txbxContent>
                        <w:p w14:paraId="72129810" w14:textId="4E609F37" w:rsidR="00851F91" w:rsidRPr="00851F91" w:rsidRDefault="00851F91" w:rsidP="00851F91">
                          <w:pPr>
                            <w:spacing w:after="0"/>
                            <w:rPr>
                              <w:rFonts w:ascii="Aptos" w:eastAsia="Aptos" w:hAnsi="Aptos" w:cs="Aptos"/>
                              <w:noProof/>
                              <w:color w:val="000000"/>
                              <w:sz w:val="24"/>
                              <w:szCs w:val="24"/>
                            </w:rPr>
                          </w:pPr>
                          <w:r w:rsidRPr="00851F91">
                            <w:rPr>
                              <w:rFonts w:ascii="Aptos" w:eastAsia="Aptos" w:hAnsi="Aptos" w:cs="Aptos"/>
                              <w:noProof/>
                              <w:color w:val="000000"/>
                              <w:sz w:val="24"/>
                              <w:szCs w:val="24"/>
                            </w:rPr>
                            <w:t>EBA Regular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6F5BB5" id="_x0000_t202" coordsize="21600,21600" o:spt="202" path="m,l,21600r21600,l21600,xe">
              <v:stroke joinstyle="miter"/>
              <v:path gradientshapeok="t" o:connecttype="rect"/>
            </v:shapetype>
            <v:shape id="Text Box 3" o:spid="_x0000_s1027" type="#_x0000_t202" alt="EBA Regular Use" style="position:absolute;margin-left:0;margin-top:0;width:105.6pt;height:30.8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6kEQIAACIEAAAOAAAAZHJzL2Uyb0RvYy54bWysU8lu2zAQvRfoPxC815KcBY1gOXATuChg&#10;JAGcImeaIi0BFIcgx5bcr++Q3pI0p6AXaoYzmuW9x8nt0Bm2VT60YCtejHLOlJVQt3Zd8d/P82/f&#10;OQsobC0MWFXxnQr8dvr1y6R3pRpDA6ZWnlERG8reVbxBdGWWBdmoToQROGUpqMF3Asn166z2oqfq&#10;ncnGeX6d9eBr50GqEOj2fh/k01RfayXxUeugkJmK02yYTp/OVTyz6USUay9c08rDGOITU3SitdT0&#10;VOpeoGAb3/5TqmulhwAaRxK6DLRupUo70DZF/m6bZSOcSrsQOMGdYAr/r6x82C7dk2c4/ICBCIyA&#10;9C6UgS7jPoP2XfzSpIziBOHuBJsakMn408VlUYwpJCl2cVMU1wnX7Py38wF/KuhYNCruiZaEltgu&#10;AlJHSj2mxGYW5q0xiRpj31xQYrzJziNGC4fVwNr61fgrqHe0lYc94cHJeUutFyLgk/DEME1LqsVH&#10;OrSBvuJwsDhrwP/56D7mE/AU5awnxVTckqQ5M78sETK+uszzqLDkFTf5VfR88shYHQ276e6AxFjQ&#10;u3AymTEPzdHUHroXEvUsdqOQsJJ6VhyP5h3u9UuPQqrZLCWRmJzAhV06GUtHzCKgz8OL8O6AOhJf&#10;D3DUlCjfgb/PjX8GN9sgUZCYifju0TzATkJMhB0eTVT6az9lnZ/29C8AAAD//wMAUEsDBBQABgAI&#10;AAAAIQAg6S6X2wAAAAQBAAAPAAAAZHJzL2Rvd25yZXYueG1sTI9PS8NAEMXvQr/DMoI3u0nQUNJs&#10;ihQEBYvYFr1us5M/NDsbspMmfntXL/Yy8HiP936Tb2bbiQsOvnWkIF5GIJBKZ1qqFRwPz/crEJ41&#10;Gd05QgXf6GFTLG5ynRk30Qde9lyLUEI+0woa5j6T0pcNWu2XrkcKXuUGqznIoZZm0FMot51MoiiV&#10;VrcUFhrd47bB8rwfrYKXB//FY1U9+t3bbopeJ3sc3z+Vurudn9YgGGf+D8MvfkCHIjCd3EjGi05B&#10;eIT/bvCSOE5AnBSkcQqyyOU1fPEDAAD//wMAUEsBAi0AFAAGAAgAAAAhALaDOJL+AAAA4QEAABMA&#10;AAAAAAAAAAAAAAAAAAAAAFtDb250ZW50X1R5cGVzXS54bWxQSwECLQAUAAYACAAAACEAOP0h/9YA&#10;AACUAQAACwAAAAAAAAAAAAAAAAAvAQAAX3JlbHMvLnJlbHNQSwECLQAUAAYACAAAACEANZsepBEC&#10;AAAiBAAADgAAAAAAAAAAAAAAAAAuAgAAZHJzL2Uyb0RvYy54bWxQSwECLQAUAAYACAAAACEAIOku&#10;l9sAAAAEAQAADwAAAAAAAAAAAAAAAABrBAAAZHJzL2Rvd25yZXYueG1sUEsFBgAAAAAEAAQA8wAA&#10;AHMFAAAAAA==&#10;" filled="f" stroked="f">
              <v:textbox style="mso-fit-shape-to-text:t" inset="20pt,15pt,0,0">
                <w:txbxContent>
                  <w:p w14:paraId="72129810" w14:textId="4E609F37" w:rsidR="00851F91" w:rsidRPr="00851F91" w:rsidRDefault="00851F91" w:rsidP="00851F91">
                    <w:pPr>
                      <w:spacing w:after="0"/>
                      <w:rPr>
                        <w:rFonts w:ascii="Aptos" w:eastAsia="Aptos" w:hAnsi="Aptos" w:cs="Aptos"/>
                        <w:noProof/>
                        <w:color w:val="000000"/>
                        <w:sz w:val="24"/>
                        <w:szCs w:val="24"/>
                      </w:rPr>
                    </w:pPr>
                    <w:r w:rsidRPr="00851F91">
                      <w:rPr>
                        <w:rFonts w:ascii="Aptos" w:eastAsia="Aptos" w:hAnsi="Aptos" w:cs="Aptos"/>
                        <w:noProof/>
                        <w:color w:val="000000"/>
                        <w:sz w:val="24"/>
                        <w:szCs w:val="24"/>
                      </w:rPr>
                      <w:t>EBA Regular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9180" w14:textId="524B1389" w:rsidR="00851F91" w:rsidRDefault="00851F91">
    <w:pPr>
      <w:pStyle w:val="Header"/>
    </w:pPr>
    <w:r>
      <w:rPr>
        <w:noProof/>
      </w:rPr>
      <mc:AlternateContent>
        <mc:Choice Requires="wps">
          <w:drawing>
            <wp:anchor distT="0" distB="0" distL="0" distR="0" simplePos="0" relativeHeight="251658240" behindDoc="0" locked="0" layoutInCell="1" allowOverlap="1" wp14:anchorId="25395559" wp14:editId="2D139225">
              <wp:simplePos x="635" y="635"/>
              <wp:positionH relativeFrom="page">
                <wp:align>left</wp:align>
              </wp:positionH>
              <wp:positionV relativeFrom="page">
                <wp:align>top</wp:align>
              </wp:positionV>
              <wp:extent cx="1341120" cy="391160"/>
              <wp:effectExtent l="0" t="0" r="11430" b="8890"/>
              <wp:wrapNone/>
              <wp:docPr id="1568847247" name="Text Box 1"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1120" cy="391160"/>
                      </a:xfrm>
                      <a:prstGeom prst="rect">
                        <a:avLst/>
                      </a:prstGeom>
                      <a:noFill/>
                      <a:ln>
                        <a:noFill/>
                      </a:ln>
                    </wps:spPr>
                    <wps:txbx>
                      <w:txbxContent>
                        <w:p w14:paraId="2A46C91E" w14:textId="789E5EC9" w:rsidR="00851F91" w:rsidRPr="00851F91" w:rsidRDefault="00851F91" w:rsidP="00851F91">
                          <w:pPr>
                            <w:spacing w:after="0"/>
                            <w:rPr>
                              <w:rFonts w:ascii="Aptos" w:eastAsia="Aptos" w:hAnsi="Aptos" w:cs="Aptos"/>
                              <w:noProof/>
                              <w:color w:val="000000"/>
                              <w:sz w:val="24"/>
                              <w:szCs w:val="24"/>
                            </w:rPr>
                          </w:pPr>
                          <w:r w:rsidRPr="00851F91">
                            <w:rPr>
                              <w:rFonts w:ascii="Aptos" w:eastAsia="Aptos" w:hAnsi="Aptos" w:cs="Aptos"/>
                              <w:noProof/>
                              <w:color w:val="000000"/>
                              <w:sz w:val="24"/>
                              <w:szCs w:val="24"/>
                            </w:rPr>
                            <w:t>EBA Regular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395559" id="_x0000_t202" coordsize="21600,21600" o:spt="202" path="m,l,21600r21600,l21600,xe">
              <v:stroke joinstyle="miter"/>
              <v:path gradientshapeok="t" o:connecttype="rect"/>
            </v:shapetype>
            <v:shape id="Text Box 1" o:spid="_x0000_s1028" type="#_x0000_t202" alt="EBA Regular Use" style="position:absolute;margin-left:0;margin-top:0;width:105.6pt;height:30.8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3mEwIAACIEAAAOAAAAZHJzL2Uyb0RvYy54bWysU01v2zAMvQ/YfxB0X2ynH1iNOEXWIsOA&#10;oC2QDj0rshQbsERBYmJnv36UEidbt9Owi0yKND/ee5rdD6Zje+VDC7bixSTnTFkJdWu3Ff/+uvz0&#10;mbOAwtaiA6sqflCB388/fpj1rlRTaKCrlWdUxIaydxVvEF2ZZUE2yogwAacsBTV4I5Bcv81qL3qq&#10;brpsmue3WQ++dh6kCoFuH49BPk/1tVYSn7UOCllXcZoN0+nTuYlnNp+JcuuFa1p5GkP8wxRGtJaa&#10;nks9ChRs59s/SplWegigcSLBZKB1K1XagbYp8nfbrBvhVNqFwAnuDFP4f2Xl037tXjzD4QsMRGAE&#10;pHehDHQZ9xm0N/FLkzKKE4SHM2xqQCbjT1fXRTGlkKTY1V1R3CZcs8vfzgf8qsCwaFTcEy0JLbFf&#10;BaSOlDqmxGYWlm3XJWo6+9sFJcab7DJitHDYDKytKz4dx99AfaCtPBwJD04uW2q9EgFfhCeGaVpS&#10;LT7ToTvoKw4ni7MG/I+/3cd8Ap6inPWkmIpbkjRn3TdLhExvrvM8Kix5xV1+Ez2fPDI2o2F35gFI&#10;jAW9CyeTGfOwG03twbyRqBexG4WEldSz4jiaD3jULz0KqRaLlERicgJXdu1kLB0xi4C+Dm/CuxPq&#10;SHw9wagpUb4D/5gb/wxusUOiIDET8T2ieYKdhJgIOz2aqPRf/ZR1edrznwAAAP//AwBQSwMEFAAG&#10;AAgAAAAhACDpLpfbAAAABAEAAA8AAABkcnMvZG93bnJldi54bWxMj09Lw0AQxe9Cv8Mygje7SdBQ&#10;0myKFAQFi9gWvW6zkz80OxuykyZ+e1cv9jLweI/3fpNvZtuJCw6+daQgXkYgkEpnWqoVHA/P9ysQ&#10;njUZ3TlCBd/oYVMsbnKdGTfRB172XItQQj7TChrmPpPSlw1a7ZeuRwpe5QarOcihlmbQUyi3nUyi&#10;KJVWtxQWGt3jtsHyvB+tgpcH/8VjVT363dtuil4nexzfP5W6u52f1iAYZ/4Pwy9+QIciMJ3cSMaL&#10;TkF4hP9u8JI4TkCcFKRxCrLI5TV88QMAAP//AwBQSwECLQAUAAYACAAAACEAtoM4kv4AAADhAQAA&#10;EwAAAAAAAAAAAAAAAAAAAAAAW0NvbnRlbnRfVHlwZXNdLnhtbFBLAQItABQABgAIAAAAIQA4/SH/&#10;1gAAAJQBAAALAAAAAAAAAAAAAAAAAC8BAABfcmVscy8ucmVsc1BLAQItABQABgAIAAAAIQBkDe3m&#10;EwIAACIEAAAOAAAAAAAAAAAAAAAAAC4CAABkcnMvZTJvRG9jLnhtbFBLAQItABQABgAIAAAAIQAg&#10;6S6X2wAAAAQBAAAPAAAAAAAAAAAAAAAAAG0EAABkcnMvZG93bnJldi54bWxQSwUGAAAAAAQABADz&#10;AAAAdQUAAAAA&#10;" filled="f" stroked="f">
              <v:textbox style="mso-fit-shape-to-text:t" inset="20pt,15pt,0,0">
                <w:txbxContent>
                  <w:p w14:paraId="2A46C91E" w14:textId="789E5EC9" w:rsidR="00851F91" w:rsidRPr="00851F91" w:rsidRDefault="00851F91" w:rsidP="00851F91">
                    <w:pPr>
                      <w:spacing w:after="0"/>
                      <w:rPr>
                        <w:rFonts w:ascii="Aptos" w:eastAsia="Aptos" w:hAnsi="Aptos" w:cs="Aptos"/>
                        <w:noProof/>
                        <w:color w:val="000000"/>
                        <w:sz w:val="24"/>
                        <w:szCs w:val="24"/>
                      </w:rPr>
                    </w:pPr>
                    <w:r w:rsidRPr="00851F91">
                      <w:rPr>
                        <w:rFonts w:ascii="Aptos" w:eastAsia="Aptos" w:hAnsi="Aptos" w:cs="Aptos"/>
                        <w:noProof/>
                        <w:color w:val="000000"/>
                        <w:sz w:val="24"/>
                        <w:szCs w:val="24"/>
                      </w:rPr>
                      <w:t>EBA Regular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0218"/>
    <w:multiLevelType w:val="hybridMultilevel"/>
    <w:tmpl w:val="C47411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D82D51"/>
    <w:multiLevelType w:val="hybridMultilevel"/>
    <w:tmpl w:val="528642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1D51C2"/>
    <w:multiLevelType w:val="multilevel"/>
    <w:tmpl w:val="A20C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2435A"/>
    <w:multiLevelType w:val="hybridMultilevel"/>
    <w:tmpl w:val="2350407E"/>
    <w:lvl w:ilvl="0" w:tplc="ACF6D6C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2528D"/>
    <w:multiLevelType w:val="hybridMultilevel"/>
    <w:tmpl w:val="7A8A8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33A41F1"/>
    <w:multiLevelType w:val="hybridMultilevel"/>
    <w:tmpl w:val="ED4E5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051315">
    <w:abstractNumId w:val="1"/>
  </w:num>
  <w:num w:numId="2" w16cid:durableId="954873237">
    <w:abstractNumId w:val="4"/>
  </w:num>
  <w:num w:numId="3" w16cid:durableId="433327527">
    <w:abstractNumId w:val="5"/>
  </w:num>
  <w:num w:numId="4" w16cid:durableId="1950157466">
    <w:abstractNumId w:val="3"/>
  </w:num>
  <w:num w:numId="5" w16cid:durableId="1619987180">
    <w:abstractNumId w:val="2"/>
  </w:num>
  <w:num w:numId="6" w16cid:durableId="1018315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65771"/>
    <w:rsid w:val="000015F2"/>
    <w:rsid w:val="001458FC"/>
    <w:rsid w:val="001B2205"/>
    <w:rsid w:val="001E40A6"/>
    <w:rsid w:val="002135A7"/>
    <w:rsid w:val="002E3302"/>
    <w:rsid w:val="00351034"/>
    <w:rsid w:val="003846F3"/>
    <w:rsid w:val="003B2E22"/>
    <w:rsid w:val="003C5DD3"/>
    <w:rsid w:val="003F72CA"/>
    <w:rsid w:val="00433A97"/>
    <w:rsid w:val="00436AB2"/>
    <w:rsid w:val="00545C24"/>
    <w:rsid w:val="005B0942"/>
    <w:rsid w:val="00627D32"/>
    <w:rsid w:val="00643187"/>
    <w:rsid w:val="006E132F"/>
    <w:rsid w:val="006F0046"/>
    <w:rsid w:val="006F3A3D"/>
    <w:rsid w:val="006F7B66"/>
    <w:rsid w:val="00791E58"/>
    <w:rsid w:val="007A50B7"/>
    <w:rsid w:val="00832832"/>
    <w:rsid w:val="00851F91"/>
    <w:rsid w:val="00870499"/>
    <w:rsid w:val="008A092E"/>
    <w:rsid w:val="00971F24"/>
    <w:rsid w:val="009D491E"/>
    <w:rsid w:val="00AD0909"/>
    <w:rsid w:val="00B1600C"/>
    <w:rsid w:val="00B65771"/>
    <w:rsid w:val="00B85B9A"/>
    <w:rsid w:val="00C37570"/>
    <w:rsid w:val="00C737D7"/>
    <w:rsid w:val="00CD51BF"/>
    <w:rsid w:val="00D26173"/>
    <w:rsid w:val="00D32B1A"/>
    <w:rsid w:val="00D74512"/>
    <w:rsid w:val="00DC3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C8C30"/>
  <w15:chartTrackingRefBased/>
  <w15:docId w15:val="{8A950762-EEE4-44DC-B0B0-BF87A8A6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771"/>
  </w:style>
  <w:style w:type="paragraph" w:styleId="Heading1">
    <w:name w:val="heading 1"/>
    <w:basedOn w:val="Normal"/>
    <w:next w:val="Normal"/>
    <w:link w:val="Heading1Char"/>
    <w:uiPriority w:val="9"/>
    <w:qFormat/>
    <w:rsid w:val="00B65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7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7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7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7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7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7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7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7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7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7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7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7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771"/>
    <w:rPr>
      <w:rFonts w:eastAsiaTheme="majorEastAsia" w:cstheme="majorBidi"/>
      <w:color w:val="272727" w:themeColor="text1" w:themeTint="D8"/>
    </w:rPr>
  </w:style>
  <w:style w:type="paragraph" w:styleId="Title">
    <w:name w:val="Title"/>
    <w:basedOn w:val="Normal"/>
    <w:next w:val="Normal"/>
    <w:link w:val="TitleChar"/>
    <w:uiPriority w:val="10"/>
    <w:qFormat/>
    <w:rsid w:val="00B65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7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771"/>
    <w:pPr>
      <w:spacing w:before="160"/>
      <w:jc w:val="center"/>
    </w:pPr>
    <w:rPr>
      <w:i/>
      <w:iCs/>
      <w:color w:val="404040" w:themeColor="text1" w:themeTint="BF"/>
    </w:rPr>
  </w:style>
  <w:style w:type="character" w:customStyle="1" w:styleId="QuoteChar">
    <w:name w:val="Quote Char"/>
    <w:basedOn w:val="DefaultParagraphFont"/>
    <w:link w:val="Quote"/>
    <w:uiPriority w:val="29"/>
    <w:rsid w:val="00B65771"/>
    <w:rPr>
      <w:i/>
      <w:iCs/>
      <w:color w:val="404040" w:themeColor="text1" w:themeTint="BF"/>
    </w:rPr>
  </w:style>
  <w:style w:type="paragraph" w:styleId="ListParagraph">
    <w:name w:val="List Paragraph"/>
    <w:basedOn w:val="Normal"/>
    <w:uiPriority w:val="34"/>
    <w:qFormat/>
    <w:rsid w:val="00B65771"/>
    <w:pPr>
      <w:ind w:left="720"/>
      <w:contextualSpacing/>
    </w:pPr>
  </w:style>
  <w:style w:type="character" w:styleId="IntenseEmphasis">
    <w:name w:val="Intense Emphasis"/>
    <w:basedOn w:val="DefaultParagraphFont"/>
    <w:uiPriority w:val="21"/>
    <w:qFormat/>
    <w:rsid w:val="00B65771"/>
    <w:rPr>
      <w:i/>
      <w:iCs/>
      <w:color w:val="0F4761" w:themeColor="accent1" w:themeShade="BF"/>
    </w:rPr>
  </w:style>
  <w:style w:type="paragraph" w:styleId="IntenseQuote">
    <w:name w:val="Intense Quote"/>
    <w:basedOn w:val="Normal"/>
    <w:next w:val="Normal"/>
    <w:link w:val="IntenseQuoteChar"/>
    <w:uiPriority w:val="30"/>
    <w:qFormat/>
    <w:rsid w:val="00B65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771"/>
    <w:rPr>
      <w:i/>
      <w:iCs/>
      <w:color w:val="0F4761" w:themeColor="accent1" w:themeShade="BF"/>
    </w:rPr>
  </w:style>
  <w:style w:type="character" w:styleId="IntenseReference">
    <w:name w:val="Intense Reference"/>
    <w:basedOn w:val="DefaultParagraphFont"/>
    <w:uiPriority w:val="32"/>
    <w:qFormat/>
    <w:rsid w:val="00B65771"/>
    <w:rPr>
      <w:b/>
      <w:bCs/>
      <w:smallCaps/>
      <w:color w:val="0F4761" w:themeColor="accent1" w:themeShade="BF"/>
      <w:spacing w:val="5"/>
    </w:rPr>
  </w:style>
  <w:style w:type="paragraph" w:styleId="Header">
    <w:name w:val="header"/>
    <w:basedOn w:val="Normal"/>
    <w:link w:val="HeaderChar"/>
    <w:uiPriority w:val="99"/>
    <w:unhideWhenUsed/>
    <w:rsid w:val="00851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F91"/>
  </w:style>
  <w:style w:type="paragraph" w:styleId="NormalWeb">
    <w:name w:val="Normal (Web)"/>
    <w:basedOn w:val="Normal"/>
    <w:uiPriority w:val="99"/>
    <w:semiHidden/>
    <w:unhideWhenUsed/>
    <w:rsid w:val="00791E58"/>
    <w:rPr>
      <w:rFonts w:ascii="Times New Roman" w:hAnsi="Times New Roman" w:cs="Times New Roman"/>
      <w:sz w:val="24"/>
      <w:szCs w:val="24"/>
    </w:rPr>
  </w:style>
  <w:style w:type="paragraph" w:styleId="Footer">
    <w:name w:val="footer"/>
    <w:basedOn w:val="Normal"/>
    <w:link w:val="FooterChar"/>
    <w:uiPriority w:val="99"/>
    <w:unhideWhenUsed/>
    <w:rsid w:val="009D4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91E"/>
  </w:style>
  <w:style w:type="paragraph" w:styleId="FootnoteText">
    <w:name w:val="footnote text"/>
    <w:basedOn w:val="Normal"/>
    <w:link w:val="FootnoteTextChar"/>
    <w:uiPriority w:val="99"/>
    <w:semiHidden/>
    <w:unhideWhenUsed/>
    <w:rsid w:val="009D49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491E"/>
    <w:rPr>
      <w:sz w:val="20"/>
      <w:szCs w:val="20"/>
    </w:rPr>
  </w:style>
  <w:style w:type="character" w:styleId="FootnoteReference">
    <w:name w:val="footnote reference"/>
    <w:basedOn w:val="DefaultParagraphFont"/>
    <w:uiPriority w:val="99"/>
    <w:semiHidden/>
    <w:unhideWhenUsed/>
    <w:rsid w:val="009D49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99362">
      <w:bodyDiv w:val="1"/>
      <w:marLeft w:val="0"/>
      <w:marRight w:val="0"/>
      <w:marTop w:val="0"/>
      <w:marBottom w:val="0"/>
      <w:divBdr>
        <w:top w:val="none" w:sz="0" w:space="0" w:color="auto"/>
        <w:left w:val="none" w:sz="0" w:space="0" w:color="auto"/>
        <w:bottom w:val="none" w:sz="0" w:space="0" w:color="auto"/>
        <w:right w:val="none" w:sz="0" w:space="0" w:color="auto"/>
      </w:divBdr>
    </w:div>
    <w:div w:id="488907282">
      <w:bodyDiv w:val="1"/>
      <w:marLeft w:val="0"/>
      <w:marRight w:val="0"/>
      <w:marTop w:val="0"/>
      <w:marBottom w:val="0"/>
      <w:divBdr>
        <w:top w:val="none" w:sz="0" w:space="0" w:color="auto"/>
        <w:left w:val="none" w:sz="0" w:space="0" w:color="auto"/>
        <w:bottom w:val="none" w:sz="0" w:space="0" w:color="auto"/>
        <w:right w:val="none" w:sz="0" w:space="0" w:color="auto"/>
      </w:divBdr>
    </w:div>
    <w:div w:id="566649775">
      <w:bodyDiv w:val="1"/>
      <w:marLeft w:val="0"/>
      <w:marRight w:val="0"/>
      <w:marTop w:val="0"/>
      <w:marBottom w:val="0"/>
      <w:divBdr>
        <w:top w:val="none" w:sz="0" w:space="0" w:color="auto"/>
        <w:left w:val="none" w:sz="0" w:space="0" w:color="auto"/>
        <w:bottom w:val="none" w:sz="0" w:space="0" w:color="auto"/>
        <w:right w:val="none" w:sz="0" w:space="0" w:color="auto"/>
      </w:divBdr>
    </w:div>
    <w:div w:id="667556153">
      <w:bodyDiv w:val="1"/>
      <w:marLeft w:val="0"/>
      <w:marRight w:val="0"/>
      <w:marTop w:val="0"/>
      <w:marBottom w:val="0"/>
      <w:divBdr>
        <w:top w:val="none" w:sz="0" w:space="0" w:color="auto"/>
        <w:left w:val="none" w:sz="0" w:space="0" w:color="auto"/>
        <w:bottom w:val="none" w:sz="0" w:space="0" w:color="auto"/>
        <w:right w:val="none" w:sz="0" w:space="0" w:color="auto"/>
      </w:divBdr>
    </w:div>
    <w:div w:id="808938953">
      <w:bodyDiv w:val="1"/>
      <w:marLeft w:val="0"/>
      <w:marRight w:val="0"/>
      <w:marTop w:val="0"/>
      <w:marBottom w:val="0"/>
      <w:divBdr>
        <w:top w:val="none" w:sz="0" w:space="0" w:color="auto"/>
        <w:left w:val="none" w:sz="0" w:space="0" w:color="auto"/>
        <w:bottom w:val="none" w:sz="0" w:space="0" w:color="auto"/>
        <w:right w:val="none" w:sz="0" w:space="0" w:color="auto"/>
      </w:divBdr>
    </w:div>
    <w:div w:id="938175145">
      <w:bodyDiv w:val="1"/>
      <w:marLeft w:val="0"/>
      <w:marRight w:val="0"/>
      <w:marTop w:val="0"/>
      <w:marBottom w:val="0"/>
      <w:divBdr>
        <w:top w:val="none" w:sz="0" w:space="0" w:color="auto"/>
        <w:left w:val="none" w:sz="0" w:space="0" w:color="auto"/>
        <w:bottom w:val="none" w:sz="0" w:space="0" w:color="auto"/>
        <w:right w:val="none" w:sz="0" w:space="0" w:color="auto"/>
      </w:divBdr>
    </w:div>
    <w:div w:id="1216894099">
      <w:bodyDiv w:val="1"/>
      <w:marLeft w:val="0"/>
      <w:marRight w:val="0"/>
      <w:marTop w:val="0"/>
      <w:marBottom w:val="0"/>
      <w:divBdr>
        <w:top w:val="none" w:sz="0" w:space="0" w:color="auto"/>
        <w:left w:val="none" w:sz="0" w:space="0" w:color="auto"/>
        <w:bottom w:val="none" w:sz="0" w:space="0" w:color="auto"/>
        <w:right w:val="none" w:sz="0" w:space="0" w:color="auto"/>
      </w:divBdr>
    </w:div>
    <w:div w:id="1610164339">
      <w:bodyDiv w:val="1"/>
      <w:marLeft w:val="0"/>
      <w:marRight w:val="0"/>
      <w:marTop w:val="0"/>
      <w:marBottom w:val="0"/>
      <w:divBdr>
        <w:top w:val="none" w:sz="0" w:space="0" w:color="auto"/>
        <w:left w:val="none" w:sz="0" w:space="0" w:color="auto"/>
        <w:bottom w:val="none" w:sz="0" w:space="0" w:color="auto"/>
        <w:right w:val="none" w:sz="0" w:space="0" w:color="auto"/>
      </w:divBdr>
    </w:div>
    <w:div w:id="1638028995">
      <w:bodyDiv w:val="1"/>
      <w:marLeft w:val="0"/>
      <w:marRight w:val="0"/>
      <w:marTop w:val="0"/>
      <w:marBottom w:val="0"/>
      <w:divBdr>
        <w:top w:val="none" w:sz="0" w:space="0" w:color="auto"/>
        <w:left w:val="none" w:sz="0" w:space="0" w:color="auto"/>
        <w:bottom w:val="none" w:sz="0" w:space="0" w:color="auto"/>
        <w:right w:val="none" w:sz="0" w:space="0" w:color="auto"/>
      </w:divBdr>
    </w:div>
    <w:div w:id="1789547211">
      <w:bodyDiv w:val="1"/>
      <w:marLeft w:val="0"/>
      <w:marRight w:val="0"/>
      <w:marTop w:val="0"/>
      <w:marBottom w:val="0"/>
      <w:divBdr>
        <w:top w:val="none" w:sz="0" w:space="0" w:color="auto"/>
        <w:left w:val="none" w:sz="0" w:space="0" w:color="auto"/>
        <w:bottom w:val="none" w:sz="0" w:space="0" w:color="auto"/>
        <w:right w:val="none" w:sz="0" w:space="0" w:color="auto"/>
      </w:divBdr>
    </w:div>
    <w:div w:id="1904872964">
      <w:bodyDiv w:val="1"/>
      <w:marLeft w:val="0"/>
      <w:marRight w:val="0"/>
      <w:marTop w:val="0"/>
      <w:marBottom w:val="0"/>
      <w:divBdr>
        <w:top w:val="none" w:sz="0" w:space="0" w:color="auto"/>
        <w:left w:val="none" w:sz="0" w:space="0" w:color="auto"/>
        <w:bottom w:val="none" w:sz="0" w:space="0" w:color="auto"/>
        <w:right w:val="none" w:sz="0" w:space="0" w:color="auto"/>
      </w:divBdr>
    </w:div>
    <w:div w:id="192145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35BE7-02BA-4B8D-A78E-7DE6CAE21845}">
  <ds:schemaRefs>
    <ds:schemaRef ds:uri="http://schemas.openxmlformats.org/officeDocument/2006/bibliography"/>
  </ds:schemaRefs>
</ds:datastoreItem>
</file>

<file path=docMetadata/LabelInfo.xml><?xml version="1.0" encoding="utf-8"?>
<clbl:labelList xmlns:clbl="http://schemas.microsoft.com/office/2020/mipLabelMetadata">
  <clbl:label id="{5c7eb9de-735b-4a68-8fe4-c9c62709b012}" enabled="1" method="Standard" siteId="{3bacb4ff-f1a2-4c92-b96c-e99fec826b68}" contentBits="1" removed="0"/>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Iglesias</dc:creator>
  <cp:keywords/>
  <dc:description/>
  <cp:lastModifiedBy>Elena Iglesias</cp:lastModifiedBy>
  <cp:revision>3</cp:revision>
  <dcterms:created xsi:type="dcterms:W3CDTF">2024-12-18T12:59:00Z</dcterms:created>
  <dcterms:modified xsi:type="dcterms:W3CDTF">2024-12-18T13:03:00Z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5d82b58f,7e085a4b,6fbb36d5</vt:lpwstr>
  </property>
  <property fmtid="{D5CDD505-2E9C-101B-9397-08002B2CF9AE}" pid="3" name="ClassificationContentMarkingHeaderFontProps">
    <vt:lpwstr>#000000,12,Aptos</vt:lpwstr>
  </property>
  <property fmtid="{D5CDD505-2E9C-101B-9397-08002B2CF9AE}" pid="4" name="ClassificationContentMarkingHeaderText">
    <vt:lpwstr>EBA Regular Use</vt:lpwstr>
  </property>
</Properties>
</file>