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6A83C" w14:textId="77777777" w:rsidR="00CB0520" w:rsidRDefault="00CB0520" w:rsidP="00CB0520">
      <w:pPr>
        <w:jc w:val="center"/>
        <w:rPr>
          <w:rFonts w:ascii="Times New Roman" w:hAnsi="Times New Roman"/>
          <w:sz w:val="24"/>
          <w:szCs w:val="22"/>
        </w:rPr>
      </w:pPr>
      <w:r>
        <w:rPr>
          <w:rFonts w:ascii="Times New Roman" w:hAnsi="Times New Roman"/>
          <w:sz w:val="24"/>
        </w:rPr>
        <w:t>EN</w:t>
      </w:r>
    </w:p>
    <w:p w14:paraId="2D00CB42" w14:textId="77777777" w:rsidR="00CB0520" w:rsidRDefault="00CB0520" w:rsidP="00CB0520">
      <w:pPr>
        <w:rPr>
          <w:rFonts w:asciiTheme="minorHAnsi" w:hAnsiTheme="minorHAnsi"/>
          <w:sz w:val="22"/>
        </w:rPr>
      </w:pPr>
    </w:p>
    <w:p w14:paraId="2B5F5695" w14:textId="77777777" w:rsidR="009C5DD6" w:rsidRPr="00037E7B" w:rsidRDefault="009C5DD6" w:rsidP="009C5DD6">
      <w:pPr>
        <w:jc w:val="center"/>
        <w:rPr>
          <w:rFonts w:ascii="Times New Roman" w:hAnsi="Times New Roman"/>
          <w:sz w:val="24"/>
        </w:rPr>
      </w:pPr>
      <w:r w:rsidRPr="00037E7B">
        <w:rPr>
          <w:rFonts w:ascii="Times New Roman" w:hAnsi="Times New Roman"/>
          <w:sz w:val="24"/>
        </w:rPr>
        <w:t>ANNEX II</w:t>
      </w:r>
    </w:p>
    <w:p w14:paraId="03895EA2" w14:textId="77777777" w:rsidR="009C5DD6" w:rsidRPr="00037E7B" w:rsidRDefault="009C5DD6" w:rsidP="009C5DD6">
      <w:pPr>
        <w:jc w:val="center"/>
        <w:rPr>
          <w:rFonts w:ascii="Times New Roman" w:hAnsi="Times New Roman"/>
          <w:sz w:val="24"/>
        </w:rPr>
      </w:pPr>
      <w:r w:rsidRPr="00037E7B">
        <w:rPr>
          <w:rFonts w:ascii="Times New Roman" w:hAnsi="Times New Roman"/>
          <w:sz w:val="24"/>
        </w:rPr>
        <w:t>‘ANNEX II</w:t>
      </w:r>
    </w:p>
    <w:p w14:paraId="480031C9" w14:textId="77777777" w:rsidR="009C5DD6" w:rsidRPr="00037E7B" w:rsidRDefault="009C5DD6" w:rsidP="009C5DD6">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08E08E50" w14:textId="77777777" w:rsidR="00EE75F2" w:rsidRDefault="00EE75F2"/>
    <w:p w14:paraId="29C05932" w14:textId="7194A2B7" w:rsidR="00925646" w:rsidRDefault="00FA21C6" w:rsidP="00925646">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4DA6D037" w14:textId="77777777" w:rsidR="00FC29F5" w:rsidRDefault="00736637" w:rsidP="00925646">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7B580897" w14:textId="4FDF8965" w:rsidR="00736637" w:rsidRPr="00736637" w:rsidRDefault="00736637" w:rsidP="00925646">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532AAD9A"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lang w:val="en-GB"/>
        </w:rPr>
      </w:pPr>
      <w:bookmarkStart w:id="0" w:name="_Toc310415035"/>
      <w:bookmarkStart w:id="1" w:name="_Toc360188372"/>
      <w:bookmarkStart w:id="2" w:name="_Toc473560923"/>
      <w:bookmarkStart w:id="3" w:name="_Toc151714430"/>
      <w:r w:rsidRPr="002A677E">
        <w:rPr>
          <w:rFonts w:ascii="Times New Roman" w:hAnsi="Times New Roman" w:cs="Times New Roman"/>
          <w:sz w:val="24"/>
          <w:u w:val="none"/>
          <w:lang w:val="en-GB"/>
        </w:rPr>
        <w:t>3.6.</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11.00 – Settlement/Delivery Risk</w:t>
      </w:r>
      <w:bookmarkEnd w:id="0"/>
      <w:bookmarkEnd w:id="1"/>
      <w:r w:rsidRPr="002A677E">
        <w:rPr>
          <w:rFonts w:ascii="Times New Roman" w:hAnsi="Times New Roman" w:cs="Times New Roman"/>
          <w:sz w:val="24"/>
          <w:lang w:val="en-GB"/>
        </w:rPr>
        <w:t xml:space="preserve"> (CR SETT)</w:t>
      </w:r>
      <w:bookmarkEnd w:id="2"/>
      <w:bookmarkEnd w:id="3"/>
    </w:p>
    <w:p w14:paraId="2752D001"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lang w:val="en-GB"/>
        </w:rPr>
      </w:pPr>
      <w:bookmarkStart w:id="4" w:name="_Toc262568045"/>
      <w:bookmarkStart w:id="5" w:name="_Toc295829924"/>
      <w:bookmarkStart w:id="6" w:name="_Toc310415036"/>
      <w:bookmarkStart w:id="7" w:name="_Toc360188373"/>
      <w:bookmarkStart w:id="8" w:name="_Toc473560924"/>
      <w:bookmarkStart w:id="9" w:name="_Toc151714431"/>
      <w:r w:rsidRPr="002A677E">
        <w:rPr>
          <w:rFonts w:ascii="Times New Roman" w:hAnsi="Times New Roman" w:cs="Times New Roman"/>
          <w:sz w:val="24"/>
          <w:u w:val="none"/>
          <w:lang w:val="en-GB"/>
        </w:rPr>
        <w:t>3.6.1.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4"/>
      <w:bookmarkEnd w:id="5"/>
      <w:bookmarkEnd w:id="6"/>
      <w:bookmarkEnd w:id="7"/>
      <w:bookmarkEnd w:id="8"/>
      <w:bookmarkEnd w:id="9"/>
    </w:p>
    <w:p w14:paraId="2F026EC9" w14:textId="0B459D4B"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rPr>
          <w:noProof/>
        </w:rPr>
        <w:t>99</w:t>
      </w:r>
      <w:r>
        <w:fldChar w:fldCharType="end"/>
      </w:r>
      <w:r w:rsidRPr="002A677E">
        <w:t>.</w:t>
      </w:r>
      <w:r w:rsidRPr="002A677E">
        <w:tab/>
        <w:t>This template requests information on both trading and non-trading book transactions which are unsettled after their due delivery dates, and their corresponding own funds requirements for settlement risk as referred to in</w:t>
      </w:r>
      <w:r>
        <w:t xml:space="preserve"> </w:t>
      </w:r>
      <w:r w:rsidRPr="002A677E">
        <w:t>Article 92(3)</w:t>
      </w:r>
      <w:r>
        <w:t>, p</w:t>
      </w:r>
      <w:r w:rsidRPr="002A677E">
        <w:t xml:space="preserve">oint (c)(ii) and Article 378 </w:t>
      </w:r>
      <w:r w:rsidRPr="001235ED">
        <w:rPr>
          <w:lang w:val="en-US"/>
        </w:rPr>
        <w:t>of Regulation (EU) No 575/2013</w:t>
      </w:r>
      <w:r w:rsidRPr="002A677E">
        <w:t xml:space="preserve">. </w:t>
      </w:r>
    </w:p>
    <w:p w14:paraId="0B60E63F" w14:textId="08AFF3CE"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rPr>
          <w:noProof/>
        </w:rPr>
        <w:t>100</w:t>
      </w:r>
      <w:r>
        <w:fldChar w:fldCharType="end"/>
      </w:r>
      <w:r w:rsidRPr="002A677E">
        <w:t>.</w:t>
      </w:r>
      <w:r w:rsidRPr="002A677E">
        <w:tab/>
        <w:t xml:space="preserve">Institutions shall report in the CR SETT template information on the settlement/delivery risk in connection with debt instruments, equities, foreign </w:t>
      </w:r>
      <w:proofErr w:type="gramStart"/>
      <w:r w:rsidRPr="002A677E">
        <w:t>currencies</w:t>
      </w:r>
      <w:proofErr w:type="gramEnd"/>
      <w:r w:rsidRPr="002A677E">
        <w:t xml:space="preserve"> and commodities held in their trading or non-trading book. </w:t>
      </w:r>
    </w:p>
    <w:p w14:paraId="1F6DAE78" w14:textId="6128EA18"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rPr>
          <w:noProof/>
        </w:rPr>
        <w:t>101</w:t>
      </w:r>
      <w:r>
        <w:fldChar w:fldCharType="end"/>
      </w:r>
      <w:r w:rsidRPr="002A677E">
        <w:t>.</w:t>
      </w:r>
      <w:r w:rsidRPr="002A677E">
        <w:tab/>
        <w:t xml:space="preserve">In accordance with Article 378 </w:t>
      </w:r>
      <w:r w:rsidRPr="001235ED">
        <w:rPr>
          <w:lang w:val="en-US"/>
        </w:rPr>
        <w:t>of Regulation (EU) No 575/2013</w:t>
      </w:r>
      <w:r w:rsidRPr="002A677E">
        <w:t xml:space="preserve">, repurchase transactions, securities or commodities lending and securities or commodities borrowing in connection with debt instruments, equities, foreign </w:t>
      </w:r>
      <w:proofErr w:type="gramStart"/>
      <w:r w:rsidRPr="002A677E">
        <w:t>currencies</w:t>
      </w:r>
      <w:proofErr w:type="gramEnd"/>
      <w:r w:rsidRPr="002A677E">
        <w:t xml:space="preserve"> and commodities are not subject to own funds requirements for settlement/delivery risk. Note however that, derivatives and long settlement transactions unsettled after their due delivery dates shall nevertheless be subject to own funds requirements for settlement/delivery risk as determined in Article 378 </w:t>
      </w:r>
      <w:r w:rsidRPr="001235ED">
        <w:rPr>
          <w:lang w:val="en-US"/>
        </w:rPr>
        <w:t>of Regulation (EU) No 575/2013</w:t>
      </w:r>
      <w:r w:rsidRPr="002A677E">
        <w:t>.</w:t>
      </w:r>
    </w:p>
    <w:p w14:paraId="4DCAF22E" w14:textId="79A986C3"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rPr>
          <w:noProof/>
        </w:rPr>
        <w:t>102</w:t>
      </w:r>
      <w:r>
        <w:fldChar w:fldCharType="end"/>
      </w:r>
      <w:r w:rsidRPr="002A677E">
        <w:t>.</w:t>
      </w:r>
      <w:r w:rsidRPr="002A677E">
        <w:tab/>
        <w:t xml:space="preserve">In case of unsettled transactions after the due delivery date, institutions shall calculate the price difference to which they are exposed. That is the difference between the agreed settlement price for the debt instrument, equity, foreign currency or commodity in question and its current market value, where the difference could involve a loss for the institution. </w:t>
      </w:r>
    </w:p>
    <w:p w14:paraId="7DB9BE93" w14:textId="77A3E431"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rPr>
          <w:noProof/>
        </w:rPr>
        <w:t>103</w:t>
      </w:r>
      <w:r>
        <w:fldChar w:fldCharType="end"/>
      </w:r>
      <w:r w:rsidRPr="002A677E">
        <w:t>.</w:t>
      </w:r>
      <w:r w:rsidRPr="002A677E">
        <w:tab/>
        <w:t xml:space="preserve">Institutions shall multiply that difference by the appropriate factor of Article 378, Table 1 </w:t>
      </w:r>
      <w:r w:rsidRPr="001235ED">
        <w:rPr>
          <w:lang w:val="en-US"/>
        </w:rPr>
        <w:t xml:space="preserve">of Regulation (EU) No 575/2013 </w:t>
      </w:r>
      <w:r w:rsidRPr="002A677E">
        <w:t>to determine the corresponding own funds requirements.</w:t>
      </w:r>
    </w:p>
    <w:p w14:paraId="59D114DF" w14:textId="657627A8"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rPr>
          <w:noProof/>
        </w:rPr>
        <w:t>104</w:t>
      </w:r>
      <w:r>
        <w:fldChar w:fldCharType="end"/>
      </w:r>
      <w:r w:rsidRPr="002A677E">
        <w:t>.</w:t>
      </w:r>
      <w:r w:rsidRPr="002A677E">
        <w:tab/>
        <w:t>In accordance with Article 92(4)</w:t>
      </w:r>
      <w:r>
        <w:t>, p</w:t>
      </w:r>
      <w:r w:rsidRPr="002A677E">
        <w:t>oint (b)</w:t>
      </w:r>
      <w:r>
        <w:t>,</w:t>
      </w:r>
      <w:r w:rsidRPr="002A677E">
        <w:t xml:space="preserve"> </w:t>
      </w:r>
      <w:r w:rsidRPr="001235ED">
        <w:rPr>
          <w:lang w:val="en-US"/>
        </w:rPr>
        <w:t>of Regulation (EU) No 575/2013</w:t>
      </w:r>
      <w:r w:rsidRPr="002A677E">
        <w:t>, the own funds requirements for settlement/delivery risk shall be multiplied by 12,5 to calculate the risk exposure amount.</w:t>
      </w:r>
    </w:p>
    <w:p w14:paraId="451A9870" w14:textId="00DC3B9D" w:rsidR="00925646" w:rsidRPr="002A677E" w:rsidRDefault="00925646" w:rsidP="00925646">
      <w:pPr>
        <w:pStyle w:val="InstructionsText2"/>
        <w:numPr>
          <w:ilvl w:val="0"/>
          <w:numId w:val="0"/>
        </w:numPr>
        <w:ind w:left="993"/>
      </w:pPr>
      <w:r>
        <w:lastRenderedPageBreak/>
        <w:fldChar w:fldCharType="begin"/>
      </w:r>
      <w:r>
        <w:instrText>seq paragraphs</w:instrText>
      </w:r>
      <w:r>
        <w:fldChar w:fldCharType="separate"/>
      </w:r>
      <w:r w:rsidRPr="002A677E">
        <w:rPr>
          <w:noProof/>
        </w:rPr>
        <w:t>105</w:t>
      </w:r>
      <w:r>
        <w:fldChar w:fldCharType="end"/>
      </w:r>
      <w:r w:rsidRPr="002A677E">
        <w:t>.</w:t>
      </w:r>
      <w:r w:rsidRPr="002A677E">
        <w:tab/>
        <w:t xml:space="preserve">Note that own funds requirements for free deliveries as laid down in Article 379 </w:t>
      </w:r>
      <w:r w:rsidRPr="001235ED">
        <w:rPr>
          <w:lang w:val="en-US"/>
        </w:rPr>
        <w:t>of Regulation (EU) No 575/2013</w:t>
      </w:r>
      <w:r w:rsidRPr="002A677E">
        <w:t xml:space="preserve"> are not within the scope of the CR SETT template. Those own funds requirements shall be reported in the credit risk templates (CR SA, CR IRB).</w:t>
      </w:r>
    </w:p>
    <w:p w14:paraId="2856C9F8"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lang w:val="en-GB"/>
        </w:rPr>
      </w:pPr>
      <w:bookmarkStart w:id="10" w:name="_Toc310415037"/>
      <w:bookmarkStart w:id="11" w:name="_Toc360188374"/>
      <w:bookmarkStart w:id="12" w:name="_Toc473560925"/>
      <w:bookmarkStart w:id="13" w:name="_Toc151714432"/>
      <w:r w:rsidRPr="002A677E">
        <w:rPr>
          <w:rFonts w:ascii="Times New Roman" w:hAnsi="Times New Roman" w:cs="Times New Roman"/>
          <w:sz w:val="24"/>
          <w:u w:val="none"/>
          <w:lang w:val="en-GB"/>
        </w:rPr>
        <w:t>3.6.2.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 xml:space="preserve">Instructions concerning specific </w:t>
      </w:r>
      <w:proofErr w:type="gramStart"/>
      <w:r w:rsidRPr="002A677E">
        <w:rPr>
          <w:rFonts w:ascii="Times New Roman" w:hAnsi="Times New Roman" w:cs="Times New Roman"/>
          <w:sz w:val="24"/>
          <w:lang w:val="en-GB"/>
        </w:rPr>
        <w:t>positions</w:t>
      </w:r>
      <w:bookmarkEnd w:id="10"/>
      <w:bookmarkEnd w:id="11"/>
      <w:bookmarkEnd w:id="12"/>
      <w:bookmarkEnd w:id="13"/>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2A677E" w14:paraId="1C4B6209" w14:textId="77777777" w:rsidTr="00E07FE9">
        <w:tc>
          <w:tcPr>
            <w:tcW w:w="8856" w:type="dxa"/>
            <w:gridSpan w:val="2"/>
            <w:shd w:val="clear" w:color="auto" w:fill="CCCCCC"/>
          </w:tcPr>
          <w:p w14:paraId="248EFB4C" w14:textId="77777777" w:rsidR="00925646" w:rsidRPr="002A677E" w:rsidRDefault="00925646" w:rsidP="00E07FE9">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925646" w:rsidRPr="002A677E" w14:paraId="0C777B7A" w14:textId="77777777" w:rsidTr="00E07FE9">
        <w:tc>
          <w:tcPr>
            <w:tcW w:w="852" w:type="dxa"/>
          </w:tcPr>
          <w:p w14:paraId="12FCBB6E"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0010</w:t>
            </w:r>
          </w:p>
        </w:tc>
        <w:tc>
          <w:tcPr>
            <w:tcW w:w="8004" w:type="dxa"/>
          </w:tcPr>
          <w:p w14:paraId="04AF1B5E"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UNSETTLED TRANSACTIONS AT SETTLEMENT PRICE</w:t>
            </w:r>
          </w:p>
          <w:p w14:paraId="4CB9A5A9"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 xml:space="preserve">Institutions shall report the unsettled transactions after their due delivery date at the respective agreed settlement prices as referred to in Article 378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09152D4C"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 xml:space="preserve">All unsettled transactions shall be included in this column, irrespective of </w:t>
            </w:r>
            <w:proofErr w:type="gramStart"/>
            <w:r w:rsidRPr="002A677E">
              <w:rPr>
                <w:rFonts w:ascii="Times New Roman" w:hAnsi="Times New Roman"/>
                <w:sz w:val="24"/>
              </w:rPr>
              <w:t>whether or not</w:t>
            </w:r>
            <w:proofErr w:type="gramEnd"/>
            <w:r w:rsidRPr="002A677E">
              <w:rPr>
                <w:rFonts w:ascii="Times New Roman" w:hAnsi="Times New Roman"/>
                <w:sz w:val="24"/>
              </w:rPr>
              <w:t xml:space="preserve"> they are at a gain or at a loss after the due settlement date.</w:t>
            </w:r>
          </w:p>
        </w:tc>
      </w:tr>
      <w:tr w:rsidR="00925646" w:rsidRPr="002A677E" w14:paraId="5FEA9B26" w14:textId="77777777" w:rsidTr="00E07FE9">
        <w:tc>
          <w:tcPr>
            <w:tcW w:w="852" w:type="dxa"/>
          </w:tcPr>
          <w:p w14:paraId="5EC8BA01"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0020</w:t>
            </w:r>
          </w:p>
        </w:tc>
        <w:tc>
          <w:tcPr>
            <w:tcW w:w="8004" w:type="dxa"/>
          </w:tcPr>
          <w:p w14:paraId="5594AB87"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PRICE DIFFERENCE EXPOSURE DUE TO UNSETTLED TRANSACTIONS</w:t>
            </w:r>
          </w:p>
          <w:p w14:paraId="43853ADA"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 xml:space="preserve">Institutions shall report the price difference between the agreed settlement price and its current market value for the debt instrument, equity, foreign </w:t>
            </w:r>
            <w:proofErr w:type="gramStart"/>
            <w:r w:rsidRPr="002A677E">
              <w:rPr>
                <w:rFonts w:ascii="Times New Roman" w:hAnsi="Times New Roman"/>
                <w:sz w:val="24"/>
              </w:rPr>
              <w:t>currency</w:t>
            </w:r>
            <w:proofErr w:type="gramEnd"/>
            <w:r w:rsidRPr="002A677E">
              <w:rPr>
                <w:rFonts w:ascii="Times New Roman" w:hAnsi="Times New Roman"/>
                <w:sz w:val="24"/>
              </w:rPr>
              <w:t xml:space="preserve"> or commodity in question, where the difference could involve a loss for the institution, as referred to in Article 378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92F8ABE"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Only unsettled transactions at a loss after the due settlement date shall be reported in this column.</w:t>
            </w:r>
          </w:p>
        </w:tc>
      </w:tr>
      <w:tr w:rsidR="00925646" w:rsidRPr="002A677E" w14:paraId="40F087AE" w14:textId="77777777" w:rsidTr="00E07FE9">
        <w:tc>
          <w:tcPr>
            <w:tcW w:w="852" w:type="dxa"/>
          </w:tcPr>
          <w:p w14:paraId="464EF1DF"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0030</w:t>
            </w:r>
          </w:p>
        </w:tc>
        <w:tc>
          <w:tcPr>
            <w:tcW w:w="8004" w:type="dxa"/>
          </w:tcPr>
          <w:p w14:paraId="5DA1D585"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OWN FUNDS REQUIREMENTS</w:t>
            </w:r>
          </w:p>
          <w:p w14:paraId="24894388"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 xml:space="preserve">Institutions shall report the own funds requirements calculated in accordance with Article 378 </w:t>
            </w:r>
            <w:r w:rsidRPr="001235ED">
              <w:rPr>
                <w:rFonts w:ascii="Times New Roman" w:hAnsi="Times New Roman"/>
                <w:sz w:val="24"/>
                <w:lang w:val="en-US"/>
              </w:rPr>
              <w:t>of Regulation (EU) No 575/2013</w:t>
            </w:r>
            <w:r w:rsidRPr="002A677E">
              <w:rPr>
                <w:rFonts w:ascii="Times New Roman" w:hAnsi="Times New Roman"/>
                <w:sz w:val="24"/>
              </w:rPr>
              <w:t>.</w:t>
            </w:r>
          </w:p>
        </w:tc>
      </w:tr>
      <w:tr w:rsidR="00925646" w:rsidRPr="002A677E" w14:paraId="185C6E1B" w14:textId="77777777" w:rsidTr="00E07FE9">
        <w:tc>
          <w:tcPr>
            <w:tcW w:w="852" w:type="dxa"/>
          </w:tcPr>
          <w:p w14:paraId="6691FECB"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0040</w:t>
            </w:r>
          </w:p>
        </w:tc>
        <w:tc>
          <w:tcPr>
            <w:tcW w:w="8004" w:type="dxa"/>
          </w:tcPr>
          <w:p w14:paraId="09E890C2"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SETTLEMENT RISK EXPOSURE AMOUNT</w:t>
            </w:r>
          </w:p>
          <w:p w14:paraId="3A06223E"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In accordance with</w:t>
            </w:r>
            <w:r>
              <w:rPr>
                <w:rFonts w:ascii="Times New Roman" w:hAnsi="Times New Roman"/>
                <w:sz w:val="24"/>
              </w:rPr>
              <w:t xml:space="preserve"> </w:t>
            </w:r>
            <w:r w:rsidRPr="002A677E">
              <w:rPr>
                <w:rFonts w:ascii="Times New Roman" w:hAnsi="Times New Roman"/>
                <w:sz w:val="24"/>
              </w:rPr>
              <w:t>Article 92(4)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institutions shall multiply their own funds requirements reported in column 0030 by 12.5 </w:t>
            </w:r>
            <w:proofErr w:type="gramStart"/>
            <w:r w:rsidRPr="002A677E">
              <w:rPr>
                <w:rFonts w:ascii="Times New Roman" w:hAnsi="Times New Roman"/>
                <w:sz w:val="24"/>
              </w:rPr>
              <w:t>in order to</w:t>
            </w:r>
            <w:proofErr w:type="gramEnd"/>
            <w:r w:rsidRPr="002A677E">
              <w:rPr>
                <w:rFonts w:ascii="Times New Roman" w:hAnsi="Times New Roman"/>
                <w:sz w:val="24"/>
              </w:rPr>
              <w:t xml:space="preserve"> obtain the settlement risk exposure amount.</w:t>
            </w:r>
          </w:p>
        </w:tc>
      </w:tr>
    </w:tbl>
    <w:p w14:paraId="2CF8C386" w14:textId="77777777" w:rsidR="00925646" w:rsidRPr="002A677E"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2A677E" w14:paraId="49AB5F6A" w14:textId="77777777" w:rsidTr="00E07FE9">
        <w:tc>
          <w:tcPr>
            <w:tcW w:w="8862" w:type="dxa"/>
            <w:gridSpan w:val="2"/>
            <w:shd w:val="clear" w:color="auto" w:fill="CCCCCC"/>
          </w:tcPr>
          <w:p w14:paraId="5E71AA9E" w14:textId="77777777" w:rsidR="00925646" w:rsidRPr="002A677E" w:rsidRDefault="00925646" w:rsidP="00E07FE9">
            <w:pPr>
              <w:spacing w:beforeLines="60" w:before="144" w:afterLines="60" w:after="144"/>
              <w:rPr>
                <w:rFonts w:ascii="Times New Roman" w:hAnsi="Times New Roman"/>
                <w:b/>
                <w:sz w:val="24"/>
              </w:rPr>
            </w:pPr>
            <w:r w:rsidRPr="002A677E">
              <w:rPr>
                <w:rFonts w:ascii="Times New Roman" w:hAnsi="Times New Roman"/>
                <w:b/>
                <w:sz w:val="24"/>
              </w:rPr>
              <w:t>Rows</w:t>
            </w:r>
          </w:p>
        </w:tc>
      </w:tr>
      <w:tr w:rsidR="00925646" w:rsidRPr="002A677E" w14:paraId="6E36F3A5" w14:textId="77777777" w:rsidTr="00E07FE9">
        <w:tc>
          <w:tcPr>
            <w:tcW w:w="852" w:type="dxa"/>
          </w:tcPr>
          <w:p w14:paraId="4E78548D"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0010</w:t>
            </w:r>
          </w:p>
        </w:tc>
        <w:tc>
          <w:tcPr>
            <w:tcW w:w="8010" w:type="dxa"/>
          </w:tcPr>
          <w:p w14:paraId="79508667"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Non-trading Book</w:t>
            </w:r>
          </w:p>
          <w:p w14:paraId="21410DD0"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Institutions shall report aggregated information about settlement/delivery risk for non-trading book positions (as referred to in</w:t>
            </w:r>
            <w:r>
              <w:rPr>
                <w:rFonts w:ascii="Times New Roman" w:hAnsi="Times New Roman"/>
                <w:sz w:val="24"/>
              </w:rPr>
              <w:t xml:space="preserve"> </w:t>
            </w:r>
            <w:r w:rsidRPr="002A677E">
              <w:rPr>
                <w:rFonts w:ascii="Times New Roman" w:hAnsi="Times New Roman"/>
                <w:sz w:val="24"/>
              </w:rPr>
              <w:t>Article 92(</w:t>
            </w:r>
            <w:ins w:id="14" w:author="Author">
              <w:r>
                <w:rPr>
                  <w:rFonts w:ascii="Times New Roman" w:hAnsi="Times New Roman"/>
                  <w:sz w:val="24"/>
                </w:rPr>
                <w:t>4</w:t>
              </w:r>
            </w:ins>
            <w:del w:id="15" w:author="Author">
              <w:r w:rsidRPr="002A677E">
                <w:rPr>
                  <w:rFonts w:ascii="Times New Roman" w:hAnsi="Times New Roman"/>
                  <w:sz w:val="24"/>
                </w:rPr>
                <w:delText>3</w:delText>
              </w:r>
            </w:del>
            <w:r w:rsidRPr="002A677E">
              <w:rPr>
                <w:rFonts w:ascii="Times New Roman" w:hAnsi="Times New Roman"/>
                <w:sz w:val="24"/>
              </w:rPr>
              <w:t>)</w:t>
            </w:r>
            <w:r>
              <w:rPr>
                <w:rFonts w:ascii="Times New Roman" w:hAnsi="Times New Roman"/>
                <w:sz w:val="24"/>
              </w:rPr>
              <w:t>, p</w:t>
            </w:r>
            <w:r w:rsidRPr="002A677E">
              <w:rPr>
                <w:rFonts w:ascii="Times New Roman" w:hAnsi="Times New Roman"/>
                <w:sz w:val="24"/>
              </w:rPr>
              <w:t>oint (c</w:t>
            </w:r>
            <w:ins w:id="16" w:author="Author">
              <w:r>
                <w:rPr>
                  <w:rFonts w:ascii="Times New Roman" w:hAnsi="Times New Roman"/>
                  <w:sz w:val="24"/>
                </w:rPr>
                <w:t>a</w:t>
              </w:r>
            </w:ins>
            <w:del w:id="17" w:author="Author">
              <w:r w:rsidRPr="002A677E">
                <w:rPr>
                  <w:rFonts w:ascii="Times New Roman" w:hAnsi="Times New Roman"/>
                  <w:sz w:val="24"/>
                </w:rPr>
                <w:delText>)(ii</w:delText>
              </w:r>
            </w:del>
            <w:r w:rsidRPr="002A677E">
              <w:rPr>
                <w:rFonts w:ascii="Times New Roman" w:hAnsi="Times New Roman"/>
                <w:sz w:val="24"/>
              </w:rPr>
              <w:t xml:space="preserve">) and Article 378 </w:t>
            </w:r>
            <w:r w:rsidRPr="001235ED">
              <w:rPr>
                <w:rFonts w:ascii="Times New Roman" w:hAnsi="Times New Roman"/>
                <w:sz w:val="24"/>
                <w:lang w:val="en-US"/>
              </w:rPr>
              <w:t>of Regulation (EU) No 575/2013</w:t>
            </w:r>
            <w:r w:rsidRPr="002A677E">
              <w:rPr>
                <w:rFonts w:ascii="Times New Roman" w:hAnsi="Times New Roman"/>
                <w:sz w:val="24"/>
              </w:rPr>
              <w:t>).</w:t>
            </w:r>
          </w:p>
          <w:p w14:paraId="57BBA9B8" w14:textId="77777777" w:rsidR="00925646" w:rsidRPr="002A677E" w:rsidRDefault="00925646" w:rsidP="00E07FE9">
            <w:pPr>
              <w:spacing w:beforeLines="60" w:before="144"/>
              <w:rPr>
                <w:rFonts w:ascii="Times New Roman" w:hAnsi="Times New Roman"/>
                <w:sz w:val="24"/>
              </w:rPr>
            </w:pPr>
            <w:r w:rsidRPr="002A677E">
              <w:rPr>
                <w:rFonts w:ascii="Times New Roman" w:hAnsi="Times New Roman"/>
                <w:sz w:val="24"/>
              </w:rPr>
              <w:t>Institutions shall report in {r</w:t>
            </w:r>
            <w:proofErr w:type="gramStart"/>
            <w:r w:rsidRPr="002A677E">
              <w:rPr>
                <w:rFonts w:ascii="Times New Roman" w:hAnsi="Times New Roman"/>
                <w:sz w:val="24"/>
              </w:rPr>
              <w:t>0010;c</w:t>
            </w:r>
            <w:proofErr w:type="gramEnd"/>
            <w:r w:rsidRPr="002A677E">
              <w:rPr>
                <w:rFonts w:ascii="Times New Roman" w:hAnsi="Times New Roman"/>
                <w:sz w:val="24"/>
              </w:rPr>
              <w:t>0010} the aggregated sum of unsettled transactions after their due delivery dates at the respective agreed settlement prices.</w:t>
            </w:r>
          </w:p>
          <w:p w14:paraId="556AEAC8" w14:textId="77777777" w:rsidR="00925646" w:rsidRPr="002A677E" w:rsidRDefault="00925646" w:rsidP="00E07FE9">
            <w:pPr>
              <w:spacing w:beforeLines="60" w:before="144"/>
              <w:rPr>
                <w:rFonts w:ascii="Times New Roman" w:hAnsi="Times New Roman"/>
                <w:sz w:val="24"/>
              </w:rPr>
            </w:pPr>
            <w:r w:rsidRPr="002A677E">
              <w:rPr>
                <w:rFonts w:ascii="Times New Roman" w:hAnsi="Times New Roman"/>
                <w:sz w:val="24"/>
              </w:rPr>
              <w:lastRenderedPageBreak/>
              <w:t>Institutions shall report in {r</w:t>
            </w:r>
            <w:proofErr w:type="gramStart"/>
            <w:r w:rsidRPr="002A677E">
              <w:rPr>
                <w:rFonts w:ascii="Times New Roman" w:hAnsi="Times New Roman"/>
                <w:sz w:val="24"/>
              </w:rPr>
              <w:t>0010;c</w:t>
            </w:r>
            <w:proofErr w:type="gramEnd"/>
            <w:r w:rsidRPr="002A677E">
              <w:rPr>
                <w:rFonts w:ascii="Times New Roman" w:hAnsi="Times New Roman"/>
                <w:sz w:val="24"/>
              </w:rPr>
              <w:t>0020} the aggregated information for price difference exposure due to unsettled transactions at a loss.</w:t>
            </w:r>
          </w:p>
          <w:p w14:paraId="01BDECED"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Institutions shall report in {r</w:t>
            </w:r>
            <w:proofErr w:type="gramStart"/>
            <w:r w:rsidRPr="002A677E">
              <w:rPr>
                <w:rFonts w:ascii="Times New Roman" w:hAnsi="Times New Roman"/>
                <w:sz w:val="24"/>
              </w:rPr>
              <w:t>0010;c</w:t>
            </w:r>
            <w:proofErr w:type="gramEnd"/>
            <w:r w:rsidRPr="002A677E">
              <w:rPr>
                <w:rFonts w:ascii="Times New Roman" w:hAnsi="Times New Roman"/>
                <w:sz w:val="24"/>
              </w:rPr>
              <w:t xml:space="preserve">0030] the aggregated own funds requirements derived from summing the own funds requirements for unsettled transactions by multiplying the “price difference” reported in column 0020 by the appropriate factor based on the number of working days after due settlement date (categories referred to in Article 378, Table 1 </w:t>
            </w:r>
            <w:r w:rsidRPr="001235ED">
              <w:rPr>
                <w:rFonts w:ascii="Times New Roman" w:hAnsi="Times New Roman"/>
                <w:sz w:val="24"/>
                <w:lang w:val="en-US"/>
              </w:rPr>
              <w:t>of Regulation (EU) No 575/2013</w:t>
            </w:r>
            <w:r w:rsidRPr="002A677E">
              <w:rPr>
                <w:rFonts w:ascii="Times New Roman" w:hAnsi="Times New Roman"/>
                <w:sz w:val="24"/>
              </w:rPr>
              <w:t>).</w:t>
            </w:r>
          </w:p>
        </w:tc>
      </w:tr>
      <w:tr w:rsidR="00925646" w:rsidRPr="002A677E" w14:paraId="5C9B2254" w14:textId="77777777" w:rsidTr="00E07FE9">
        <w:tc>
          <w:tcPr>
            <w:tcW w:w="852" w:type="dxa"/>
          </w:tcPr>
          <w:p w14:paraId="4D2DFFF2"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lastRenderedPageBreak/>
              <w:t>0020</w:t>
            </w:r>
            <w:r>
              <w:rPr>
                <w:rFonts w:ascii="Times New Roman" w:hAnsi="Times New Roman"/>
                <w:sz w:val="24"/>
              </w:rPr>
              <w:t>-</w:t>
            </w:r>
            <w:r w:rsidRPr="002A677E">
              <w:rPr>
                <w:rFonts w:ascii="Times New Roman" w:hAnsi="Times New Roman"/>
                <w:sz w:val="24"/>
              </w:rPr>
              <w:t>0060</w:t>
            </w:r>
          </w:p>
        </w:tc>
        <w:tc>
          <w:tcPr>
            <w:tcW w:w="8010" w:type="dxa"/>
          </w:tcPr>
          <w:p w14:paraId="78C0D32F"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up to 4 days (Factor 0</w:t>
            </w:r>
            <w:r>
              <w:t> </w:t>
            </w:r>
            <w:r w:rsidRPr="002A677E">
              <w:rPr>
                <w:rStyle w:val="InstructionsTabelleberschrift"/>
                <w:rFonts w:ascii="Times New Roman" w:hAnsi="Times New Roman"/>
                <w:sz w:val="24"/>
              </w:rPr>
              <w:t xml:space="preserve">%) </w:t>
            </w:r>
          </w:p>
          <w:p w14:paraId="18729DF9"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00232284"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5EEFD940"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326E480A"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for 46 days or more (Factor 100</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4BCE7D0D"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 xml:space="preserve">Institutions shall report in rows 0020 to 0060 the information about settlement/delivery risk for non-trading book positions in accordance with the categories referred to in Article 378, Table 1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4BA03842"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r w:rsidR="00925646" w:rsidRPr="002A677E" w14:paraId="271E44B6" w14:textId="77777777" w:rsidTr="00E07FE9">
        <w:tc>
          <w:tcPr>
            <w:tcW w:w="852" w:type="dxa"/>
          </w:tcPr>
          <w:p w14:paraId="4680CF00"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0070</w:t>
            </w:r>
          </w:p>
        </w:tc>
        <w:tc>
          <w:tcPr>
            <w:tcW w:w="8010" w:type="dxa"/>
          </w:tcPr>
          <w:p w14:paraId="56920EB6"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Trading Book</w:t>
            </w:r>
          </w:p>
          <w:p w14:paraId="3C4B428B"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Institutions shall report aggregated information about settlement/delivery risk for trading book positions (as referred to in Article 92(</w:t>
            </w:r>
            <w:ins w:id="18" w:author="Author">
              <w:r>
                <w:rPr>
                  <w:rFonts w:ascii="Times New Roman" w:hAnsi="Times New Roman"/>
                  <w:sz w:val="24"/>
                </w:rPr>
                <w:t>4</w:t>
              </w:r>
            </w:ins>
            <w:del w:id="19" w:author="Author">
              <w:r w:rsidRPr="002A677E">
                <w:rPr>
                  <w:rFonts w:ascii="Times New Roman" w:hAnsi="Times New Roman"/>
                  <w:sz w:val="24"/>
                </w:rPr>
                <w:delText>3</w:delText>
              </w:r>
            </w:del>
            <w:r w:rsidRPr="002A677E">
              <w:rPr>
                <w:rFonts w:ascii="Times New Roman" w:hAnsi="Times New Roman"/>
                <w:sz w:val="24"/>
              </w:rPr>
              <w:t>)</w:t>
            </w:r>
            <w:r>
              <w:rPr>
                <w:rFonts w:ascii="Times New Roman" w:hAnsi="Times New Roman"/>
                <w:sz w:val="24"/>
              </w:rPr>
              <w:t>, p</w:t>
            </w:r>
            <w:r w:rsidRPr="002A677E">
              <w:rPr>
                <w:rFonts w:ascii="Times New Roman" w:hAnsi="Times New Roman"/>
                <w:sz w:val="24"/>
              </w:rPr>
              <w:t>oint (c</w:t>
            </w:r>
            <w:ins w:id="20" w:author="Author">
              <w:r>
                <w:rPr>
                  <w:rFonts w:ascii="Times New Roman" w:hAnsi="Times New Roman"/>
                  <w:sz w:val="24"/>
                </w:rPr>
                <w:t>a</w:t>
              </w:r>
            </w:ins>
            <w:del w:id="21" w:author="Author">
              <w:r w:rsidRPr="002A677E">
                <w:rPr>
                  <w:rFonts w:ascii="Times New Roman" w:hAnsi="Times New Roman"/>
                  <w:sz w:val="24"/>
                </w:rPr>
                <w:delText>)(ii</w:delText>
              </w:r>
            </w:del>
            <w:r w:rsidRPr="002A677E">
              <w:rPr>
                <w:rFonts w:ascii="Times New Roman" w:hAnsi="Times New Roman"/>
                <w:sz w:val="24"/>
              </w:rPr>
              <w:t xml:space="preserve">) and Article 378 </w:t>
            </w:r>
            <w:r w:rsidRPr="001235ED">
              <w:rPr>
                <w:rFonts w:ascii="Times New Roman" w:hAnsi="Times New Roman"/>
                <w:sz w:val="24"/>
                <w:lang w:val="en-US"/>
              </w:rPr>
              <w:t>of Regulation (EU) No 575/2013</w:t>
            </w:r>
            <w:r w:rsidRPr="002A677E">
              <w:rPr>
                <w:rFonts w:ascii="Times New Roman" w:hAnsi="Times New Roman"/>
                <w:sz w:val="24"/>
              </w:rPr>
              <w:t>).</w:t>
            </w:r>
          </w:p>
          <w:p w14:paraId="2E44B3F3"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Institutions shall report in {r</w:t>
            </w:r>
            <w:proofErr w:type="gramStart"/>
            <w:r w:rsidRPr="002A677E">
              <w:rPr>
                <w:rFonts w:ascii="Times New Roman" w:hAnsi="Times New Roman"/>
                <w:sz w:val="24"/>
              </w:rPr>
              <w:t>0070;c</w:t>
            </w:r>
            <w:proofErr w:type="gramEnd"/>
            <w:r w:rsidRPr="002A677E">
              <w:rPr>
                <w:rFonts w:ascii="Times New Roman" w:hAnsi="Times New Roman"/>
                <w:sz w:val="24"/>
              </w:rPr>
              <w:t>0010} the aggregated sum of unsettled transactions after their due delivery dates at the respective agreed settlement prices.</w:t>
            </w:r>
          </w:p>
          <w:p w14:paraId="1CB848DF"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Institutions shall report in {r</w:t>
            </w:r>
            <w:proofErr w:type="gramStart"/>
            <w:r w:rsidRPr="002A677E">
              <w:rPr>
                <w:rFonts w:ascii="Times New Roman" w:hAnsi="Times New Roman"/>
                <w:sz w:val="24"/>
              </w:rPr>
              <w:t>0070;c</w:t>
            </w:r>
            <w:proofErr w:type="gramEnd"/>
            <w:r w:rsidRPr="002A677E">
              <w:rPr>
                <w:rFonts w:ascii="Times New Roman" w:hAnsi="Times New Roman"/>
                <w:sz w:val="24"/>
              </w:rPr>
              <w:t>0020} the aggregated information for price difference exposure due to unsettled transactions at a loss.</w:t>
            </w:r>
          </w:p>
          <w:p w14:paraId="64D05373" w14:textId="77777777" w:rsidR="00925646" w:rsidRPr="002A677E" w:rsidRDefault="00925646" w:rsidP="00E07FE9">
            <w:pPr>
              <w:spacing w:beforeLines="60" w:before="144" w:afterLines="60" w:after="144"/>
              <w:rPr>
                <w:rFonts w:ascii="Times New Roman" w:hAnsi="Times New Roman"/>
                <w:b/>
                <w:sz w:val="24"/>
              </w:rPr>
            </w:pPr>
            <w:r w:rsidRPr="002A677E">
              <w:rPr>
                <w:rFonts w:ascii="Times New Roman" w:hAnsi="Times New Roman"/>
                <w:sz w:val="24"/>
              </w:rPr>
              <w:t>Institutions shall report in {r</w:t>
            </w:r>
            <w:proofErr w:type="gramStart"/>
            <w:r w:rsidRPr="002A677E">
              <w:rPr>
                <w:rFonts w:ascii="Times New Roman" w:hAnsi="Times New Roman"/>
                <w:sz w:val="24"/>
              </w:rPr>
              <w:t>0070;c</w:t>
            </w:r>
            <w:proofErr w:type="gramEnd"/>
            <w:r w:rsidRPr="002A677E">
              <w:rPr>
                <w:rFonts w:ascii="Times New Roman" w:hAnsi="Times New Roman"/>
                <w:sz w:val="24"/>
              </w:rPr>
              <w:t>0030} the aggregated own funds requirements derived from summing the own funds requirements for unsettled transactions by multiplying the “price difference” reported in column 0020 by an appropriate factor based on the number of working days after due settlement date (categories referred to in Article 378, Table 1</w:t>
            </w:r>
            <w:r w:rsidRPr="001235ED">
              <w:rPr>
                <w:rFonts w:ascii="Times New Roman" w:hAnsi="Times New Roman"/>
                <w:sz w:val="24"/>
                <w:lang w:val="en-US"/>
              </w:rPr>
              <w:t xml:space="preserve"> of Regulation (EU) No 575/2013</w:t>
            </w:r>
            <w:r w:rsidRPr="002A677E">
              <w:rPr>
                <w:rFonts w:ascii="Times New Roman" w:hAnsi="Times New Roman"/>
                <w:sz w:val="24"/>
              </w:rPr>
              <w:t>).</w:t>
            </w:r>
          </w:p>
        </w:tc>
      </w:tr>
      <w:tr w:rsidR="00925646" w:rsidRPr="002A677E" w14:paraId="2284D88A" w14:textId="77777777" w:rsidTr="00E07FE9">
        <w:tc>
          <w:tcPr>
            <w:tcW w:w="852" w:type="dxa"/>
          </w:tcPr>
          <w:p w14:paraId="4F3EBD1A"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0080</w:t>
            </w:r>
            <w:r>
              <w:rPr>
                <w:rFonts w:ascii="Times New Roman" w:hAnsi="Times New Roman"/>
                <w:sz w:val="24"/>
              </w:rPr>
              <w:t>-</w:t>
            </w:r>
            <w:r w:rsidRPr="002A677E">
              <w:rPr>
                <w:rFonts w:ascii="Times New Roman" w:hAnsi="Times New Roman"/>
                <w:sz w:val="24"/>
              </w:rPr>
              <w:t>0120</w:t>
            </w:r>
          </w:p>
        </w:tc>
        <w:tc>
          <w:tcPr>
            <w:tcW w:w="8010" w:type="dxa"/>
          </w:tcPr>
          <w:p w14:paraId="34E9771F"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up to 4 days (Factor 0</w:t>
            </w:r>
            <w:r>
              <w:t> </w:t>
            </w:r>
            <w:r w:rsidRPr="002A677E">
              <w:rPr>
                <w:rStyle w:val="InstructionsTabelleberschrift"/>
                <w:rFonts w:ascii="Times New Roman" w:hAnsi="Times New Roman"/>
                <w:sz w:val="24"/>
              </w:rPr>
              <w:t xml:space="preserve">%) </w:t>
            </w:r>
          </w:p>
          <w:p w14:paraId="7B8BB095"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3902398B"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25665540"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61E1443A"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for 46 days or more (Factor 100</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1A0345F5"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lastRenderedPageBreak/>
              <w:t xml:space="preserve">Institutions shall report in rows 0080 to 0120 the information about settlement/delivery risk for trading book positions in accordance with the categories referred to in Article 378, Table 1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0A9F762A" w14:textId="77777777" w:rsidR="00925646" w:rsidRPr="002A677E" w:rsidRDefault="00925646" w:rsidP="00E07FE9">
            <w:pPr>
              <w:spacing w:beforeLines="60" w:before="144" w:afterLines="60" w:after="144"/>
              <w:rPr>
                <w:rFonts w:ascii="Times New Roman" w:hAnsi="Times New Roman"/>
                <w:b/>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bl>
    <w:p w14:paraId="5D73F136" w14:textId="77777777" w:rsidR="00925646" w:rsidRPr="002A677E" w:rsidRDefault="00925646" w:rsidP="00925646">
      <w:pPr>
        <w:spacing w:after="0"/>
        <w:rPr>
          <w:rFonts w:ascii="Times New Roman" w:hAnsi="Times New Roman"/>
          <w:sz w:val="24"/>
        </w:rPr>
      </w:pPr>
    </w:p>
    <w:p w14:paraId="43F97E9B" w14:textId="77777777" w:rsidR="00925646" w:rsidRDefault="00925646" w:rsidP="00925646">
      <w:r w:rsidRPr="002A677E">
        <w:rPr>
          <w:rStyle w:val="InstructionsTabelleText"/>
          <w:rFonts w:ascii="Times New Roman" w:hAnsi="Times New Roman"/>
          <w:sz w:val="24"/>
        </w:rPr>
        <w:br w:type="page"/>
      </w:r>
    </w:p>
    <w:p w14:paraId="557ADFEB" w14:textId="77777777" w:rsidR="00925646" w:rsidRDefault="00925646"/>
    <w:sectPr w:rsidR="00925646">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4A1AA" w14:textId="77777777" w:rsidR="00960943" w:rsidRDefault="00960943" w:rsidP="00925646">
      <w:pPr>
        <w:spacing w:before="0" w:after="0"/>
      </w:pPr>
      <w:r>
        <w:separator/>
      </w:r>
    </w:p>
  </w:endnote>
  <w:endnote w:type="continuationSeparator" w:id="0">
    <w:p w14:paraId="65273641" w14:textId="77777777" w:rsidR="00960943" w:rsidRDefault="00960943"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2BB9E" w14:textId="77777777" w:rsidR="00960943" w:rsidRDefault="00960943" w:rsidP="00925646">
      <w:pPr>
        <w:spacing w:before="0" w:after="0"/>
      </w:pPr>
      <w:r>
        <w:separator/>
      </w:r>
    </w:p>
  </w:footnote>
  <w:footnote w:type="continuationSeparator" w:id="0">
    <w:p w14:paraId="07A05382" w14:textId="77777777" w:rsidR="00960943" w:rsidRDefault="00960943"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0F0C6" w14:textId="3A9322B0" w:rsidR="00925646" w:rsidRDefault="00925646">
    <w:pPr>
      <w:pStyle w:val="Header"/>
    </w:pPr>
    <w:r>
      <w:rPr>
        <w:noProof/>
        <w14:ligatures w14:val="standardContextual"/>
      </w:rP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rFonts w:ascii="Calibri" w:eastAsia="Calibri" w:hAnsi="Calibri" w:cs="Calibri"/>
                              <w:noProof/>
                              <w:color w:val="000000"/>
                              <w:sz w:val="24"/>
                            </w:rPr>
                          </w:pPr>
                          <w:r w:rsidRPr="0092564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rFonts w:ascii="Calibri" w:eastAsia="Calibri" w:hAnsi="Calibri" w:cs="Calibri"/>
                        <w:noProof/>
                        <w:color w:val="000000"/>
                        <w:sz w:val="24"/>
                      </w:rPr>
                    </w:pPr>
                    <w:r w:rsidRPr="00925646">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345C3" w14:textId="60A18E7B" w:rsidR="00925646" w:rsidRDefault="00925646">
    <w:pPr>
      <w:pStyle w:val="Header"/>
    </w:pPr>
    <w:r>
      <w:rPr>
        <w:noProof/>
        <w14:ligatures w14:val="standardContextual"/>
      </w:rP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rFonts w:ascii="Calibri" w:eastAsia="Calibri" w:hAnsi="Calibri" w:cs="Calibri"/>
                              <w:noProof/>
                              <w:color w:val="000000"/>
                              <w:sz w:val="24"/>
                            </w:rPr>
                          </w:pPr>
                          <w:r w:rsidRPr="0092564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rFonts w:ascii="Calibri" w:eastAsia="Calibri" w:hAnsi="Calibri" w:cs="Calibri"/>
                        <w:noProof/>
                        <w:color w:val="000000"/>
                        <w:sz w:val="24"/>
                      </w:rPr>
                    </w:pPr>
                    <w:r w:rsidRPr="00925646">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363BA" w14:textId="2933D5A5" w:rsidR="00925646" w:rsidRDefault="00925646">
    <w:pPr>
      <w:pStyle w:val="Header"/>
    </w:pPr>
    <w:r>
      <w:rPr>
        <w:noProof/>
        <w14:ligatures w14:val="standardContextual"/>
      </w:rP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rFonts w:ascii="Calibri" w:eastAsia="Calibri" w:hAnsi="Calibri" w:cs="Calibri"/>
                              <w:noProof/>
                              <w:color w:val="000000"/>
                              <w:sz w:val="24"/>
                            </w:rPr>
                          </w:pPr>
                          <w:r w:rsidRPr="0092564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rFonts w:ascii="Calibri" w:eastAsia="Calibri" w:hAnsi="Calibri" w:cs="Calibri"/>
                        <w:noProof/>
                        <w:color w:val="000000"/>
                        <w:sz w:val="24"/>
                      </w:rPr>
                    </w:pPr>
                    <w:r w:rsidRPr="00925646">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5A0E0B"/>
    <w:rsid w:val="00631623"/>
    <w:rsid w:val="00736637"/>
    <w:rsid w:val="007E5623"/>
    <w:rsid w:val="00925646"/>
    <w:rsid w:val="00960943"/>
    <w:rsid w:val="009C5DD6"/>
    <w:rsid w:val="00A6002C"/>
    <w:rsid w:val="00AB618F"/>
    <w:rsid w:val="00B71F25"/>
    <w:rsid w:val="00CB0520"/>
    <w:rsid w:val="00EE75F2"/>
    <w:rsid w:val="00EF07A1"/>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val="en-US"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F73B2AAF-4BA7-4D2E-99C9-15A8436ABB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446518-0FCF-416C-A682-F89A7C1B9806}">
  <ds:schemaRefs>
    <ds:schemaRef ds:uri="http://schemas.microsoft.com/sharepoint/v3/contenttype/forms"/>
  </ds:schemaRefs>
</ds:datastoreItem>
</file>

<file path=customXml/itemProps3.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5</Pages>
  <Words>1055</Words>
  <Characters>6019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8</cp:revision>
  <dcterms:created xsi:type="dcterms:W3CDTF">2024-05-28T09:25:00Z</dcterms:created>
  <dcterms:modified xsi:type="dcterms:W3CDTF">2024-07-05T12:10:00Z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0x010100AA092A754480E944A1CB10007F634BC1</vt:lpwstr>
  </property>
</Properties>
</file>